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10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0984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BOLL ANDREW R.</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HARROW HEALTH,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102 WOODMONT BLVD., SUITE 610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HARROW HEALTH,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HROW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01/02/2020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6"/>
        <w:spacing w:after="0"/>
        <w:rPr>
          <w:sz w:val="20"/>
          <w:szCs w:val="20"/>
          <w:color w:val="auto"/>
        </w:rPr>
      </w:pPr>
      <w:r>
        <w:rPr>
          <w:rFonts w:ascii="Arial" w:cs="Arial" w:eastAsia="Arial" w:hAnsi="Arial"/>
          <w:sz w:val="17"/>
          <w:szCs w:val="17"/>
          <w:color w:val="0000FF"/>
        </w:rPr>
        <w:t>Chief Financial Officer</w:t>
      </w:r>
    </w:p>
    <w:p>
      <w:pPr>
        <w:spacing w:after="0" w:line="408"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8"/>
          </w:tcPr>
          <w:p>
            <w:pPr>
              <w:jc w:val="center"/>
              <w:ind w:right="37"/>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39"/>
              <w:spacing w:after="0" w:line="180" w:lineRule="exact"/>
              <w:rPr>
                <w:sz w:val="20"/>
                <w:szCs w:val="20"/>
                <w:color w:val="auto"/>
              </w:rPr>
            </w:pPr>
            <w:r>
              <w:rPr>
                <w:rFonts w:ascii="Arial" w:cs="Arial" w:eastAsia="Arial" w:hAnsi="Arial"/>
                <w:sz w:val="17"/>
                <w:szCs w:val="17"/>
                <w:color w:val="0000FF"/>
              </w:rPr>
              <w:t>01/06/2020</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NASHVILLE</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TN</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37205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 -</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57,000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Right to</w:t>
            </w:r>
          </w:p>
        </w:tc>
        <w:tc>
          <w:tcPr>
            <w:tcW w:w="660" w:type="dxa"/>
            <w:vAlign w:val="bottom"/>
          </w:tcPr>
          <w:p>
            <w:pPr>
              <w:jc w:val="center"/>
              <w:ind w:right="6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7.3</w:t>
            </w:r>
          </w:p>
        </w:tc>
        <w:tc>
          <w:tcPr>
            <w:tcW w:w="140" w:type="dxa"/>
            <w:vAlign w:val="bottom"/>
          </w:tcPr>
          <w:p>
            <w:pPr>
              <w:spacing w:after="0"/>
              <w:rPr>
                <w:sz w:val="11"/>
                <w:szCs w:val="11"/>
                <w:color w:val="auto"/>
              </w:rPr>
            </w:pPr>
          </w:p>
        </w:tc>
        <w:tc>
          <w:tcPr>
            <w:tcW w:w="1080" w:type="dxa"/>
            <w:vAlign w:val="bottom"/>
          </w:tcPr>
          <w:p>
            <w:pPr>
              <w:jc w:val="right"/>
              <w:ind w:right="133"/>
              <w:spacing w:after="0" w:line="132" w:lineRule="exact"/>
              <w:rPr>
                <w:sz w:val="20"/>
                <w:szCs w:val="20"/>
                <w:color w:val="auto"/>
              </w:rPr>
            </w:pPr>
            <w:r>
              <w:rPr>
                <w:rFonts w:ascii="Arial" w:cs="Arial" w:eastAsia="Arial" w:hAnsi="Arial"/>
                <w:sz w:val="13"/>
                <w:szCs w:val="13"/>
                <w:color w:val="0000FF"/>
              </w:rPr>
              <w:t>01/02/2020</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32" w:lineRule="exact"/>
              <w:rPr>
                <w:sz w:val="20"/>
                <w:szCs w:val="20"/>
                <w:color w:val="auto"/>
              </w:rPr>
            </w:pPr>
            <w:r>
              <w:rPr>
                <w:rFonts w:ascii="Arial" w:cs="Arial" w:eastAsia="Arial" w:hAnsi="Arial"/>
                <w:sz w:val="13"/>
                <w:szCs w:val="13"/>
                <w:color w:val="0000FF"/>
              </w:rPr>
              <w:t>57,000</w:t>
            </w:r>
          </w:p>
        </w:tc>
        <w:tc>
          <w:tcPr>
            <w:tcW w:w="3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01/02/2030</w:t>
            </w: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14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57,000</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jc w:val="center"/>
              <w:ind w:righ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40" w:type="dxa"/>
            <w:vAlign w:val="bottom"/>
          </w:tcPr>
          <w:p>
            <w:pPr>
              <w:spacing w:after="0"/>
              <w:rPr>
                <w:sz w:val="20"/>
                <w:szCs w:val="20"/>
                <w:color w:val="auto"/>
              </w:rPr>
            </w:pPr>
          </w:p>
        </w:tc>
        <w:tc>
          <w:tcPr>
            <w:tcW w:w="1080" w:type="dxa"/>
            <w:vAlign w:val="bottom"/>
          </w:tcPr>
          <w:p>
            <w:pPr>
              <w:jc w:val="right"/>
              <w:ind w:right="133"/>
              <w:spacing w:after="0"/>
              <w:rPr>
                <w:sz w:val="20"/>
                <w:szCs w:val="20"/>
                <w:color w:val="auto"/>
              </w:rPr>
            </w:pPr>
            <w:r>
              <w:rPr>
                <w:rFonts w:ascii="Arial" w:cs="Arial" w:eastAsia="Arial" w:hAnsi="Arial"/>
                <w:sz w:val="13"/>
                <w:szCs w:val="13"/>
                <w:color w:val="0000FF"/>
              </w:rPr>
              <w:t>01/02/2020</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23,000</w:t>
            </w:r>
          </w:p>
        </w:tc>
        <w:tc>
          <w:tcPr>
            <w:tcW w:w="340" w:type="dxa"/>
            <w:vAlign w:val="bottom"/>
          </w:tcPr>
          <w:p>
            <w:pPr>
              <w:spacing w:after="0"/>
              <w:rPr>
                <w:sz w:val="20"/>
                <w:szCs w:val="20"/>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01/02/2023</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23,000</w:t>
            </w:r>
          </w:p>
        </w:tc>
        <w:tc>
          <w:tcPr>
            <w:tcW w:w="60" w:type="dxa"/>
            <w:vAlign w:val="bottom"/>
          </w:tcPr>
          <w:p>
            <w:pPr>
              <w:spacing w:after="0"/>
              <w:rPr>
                <w:sz w:val="20"/>
                <w:szCs w:val="20"/>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23,000</w:t>
            </w:r>
          </w:p>
        </w:tc>
        <w:tc>
          <w:tcPr>
            <w:tcW w:w="280" w:type="dxa"/>
            <w:vAlign w:val="bottom"/>
          </w:tcPr>
          <w:p>
            <w:pPr>
              <w:spacing w:after="0"/>
              <w:rPr>
                <w:sz w:val="20"/>
                <w:szCs w:val="20"/>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 Unit</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stock options granted under the Issuer's 2017 Stock Incentive and Awards Plan (the "Plan"). The stock options vest in equal quarterly installments over a three-year period.</w:t>
      </w:r>
    </w:p>
    <w:p>
      <w:pPr>
        <w:spacing w:after="0" w:line="51" w:lineRule="exact"/>
        <w:rPr>
          <w:rFonts w:ascii="Arial" w:cs="Arial" w:eastAsia="Arial" w:hAnsi="Arial"/>
          <w:sz w:val="13"/>
          <w:szCs w:val="13"/>
          <w:color w:val="008000"/>
        </w:rPr>
      </w:pPr>
    </w:p>
    <w:p>
      <w:pPr>
        <w:ind w:left="40" w:right="2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("RSUs") granted under the Plan. Each RSU represents a contingent right to receive one share of common stock of the Issuer upon the vesting and settlement of the RSU. The RSUs vest and settle in full on the third anniversary of the date of grant.</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This Form 4 amendment corrects the amount of securities "Acquired" by the reporting person which had been incorrectly described as "Disposed Of" in the originally filed Form 4.</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3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6"/>
              </w:rPr>
              <w:t>/s/ Andrew R. Boll</w:t>
            </w:r>
          </w:p>
        </w:tc>
        <w:tc>
          <w:tcPr>
            <w:tcW w:w="98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01/06/2020</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2150"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2020-01-06T20:37:07Z</dcterms:created>
  <dcterms:modified xsi:type="dcterms:W3CDTF">2020-01-06T20:37:07Z</dcterms:modified>
</cp:coreProperties>
</file>