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23,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74"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74"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74"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74"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March 23, 2016, Imprimis Pharmaceuticals, Inc. (the “Company”) issued a press release announcing its financial results for the fourth quarter and year ended December 31, 2015.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23, 2016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0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00" w:type="dxa"/>
            <w:vAlign w:val="bottom"/>
          </w:tcPr>
          <w:p>
            <w:pPr>
              <w:spacing w:after="0"/>
              <w:rPr>
                <w:sz w:val="20"/>
                <w:szCs w:val="20"/>
                <w:color w:val="auto"/>
              </w:rPr>
            </w:pPr>
            <w:r>
              <w:rPr>
                <w:rFonts w:ascii="Arial" w:cs="Arial" w:eastAsia="Arial" w:hAnsi="Arial"/>
                <w:sz w:val="18"/>
                <w:szCs w:val="18"/>
                <w:color w:val="auto"/>
              </w:rPr>
              <w:t>Dated: March 23, 2016</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00" w:type="dxa"/>
            <w:vAlign w:val="bottom"/>
          </w:tcPr>
          <w:p>
            <w:pPr>
              <w:spacing w:after="0"/>
              <w:rPr>
                <w:sz w:val="17"/>
                <w:szCs w:val="17"/>
                <w:color w:val="auto"/>
              </w:rPr>
            </w:pPr>
          </w:p>
        </w:tc>
        <w:tc>
          <w:tcPr>
            <w:tcW w:w="258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00" w:type="dxa"/>
            <w:vAlign w:val="bottom"/>
          </w:tcPr>
          <w:p>
            <w:pPr>
              <w:spacing w:after="0"/>
              <w:rPr>
                <w:sz w:val="20"/>
                <w:szCs w:val="20"/>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 March 23, 2016 issued by 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226060</wp:posOffset>
            </wp:positionV>
            <wp:extent cx="1741170"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41170" cy="7715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Imprimis Pharmaceuticals Announces Fourth Quarter and Year-End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Provides Business Update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San Diego, CA – March 23, 2016 — Imprimis Pharmaceuticals, Inc. (NASDAQ: IMMY), a pharmaceutical company focused on the development and commercialization of proprietary and customizable drug formulations, today reported financial results for the fourth quarter and year ended December 31, 2015, and will provide an update on recent business developments on a conference call this afternoon.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Fourth Quarter Financial Highlights and 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revenues reported for the fourth quarter 2015 increased by over 500% between years to $3.5 million, from $0.55 million reported in the fourth quarter of 2014. Full year 2015 revenue totaled $9.72 million, an increase of 485% compared to $1.66 million reported for full year 2014.</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for the fourth quarter of 2015 was $(2.97) million, or approximately $(0.31) per share of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2016, the company amended its note purchase agreement with an affiliate of Life Sciences Alternative Funding, LLC and issued a $3 million convertible note in exchange for $3 million in gross proceeds.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2016, we completed a public offering of common stock for a total of $12 million in gross proceeds, before deducting underwriting and other offering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Commercialization and Corporate Developments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Launched the </w:t>
      </w:r>
      <w:r>
        <w:rPr>
          <w:rFonts w:ascii="Arial" w:cs="Arial" w:eastAsia="Arial" w:hAnsi="Arial"/>
          <w:sz w:val="16"/>
          <w:szCs w:val="16"/>
          <w:i w:val="1"/>
          <w:iCs w:val="1"/>
          <w:color w:val="auto"/>
        </w:rPr>
        <w:t>Imprimis Cares</w:t>
      </w:r>
      <w:r>
        <w:rPr>
          <w:rFonts w:ascii="Arial" w:cs="Arial" w:eastAsia="Arial" w:hAnsi="Arial"/>
          <w:sz w:val="16"/>
          <w:szCs w:val="16"/>
          <w:color w:val="auto"/>
        </w:rPr>
        <w:t xml:space="preserve"> program and introduced our customizable pyrimethamine and leucovorin formulation providing a significantly lower-cost therapeutic alternative to Daraprim</w:t>
      </w:r>
      <w:r>
        <w:rPr>
          <w:rFonts w:ascii="Arial" w:cs="Arial" w:eastAsia="Arial" w:hAnsi="Arial"/>
          <w:sz w:val="26"/>
          <w:szCs w:val="26"/>
          <w:color w:val="auto"/>
          <w:vertAlign w:val="superscript"/>
        </w:rPr>
        <w:t>®</w:t>
      </w:r>
      <w:r>
        <w:rPr>
          <w:rFonts w:ascii="Arial" w:cs="Arial" w:eastAsia="Arial" w:hAnsi="Arial"/>
          <w:sz w:val="16"/>
          <w:szCs w:val="16"/>
          <w:color w:val="auto"/>
        </w:rPr>
        <w:t>. Our customizable Daraprim alternative is now offered through Express Scripts, the largest pharmacy benefit manager in the U.S., and by many other hospitals and healthcare organizations. Since December 15, 2015, we have dispensed more than 7,300 doses, representing a savings to patients and healthcare providers of almost $5.5 million when compared to purchasing Daraprim.</w:t>
      </w:r>
    </w:p>
    <w:p>
      <w:pPr>
        <w:spacing w:after="0" w:line="184" w:lineRule="exact"/>
        <w:rPr>
          <w:rFonts w:ascii="Arial" w:cs="Arial" w:eastAsia="Arial" w:hAnsi="Arial"/>
          <w:sz w:val="16"/>
          <w:szCs w:val="16"/>
          <w:color w:val="auto"/>
        </w:rPr>
      </w:pPr>
    </w:p>
    <w:p>
      <w:pPr>
        <w:jc w:val="both"/>
        <w:ind w:left="660" w:hanging="328"/>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plans to introduce a new patent-pending tiopronin and potassium citrate delayed release compounded formulation as a lower-cost therapeutic alternative to the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Tiopronin is the sole active pharmaceutical ingredient in Thiola and is on the FDA’s drug shortage list. Our plan is to continue to expand our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formulary and introduce additional drug formulations for patient populations that may not have available alternatives to increasingly expensive FDA-approved medications. In this regard, we expect to continue to work with pharmacy benefit managers (PBMs), insurance companies, hospitals, and physicians to provide their beneficiaries access to affordable compounded medications.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Successfully secured discrete billing codes specific to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formulations in order to facilitate seamless transactions with payors.</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Co-sponsored the “Analysis of the Economic Impacts of Dropless Cataract Therapy on Medicare, Medicaid, State Governments, and Patient Costs” economic study by Andrew Chang &amp; Co, LLC that demonstrated our Dropless Therapy could provide savings to Medicare, Medicaid and patients of up to $13 billion, assuming a cost of $100 per Dropless Therapy dose.</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Acquired the rights to new proprietary conscious sedation formulations for patients undergoing ophthalmic surgery and other surgical procedures. We plan to formally introduce this new formulation at the American Society of Cataract and Refractive Surgery Symposium in May 2016.</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Acquired the assets and businesses of the once leading U.S. providers of compounded sinus medications and re-launched the business.</w:t>
      </w:r>
    </w:p>
    <w:p>
      <w:pPr>
        <w:spacing w:after="0" w:line="23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now own the rights to a library of 44 domestic and international patents or pending patent applications for drug formulations or related technologies. Additionally, we have 84 domestic and international issued or pending trademarks connected to and supportive of our commercial sales and marketing activities. We expect to continue to aggressively protect our ideas by filing additional patent applications and prosecuting those who violate our intellectual property rights.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ImprimisRx Pharmacy Operations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construction of the company’s new 8,600 square foot facility in Roxbury, NJ, which is expected to be completed and registered with the U.S. Food and Drug Administration (FDA) as an outsourcing facility near the end of the second quarter 2016.</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Nearing the completion of construction at our Texas pharmacy with plans to register with the FDA and begin operations as an outsourcing facility during the second quarter 2016.</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Mark L. Baum, Chief Executive Officer of Imprimis, stated, “We are pleased with the record growth in the fourth quarter and for the full year of 2015. Following the recent completion of our $12 million capital raise in March, we believe we are well positioned to execute our business strategy as we work with payors, both public and private, to expand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program. During 2016, we look forward to furthering our current market share within key therapeutic areas and also introducing new formulations that we believe provide patients with high quality and lower cost drug choices. With the expected opening of our FDA-registered outsourcing facilities in Texas and New Jersey, and the expansion of our </w:t>
      </w:r>
      <w:r>
        <w:rPr>
          <w:rFonts w:ascii="Arial" w:cs="Arial" w:eastAsia="Arial" w:hAnsi="Arial"/>
          <w:sz w:val="17"/>
          <w:szCs w:val="17"/>
          <w:i w:val="1"/>
          <w:iCs w:val="1"/>
          <w:color w:val="auto"/>
        </w:rPr>
        <w:t>Imprimis Cares</w:t>
      </w:r>
      <w:r>
        <w:rPr>
          <w:rFonts w:ascii="Arial" w:cs="Arial" w:eastAsia="Arial" w:hAnsi="Arial"/>
          <w:sz w:val="17"/>
          <w:szCs w:val="17"/>
          <w:color w:val="auto"/>
        </w:rPr>
        <w:t xml:space="preserve"> formulary, we believe 2016 will be another year of setting new records and financial milestones, as we continue our march towards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full year ended December 31, 2015 and for the same periods in 2014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three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For the three months</w:t>
            </w:r>
          </w:p>
        </w:tc>
      </w:tr>
      <w:tr>
        <w:trPr>
          <w:trHeight w:val="241"/>
        </w:trPr>
        <w:tc>
          <w:tcPr>
            <w:tcW w:w="6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ended December 31,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ended December 31, 2014</w:t>
            </w:r>
          </w:p>
        </w:tc>
      </w:tr>
      <w:tr>
        <w:trPr>
          <w:trHeight w:val="216"/>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1,947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60" w:type="dxa"/>
            <w:vAlign w:val="bottom"/>
          </w:tcPr>
          <w:p>
            <w:pPr>
              <w:spacing w:after="0"/>
              <w:rPr>
                <w:sz w:val="18"/>
                <w:szCs w:val="18"/>
                <w:color w:val="auto"/>
              </w:rPr>
            </w:pP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4,177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1,924</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2580" w:type="dxa"/>
            <w:vAlign w:val="bottom"/>
            <w:gridSpan w:val="2"/>
          </w:tcPr>
          <w:p>
            <w:pPr>
              <w:jc w:val="right"/>
              <w:ind w:right="18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(2,745)</w:t>
            </w:r>
          </w:p>
        </w:tc>
      </w:tr>
      <w:tr>
        <w:trPr>
          <w:trHeight w:val="217"/>
        </w:trPr>
        <w:tc>
          <w:tcPr>
            <w:tcW w:w="6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Common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(0.53</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180" w:type="dxa"/>
            <w:vAlign w:val="bottom"/>
          </w:tcPr>
          <w:p>
            <w:pPr>
              <w:spacing w:after="0" w:line="20" w:lineRule="exact"/>
              <w:rPr>
                <w:sz w:val="1"/>
                <w:szCs w:val="1"/>
                <w:color w:val="auto"/>
              </w:rPr>
            </w:pPr>
          </w:p>
        </w:tc>
        <w:tc>
          <w:tcPr>
            <w:tcW w:w="24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6180" w:type="dxa"/>
            <w:vAlign w:val="bottom"/>
          </w:tcPr>
          <w:p>
            <w:pPr>
              <w:spacing w:after="0"/>
              <w:rPr>
                <w:sz w:val="24"/>
                <w:szCs w:val="24"/>
                <w:color w:val="auto"/>
              </w:rPr>
            </w:pPr>
          </w:p>
        </w:tc>
        <w:tc>
          <w:tcPr>
            <w:tcW w:w="27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For the year ended December</w:t>
            </w:r>
          </w:p>
        </w:tc>
        <w:tc>
          <w:tcPr>
            <w:tcW w:w="20" w:type="dxa"/>
            <w:vAlign w:val="bottom"/>
          </w:tcPr>
          <w:p>
            <w:pPr>
              <w:spacing w:after="0"/>
              <w:rPr>
                <w:sz w:val="24"/>
                <w:szCs w:val="24"/>
                <w:color w:val="auto"/>
              </w:rPr>
            </w:pPr>
          </w:p>
        </w:tc>
        <w:tc>
          <w:tcPr>
            <w:tcW w:w="2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For the year ended December</w:t>
            </w:r>
          </w:p>
        </w:tc>
      </w:tr>
      <w:tr>
        <w:trPr>
          <w:trHeight w:val="241"/>
        </w:trPr>
        <w:tc>
          <w:tcPr>
            <w:tcW w:w="6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31, 2015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31, 2014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5,206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60" w:type="dxa"/>
            <w:vAlign w:val="bottom"/>
          </w:tcPr>
          <w:p>
            <w:pPr>
              <w:spacing w:after="0"/>
              <w:rPr>
                <w:sz w:val="18"/>
                <w:szCs w:val="18"/>
                <w:color w:val="auto"/>
              </w:rPr>
            </w:pP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12,504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8,087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6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2580" w:type="dxa"/>
            <w:vAlign w:val="bottom"/>
            <w:gridSpan w:val="2"/>
          </w:tcPr>
          <w:p>
            <w:pPr>
              <w:jc w:val="right"/>
              <w:ind w:right="180"/>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r>
        <w:trPr>
          <w:trHeight w:val="25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(15,899)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(10,118)</w:t>
            </w:r>
          </w:p>
        </w:tc>
      </w:tr>
      <w:tr>
        <w:trPr>
          <w:trHeight w:val="217"/>
        </w:trPr>
        <w:tc>
          <w:tcPr>
            <w:tcW w:w="6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For the three months</w:t>
            </w:r>
          </w:p>
        </w:tc>
      </w:tr>
      <w:tr>
        <w:trPr>
          <w:trHeight w:val="241"/>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ended December 31, 2015</w:t>
            </w:r>
          </w:p>
        </w:tc>
      </w:tr>
      <w:tr>
        <w:trPr>
          <w:trHeight w:val="216"/>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r>
      <w:tr>
        <w:trPr>
          <w:trHeight w:val="257"/>
        </w:trPr>
        <w:tc>
          <w:tcPr>
            <w:tcW w:w="66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429</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r>
      <w:tr>
        <w:trPr>
          <w:trHeight w:val="234"/>
        </w:trPr>
        <w:tc>
          <w:tcPr>
            <w:tcW w:w="660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(2,969)</w:t>
            </w:r>
          </w:p>
        </w:tc>
      </w:tr>
    </w:tbl>
    <w:p>
      <w:pPr>
        <w:spacing w:after="0" w:line="183" w:lineRule="exact"/>
        <w:rPr>
          <w:sz w:val="20"/>
          <w:szCs w:val="20"/>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expense items included certain transactional expenses and expenses related to restructuring the company’s sales and marketing efforts, including severance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will hold a conference call and audio-only webcast today at 4:30 p.m. EDT (1:30 p.m. PDT). The conference call and webcast will be open to all listeners and a question and answer session will follow the prepared remarks. To participate, dial 877-407-8035 domestically, or 201-689-8035 internationally, approximately 5 to 10 minutes prior to the start of the call. Additionally, you can listen to the event online at </w:t>
      </w:r>
      <w:r>
        <w:rPr>
          <w:rFonts w:ascii="Arial" w:cs="Arial" w:eastAsia="Arial" w:hAnsi="Arial"/>
          <w:sz w:val="18"/>
          <w:szCs w:val="18"/>
          <w:u w:val="single" w:color="auto"/>
          <w:color w:val="auto"/>
        </w:rPr>
        <w:t>http://www.investorcalendar.com/IC/CEPage.asp?ID=174685</w:t>
      </w:r>
      <w:r>
        <w:rPr>
          <w:rFonts w:ascii="Arial" w:cs="Arial" w:eastAsia="Arial" w:hAnsi="Arial"/>
          <w:sz w:val="18"/>
          <w:szCs w:val="18"/>
          <w:color w:val="auto"/>
        </w:rPr>
        <w:t xml:space="preserve">, as well as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xml:space="preserve">. If you are unable to participate during the live webcast, the event archive will be available at </w:t>
      </w:r>
      <w:r>
        <w:rPr>
          <w:rFonts w:ascii="Arial" w:cs="Arial" w:eastAsia="Arial" w:hAnsi="Arial"/>
          <w:sz w:val="18"/>
          <w:szCs w:val="18"/>
          <w:u w:val="single" w:color="auto"/>
          <w:color w:val="auto"/>
        </w:rPr>
        <w:t>http://www.investorcalendar.com/IC/CEPage.asp?ID=174685</w:t>
      </w:r>
      <w:r>
        <w:rPr>
          <w:rFonts w:ascii="Arial" w:cs="Arial" w:eastAsia="Arial" w:hAnsi="Arial"/>
          <w:sz w:val="18"/>
          <w:szCs w:val="18"/>
          <w:color w:val="auto"/>
        </w:rPr>
        <w:t xml:space="preserve"> or at the company’s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 You may access the teleconference replay by dialing 877-660-6853 domestically or 201-612-7415 internationally, referencing conference 13629827. The replay will be available until April 23,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Imprimis Pharmaceuticals, Inc. (NASDAQ: IMMY) is a national leader in the development, production and dispensing of novel compounded pharmaceuticals. The company’s two business programs, </w:t>
      </w:r>
      <w:r>
        <w:rPr>
          <w:rFonts w:ascii="Arial" w:cs="Arial" w:eastAsia="Arial" w:hAnsi="Arial"/>
          <w:sz w:val="18"/>
          <w:szCs w:val="18"/>
          <w:i w:val="1"/>
          <w:iCs w:val="1"/>
          <w:color w:val="auto"/>
        </w:rPr>
        <w:t>Imprimis Cares™</w:t>
      </w:r>
      <w:r>
        <w:rPr>
          <w:rFonts w:ascii="Arial" w:cs="Arial" w:eastAsia="Arial" w:hAnsi="Arial"/>
          <w:sz w:val="18"/>
          <w:szCs w:val="18"/>
          <w:color w:val="auto"/>
        </w:rPr>
        <w:t xml:space="preserve"> and </w:t>
      </w:r>
      <w:r>
        <w:rPr>
          <w:rFonts w:ascii="Arial" w:cs="Arial" w:eastAsia="Arial" w:hAnsi="Arial"/>
          <w:sz w:val="18"/>
          <w:szCs w:val="18"/>
          <w:i w:val="1"/>
          <w:iCs w:val="1"/>
          <w:color w:val="auto"/>
        </w:rPr>
        <w:t>Custom Compounding Choice™,</w:t>
      </w:r>
      <w:r>
        <w:rPr>
          <w:rFonts w:ascii="Arial" w:cs="Arial" w:eastAsia="Arial" w:hAnsi="Arial"/>
          <w:sz w:val="18"/>
          <w:szCs w:val="18"/>
          <w:color w:val="auto"/>
        </w:rPr>
        <w:t xml:space="preserve"> focus on patient outcomes and affordability by offering high quality custom compounded drugs in all 50 states. Headquartered in San Diego, California, Imprimis owns and operates four dispensing facilities located in California, Texas, New Jersey and Pennsylvania. For more information about Imprimis, please visit the corporate website at </w:t>
      </w:r>
      <w:r>
        <w:rPr>
          <w:rFonts w:ascii="Arial" w:cs="Arial" w:eastAsia="Arial" w:hAnsi="Arial"/>
          <w:sz w:val="18"/>
          <w:szCs w:val="18"/>
          <w:u w:val="single" w:color="auto"/>
          <w:color w:val="auto"/>
        </w:rPr>
        <w:t>www.ImprimisPharma.com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 looking statements.” Forward 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Imprimis compounded formulations may only be prescribed pursuant to a physician prescription for an individually identified patient consistent with federal and state laws governing compounded drug formulations.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Paul Rabin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paul@pascalecommunications.com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516.503.0271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2020-01-19T22:20:47Z</dcterms:created>
  <dcterms:modified xsi:type="dcterms:W3CDTF">2020-01-19T22:20:47Z</dcterms:modified>
</cp:coreProperties>
</file>