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28, 2020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9"/>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23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20"/>
                <w:szCs w:val="20"/>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20"/>
                <w:szCs w:val="20"/>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8"/>
        <w:spacing w:after="0" w:line="266"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28, 2020, Anthony J. Principi informed the Board of Directors (the “Board”) of Harrow Health, Inc. (the “Company”) of his resignation from the Company’s Board, effective immediately. Mr. Principi did not resign as a result of any disagreements with the Company on any matter relating to the Company’s operations, policies or practices.</w:t>
      </w:r>
    </w:p>
    <w:p>
      <w:pPr>
        <w:spacing w:after="0" w:line="176" w:lineRule="exact"/>
        <w:rPr>
          <w:sz w:val="20"/>
          <w:szCs w:val="20"/>
          <w:color w:val="auto"/>
        </w:rPr>
      </w:pPr>
    </w:p>
    <w:p>
      <w:pPr>
        <w:jc w:val="both"/>
        <w:ind w:firstLine="8"/>
        <w:spacing w:after="0" w:line="258" w:lineRule="auto"/>
        <w:tabs>
          <w:tab w:leader="none" w:pos="2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28, 2020, effective upon the resignation of Mr. Principi, the Board appointed Mr. R. Lawrence Van Horn, Ph.D. to fill the vacancy on the Board resulting from the resignation of Mr. Principi. Mr. Van Horn will serve until the Company’s Annual Meeting of Stockholders in 2021, subject to his prior death, resignation or removal from office. Mr. Van Horn is an independent member of the Board and will serve on the Company’s Audit Committee, Compensation Committee and Nominating and Corporate Governance Committee, including serving as the Chair of the Nominating and Corporate Governance Committee.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Mr. Van Horn, age 53, is an entrepreneur, board member, and leading expert and researcher on healthcare management and economics. A nontraditional academic, his activity spans business, health policy, and academia. His research has appeared in such leading journals as the </w:t>
      </w:r>
      <w:r>
        <w:rPr>
          <w:rFonts w:ascii="Times New Roman" w:cs="Times New Roman" w:eastAsia="Times New Roman" w:hAnsi="Times New Roman"/>
          <w:sz w:val="18"/>
          <w:szCs w:val="18"/>
          <w:i w:val="1"/>
          <w:iCs w:val="1"/>
          <w:color w:val="auto"/>
        </w:rPr>
        <w:t>Journal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Health Economics, Journal of Law and Economics, New England Journal of Medicine, Journal of Public Budgeting and Financial Management,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Harvard Business Review</w:t>
      </w:r>
      <w:r>
        <w:rPr>
          <w:rFonts w:ascii="Times New Roman" w:cs="Times New Roman" w:eastAsia="Times New Roman" w:hAnsi="Times New Roman"/>
          <w:sz w:val="18"/>
          <w:szCs w:val="18"/>
          <w:color w:val="auto"/>
        </w:rPr>
        <w:t>. He is the founder and Chief Executive Officer of Preverity, Inc. located in Nashville, Tennessee. Since its founding, he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Governance Committee Chair and Compensation Committee Member for Community Healthcare Trust Incorporated (NYSE: CHCT). He served as Compensation Committee Chair and Audit Committee Member for Quorum Health Corporation (NYSE: QHC) prior to it being taken private. He is the Board Chair for Savida Inc., a private equity backed opioid treatment company focusing on medication-assisted treatment. He is a member of the CEO Council for Council Capital and advisory boards for Harpeth Capital and Council Capital. He is the Executive Director of Health Affairs and Founder and Director of the Center of Health Care Market Innovation at Vanderbilt University. He is also the Co-Director of the Nashville Health Care Council Fellows Program. Mr. Van Horn holds a Ph.D. from the University of Pennsylvania’s Wharton School and an M.B.A., a Master’s in Public Health and a B.A. from the University of Rochester. Mr. Van Horn brings extensive knowledge and research into healthcare industry economics and governance to the Board. He also has unique experience with healthcare decision makers and business executives nationwide regarding healthcare policy.</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is no other arrangement or understanding between Mr. Van Horn and any other person pursuant to which he was appointed as a director of the Company. In connection with his service, Mr. Van Horn will receive the Company’s standard director’s compensation package including cash and equity compensation as described in the Company’s most recent proxy statement, and an initial award of 12,500 restricted stock units which units will vest one year from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HARROW HEALTH, INC.</w:t>
            </w:r>
          </w:p>
        </w:tc>
      </w:tr>
      <w:tr>
        <w:trPr>
          <w:trHeight w:val="43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30, 2020</w:t>
            </w: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8"/>
        </w:trPr>
        <w:tc>
          <w:tcPr>
            <w:tcW w:w="3800" w:type="dxa"/>
            <w:vAlign w:val="bottom"/>
          </w:tcPr>
          <w:p>
            <w:pPr>
              <w:spacing w:after="0"/>
              <w:rPr>
                <w:sz w:val="17"/>
                <w:szCs w:val="17"/>
                <w:color w:val="auto"/>
              </w:rPr>
            </w:pPr>
          </w:p>
        </w:tc>
        <w:tc>
          <w:tcPr>
            <w:tcW w:w="2400" w:type="dxa"/>
            <w:vAlign w:val="bottom"/>
          </w:tcPr>
          <w:p>
            <w:pPr>
              <w:ind w:left="18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800" w:type="dxa"/>
            <w:vAlign w:val="bottom"/>
          </w:tcPr>
          <w:p>
            <w:pPr>
              <w:spacing w:after="0"/>
              <w:rPr>
                <w:sz w:val="20"/>
                <w:szCs w:val="20"/>
                <w:color w:val="auto"/>
              </w:rPr>
            </w:pP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9"/>
        </w:trPr>
        <w:tc>
          <w:tcPr>
            <w:tcW w:w="38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2020-09-30T15:47:35Z</dcterms:created>
  <dcterms:modified xsi:type="dcterms:W3CDTF">2020-09-30T15:47:35Z</dcterms:modified>
</cp:coreProperties>
</file>