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99"/>
        <w:spacing w:after="0" w:line="230"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4260"/>
        <w:spacing w:after="0"/>
        <w:rPr>
          <w:sz w:val="20"/>
          <w:szCs w:val="20"/>
          <w:color w:val="auto"/>
        </w:rPr>
      </w:pPr>
      <w:r>
        <w:rPr>
          <w:rFonts w:ascii="Arial" w:cs="Arial" w:eastAsia="Arial" w:hAnsi="Arial"/>
          <w:sz w:val="22"/>
          <w:szCs w:val="22"/>
          <w:color w:val="auto"/>
        </w:rPr>
        <w:t>___________________________</w:t>
      </w:r>
    </w:p>
    <w:p>
      <w:pPr>
        <w:spacing w:after="0" w:line="20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FORM 8-A</w:t>
      </w:r>
    </w:p>
    <w:p>
      <w:pPr>
        <w:spacing w:after="0" w:line="14" w:lineRule="exact"/>
        <w:rPr>
          <w:sz w:val="24"/>
          <w:szCs w:val="24"/>
          <w:color w:val="auto"/>
        </w:rPr>
      </w:pPr>
    </w:p>
    <w:p>
      <w:pPr>
        <w:ind w:left="4420"/>
        <w:spacing w:after="0"/>
        <w:rPr>
          <w:sz w:val="20"/>
          <w:szCs w:val="20"/>
          <w:color w:val="auto"/>
        </w:rPr>
      </w:pPr>
      <w:r>
        <w:rPr>
          <w:rFonts w:ascii="Arial" w:cs="Arial" w:eastAsia="Arial" w:hAnsi="Arial"/>
          <w:sz w:val="22"/>
          <w:szCs w:val="22"/>
          <w:b w:val="1"/>
          <w:bCs w:val="1"/>
          <w:color w:val="auto"/>
        </w:rPr>
        <w:t>________________________</w:t>
      </w:r>
    </w:p>
    <w:p>
      <w:pPr>
        <w:spacing w:after="0" w:line="21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REGISTRATION OF CERTAIN CLASSES OF SECURITIES</w:t>
      </w:r>
    </w:p>
    <w:p>
      <w:pPr>
        <w:spacing w:after="0" w:line="25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SECTION 12(b) OR 12(g) OF THE</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EXCHANGE ACT OF 1934</w:t>
      </w:r>
    </w:p>
    <w:p>
      <w:pPr>
        <w:spacing w:after="0" w:line="220"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IMPRIMIS PHARMACEUTICALS, INC</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1160" w:type="dxa"/>
            <w:vAlign w:val="bottom"/>
          </w:tcPr>
          <w:p>
            <w:pPr>
              <w:spacing w:after="0"/>
              <w:rPr>
                <w:sz w:val="19"/>
                <w:szCs w:val="19"/>
                <w:color w:val="auto"/>
              </w:rPr>
            </w:pP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320" w:type="dxa"/>
            <w:vAlign w:val="bottom"/>
            <w:gridSpan w:val="2"/>
          </w:tcPr>
          <w:p>
            <w:pPr>
              <w:jc w:val="right"/>
              <w:ind w:right="1390"/>
              <w:spacing w:after="0"/>
              <w:rPr>
                <w:sz w:val="20"/>
                <w:szCs w:val="20"/>
                <w:color w:val="auto"/>
              </w:rPr>
            </w:pPr>
            <w:r>
              <w:rPr>
                <w:rFonts w:ascii="Arial" w:cs="Arial" w:eastAsia="Arial" w:hAnsi="Arial"/>
                <w:sz w:val="18"/>
                <w:szCs w:val="18"/>
                <w:b w:val="1"/>
                <w:bCs w:val="1"/>
                <w:color w:val="auto"/>
              </w:rPr>
              <w:t>45-0567010</w:t>
            </w:r>
          </w:p>
        </w:tc>
      </w:tr>
      <w:tr>
        <w:trPr>
          <w:trHeight w:val="230"/>
        </w:trPr>
        <w:tc>
          <w:tcPr>
            <w:tcW w:w="1160" w:type="dxa"/>
            <w:vAlign w:val="bottom"/>
          </w:tcPr>
          <w:p>
            <w:pPr>
              <w:spacing w:after="0"/>
              <w:rPr>
                <w:sz w:val="20"/>
                <w:szCs w:val="20"/>
                <w:color w:val="auto"/>
              </w:rPr>
            </w:pPr>
          </w:p>
        </w:tc>
        <w:tc>
          <w:tcPr>
            <w:tcW w:w="3800" w:type="dxa"/>
            <w:vAlign w:val="bottom"/>
          </w:tcPr>
          <w:p>
            <w:pPr>
              <w:jc w:val="center"/>
              <w:spacing w:after="0"/>
              <w:rPr>
                <w:sz w:val="20"/>
                <w:szCs w:val="20"/>
                <w:color w:val="auto"/>
              </w:rPr>
            </w:pPr>
            <w:r>
              <w:rPr>
                <w:rFonts w:ascii="Arial" w:cs="Arial" w:eastAsia="Arial" w:hAnsi="Arial"/>
                <w:sz w:val="18"/>
                <w:szCs w:val="18"/>
                <w:color w:val="auto"/>
                <w:w w:val="91"/>
              </w:rPr>
              <w:t>(State of incorporation or organization)</w:t>
            </w:r>
          </w:p>
        </w:tc>
        <w:tc>
          <w:tcPr>
            <w:tcW w:w="1500" w:type="dxa"/>
            <w:vAlign w:val="bottom"/>
          </w:tcPr>
          <w:p>
            <w:pPr>
              <w:spacing w:after="0"/>
              <w:rPr>
                <w:sz w:val="20"/>
                <w:szCs w:val="20"/>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3"/>
              </w:rPr>
              <w:t>(I.R.S. Employer Identification No.)</w:t>
            </w:r>
          </w:p>
        </w:tc>
      </w:tr>
      <w:tr>
        <w:trPr>
          <w:trHeight w:val="441"/>
        </w:trPr>
        <w:tc>
          <w:tcPr>
            <w:tcW w:w="1160" w:type="dxa"/>
            <w:vAlign w:val="bottom"/>
          </w:tcPr>
          <w:p>
            <w:pPr>
              <w:spacing w:after="0"/>
              <w:rPr>
                <w:sz w:val="24"/>
                <w:szCs w:val="24"/>
                <w:color w:val="auto"/>
              </w:rPr>
            </w:pP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90"/>
              </w:rPr>
              <w:t>437 S. Hwy 101, Suite 209</w:t>
            </w:r>
          </w:p>
        </w:tc>
        <w:tc>
          <w:tcPr>
            <w:tcW w:w="15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20"/>
        </w:trPr>
        <w:tc>
          <w:tcPr>
            <w:tcW w:w="1160" w:type="dxa"/>
            <w:vAlign w:val="bottom"/>
          </w:tcPr>
          <w:p>
            <w:pPr>
              <w:spacing w:after="0"/>
              <w:rPr>
                <w:sz w:val="19"/>
                <w:szCs w:val="19"/>
                <w:color w:val="auto"/>
              </w:rPr>
            </w:pP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90"/>
              </w:rPr>
              <w:t>Solana Beach, California</w:t>
            </w:r>
          </w:p>
        </w:tc>
        <w:tc>
          <w:tcPr>
            <w:tcW w:w="5320" w:type="dxa"/>
            <w:vAlign w:val="bottom"/>
            <w:gridSpan w:val="2"/>
          </w:tcPr>
          <w:p>
            <w:pPr>
              <w:jc w:val="right"/>
              <w:ind w:right="1610"/>
              <w:spacing w:after="0"/>
              <w:rPr>
                <w:sz w:val="20"/>
                <w:szCs w:val="20"/>
                <w:color w:val="auto"/>
              </w:rPr>
            </w:pPr>
            <w:r>
              <w:rPr>
                <w:rFonts w:ascii="Arial" w:cs="Arial" w:eastAsia="Arial" w:hAnsi="Arial"/>
                <w:sz w:val="18"/>
                <w:szCs w:val="18"/>
                <w:b w:val="1"/>
                <w:bCs w:val="1"/>
                <w:color w:val="auto"/>
              </w:rPr>
              <w:t>92075</w:t>
            </w:r>
          </w:p>
        </w:tc>
      </w:tr>
      <w:tr>
        <w:trPr>
          <w:trHeight w:val="230"/>
        </w:trPr>
        <w:tc>
          <w:tcPr>
            <w:tcW w:w="1160" w:type="dxa"/>
            <w:vAlign w:val="bottom"/>
          </w:tcPr>
          <w:p>
            <w:pPr>
              <w:spacing w:after="0"/>
              <w:rPr>
                <w:sz w:val="20"/>
                <w:szCs w:val="20"/>
                <w:color w:val="auto"/>
              </w:rPr>
            </w:pPr>
          </w:p>
        </w:tc>
        <w:tc>
          <w:tcPr>
            <w:tcW w:w="380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500" w:type="dxa"/>
            <w:vAlign w:val="bottom"/>
          </w:tcPr>
          <w:p>
            <w:pPr>
              <w:spacing w:after="0"/>
              <w:rPr>
                <w:sz w:val="20"/>
                <w:szCs w:val="20"/>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4"/>
              </w:rPr>
              <w:t>(Zip Code)</w:t>
            </w:r>
          </w:p>
        </w:tc>
      </w:tr>
      <w:tr>
        <w:trPr>
          <w:trHeight w:val="459"/>
        </w:trPr>
        <w:tc>
          <w:tcPr>
            <w:tcW w:w="4960" w:type="dxa"/>
            <w:vAlign w:val="bottom"/>
            <w:gridSpan w:val="2"/>
          </w:tcPr>
          <w:p>
            <w:pPr>
              <w:spacing w:after="0"/>
              <w:rPr>
                <w:sz w:val="20"/>
                <w:szCs w:val="20"/>
                <w:color w:val="auto"/>
              </w:rPr>
            </w:pPr>
            <w:r>
              <w:rPr>
                <w:rFonts w:ascii="Arial" w:cs="Arial" w:eastAsia="Arial" w:hAnsi="Arial"/>
                <w:sz w:val="18"/>
                <w:szCs w:val="18"/>
                <w:color w:val="auto"/>
                <w:w w:val="98"/>
              </w:rPr>
              <w:t>Securities to be registered pursuant to Section 12(b) of the Act:</w:t>
            </w:r>
          </w:p>
        </w:tc>
        <w:tc>
          <w:tcPr>
            <w:tcW w:w="15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441"/>
        </w:trPr>
        <w:tc>
          <w:tcPr>
            <w:tcW w:w="1160" w:type="dxa"/>
            <w:vAlign w:val="bottom"/>
          </w:tcPr>
          <w:p>
            <w:pPr>
              <w:spacing w:after="0"/>
              <w:rPr>
                <w:sz w:val="24"/>
                <w:szCs w:val="24"/>
                <w:color w:val="auto"/>
              </w:rPr>
            </w:pP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50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w:t>
            </w:r>
          </w:p>
        </w:tc>
      </w:tr>
      <w:tr>
        <w:trPr>
          <w:trHeight w:val="241"/>
        </w:trPr>
        <w:tc>
          <w:tcPr>
            <w:tcW w:w="1160" w:type="dxa"/>
            <w:vAlign w:val="bottom"/>
          </w:tcPr>
          <w:p>
            <w:pPr>
              <w:spacing w:after="0"/>
              <w:rPr>
                <w:sz w:val="20"/>
                <w:szCs w:val="20"/>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to be so registered</w:t>
            </w:r>
          </w:p>
        </w:tc>
        <w:tc>
          <w:tcPr>
            <w:tcW w:w="1500" w:type="dxa"/>
            <w:vAlign w:val="bottom"/>
          </w:tcPr>
          <w:p>
            <w:pPr>
              <w:spacing w:after="0"/>
              <w:rPr>
                <w:sz w:val="20"/>
                <w:szCs w:val="20"/>
                <w:color w:val="auto"/>
              </w:rPr>
            </w:pPr>
          </w:p>
        </w:tc>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each class is to be registered</w:t>
            </w:r>
          </w:p>
        </w:tc>
      </w:tr>
      <w:tr>
        <w:trPr>
          <w:trHeight w:val="202"/>
        </w:trPr>
        <w:tc>
          <w:tcPr>
            <w:tcW w:w="1160" w:type="dxa"/>
            <w:vAlign w:val="bottom"/>
          </w:tcPr>
          <w:p>
            <w:pPr>
              <w:spacing w:after="0"/>
              <w:rPr>
                <w:sz w:val="17"/>
                <w:szCs w:val="17"/>
                <w:color w:val="auto"/>
              </w:rPr>
            </w:pPr>
          </w:p>
        </w:tc>
        <w:tc>
          <w:tcPr>
            <w:tcW w:w="3800" w:type="dxa"/>
            <w:vAlign w:val="bottom"/>
          </w:tcPr>
          <w:p>
            <w:pPr>
              <w:jc w:val="center"/>
              <w:spacing w:after="0" w:line="201" w:lineRule="exact"/>
              <w:rPr>
                <w:sz w:val="20"/>
                <w:szCs w:val="20"/>
                <w:color w:val="auto"/>
              </w:rPr>
            </w:pPr>
            <w:r>
              <w:rPr>
                <w:rFonts w:ascii="Arial" w:cs="Arial" w:eastAsia="Arial" w:hAnsi="Arial"/>
                <w:sz w:val="18"/>
                <w:szCs w:val="18"/>
                <w:color w:val="auto"/>
                <w:w w:val="92"/>
              </w:rPr>
              <w:t>Common Stock,</w:t>
            </w:r>
          </w:p>
        </w:tc>
        <w:tc>
          <w:tcPr>
            <w:tcW w:w="1500" w:type="dxa"/>
            <w:vAlign w:val="bottom"/>
          </w:tcPr>
          <w:p>
            <w:pPr>
              <w:spacing w:after="0"/>
              <w:rPr>
                <w:sz w:val="17"/>
                <w:szCs w:val="17"/>
                <w:color w:val="auto"/>
              </w:rPr>
            </w:pPr>
          </w:p>
        </w:tc>
        <w:tc>
          <w:tcPr>
            <w:tcW w:w="3820" w:type="dxa"/>
            <w:vAlign w:val="bottom"/>
          </w:tcPr>
          <w:p>
            <w:pPr>
              <w:jc w:val="center"/>
              <w:spacing w:after="0" w:line="201" w:lineRule="exact"/>
              <w:rPr>
                <w:sz w:val="20"/>
                <w:szCs w:val="20"/>
                <w:color w:val="auto"/>
              </w:rPr>
            </w:pPr>
            <w:r>
              <w:rPr>
                <w:rFonts w:ascii="Arial" w:cs="Arial" w:eastAsia="Arial" w:hAnsi="Arial"/>
                <w:sz w:val="18"/>
                <w:szCs w:val="18"/>
                <w:color w:val="auto"/>
                <w:w w:val="95"/>
              </w:rPr>
              <w:t>The NASDAQ Stock Market LLC</w:t>
            </w:r>
          </w:p>
        </w:tc>
      </w:tr>
      <w:tr>
        <w:trPr>
          <w:trHeight w:val="230"/>
        </w:trPr>
        <w:tc>
          <w:tcPr>
            <w:tcW w:w="1160" w:type="dxa"/>
            <w:vAlign w:val="bottom"/>
          </w:tcPr>
          <w:p>
            <w:pPr>
              <w:spacing w:after="0"/>
              <w:rPr>
                <w:sz w:val="20"/>
                <w:szCs w:val="20"/>
                <w:color w:val="auto"/>
              </w:rPr>
            </w:pPr>
          </w:p>
        </w:tc>
        <w:tc>
          <w:tcPr>
            <w:tcW w:w="3800" w:type="dxa"/>
            <w:vAlign w:val="bottom"/>
          </w:tcPr>
          <w:p>
            <w:pPr>
              <w:jc w:val="center"/>
              <w:spacing w:after="0"/>
              <w:rPr>
                <w:sz w:val="20"/>
                <w:szCs w:val="20"/>
                <w:color w:val="auto"/>
              </w:rPr>
            </w:pPr>
            <w:r>
              <w:rPr>
                <w:rFonts w:ascii="Arial" w:cs="Arial" w:eastAsia="Arial" w:hAnsi="Arial"/>
                <w:sz w:val="18"/>
                <w:szCs w:val="18"/>
                <w:color w:val="auto"/>
                <w:w w:val="88"/>
              </w:rPr>
              <w:t>$0.001 par value per share</w:t>
            </w:r>
          </w:p>
        </w:tc>
        <w:tc>
          <w:tcPr>
            <w:tcW w:w="1500" w:type="dxa"/>
            <w:vAlign w:val="bottom"/>
          </w:tcPr>
          <w:p>
            <w:pPr>
              <w:spacing w:after="0"/>
              <w:rPr>
                <w:sz w:val="20"/>
                <w:szCs w:val="20"/>
                <w:color w:val="auto"/>
              </w:rPr>
            </w:pPr>
          </w:p>
        </w:tc>
        <w:tc>
          <w:tcPr>
            <w:tcW w:w="3820" w:type="dxa"/>
            <w:vAlign w:val="bottom"/>
          </w:tcPr>
          <w:p>
            <w:pPr>
              <w:spacing w:after="0"/>
              <w:rPr>
                <w:sz w:val="20"/>
                <w:szCs w:val="20"/>
                <w:color w:val="auto"/>
              </w:rPr>
            </w:pPr>
          </w:p>
        </w:tc>
      </w:tr>
    </w:tbl>
    <w:p>
      <w:pPr>
        <w:spacing w:after="0" w:line="229" w:lineRule="exact"/>
        <w:rPr>
          <w:sz w:val="24"/>
          <w:szCs w:val="24"/>
          <w:color w:val="auto"/>
        </w:rPr>
      </w:pPr>
    </w:p>
    <w:p>
      <w:pPr>
        <w:jc w:val="both"/>
        <w:ind w:right="106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check the following box. </w:t>
      </w:r>
      <w:r>
        <w:rPr>
          <w:rFonts w:ascii="MS PGothic" w:cs="MS PGothic" w:eastAsia="MS PGothic" w:hAnsi="MS PGothic"/>
          <w:sz w:val="18"/>
          <w:szCs w:val="18"/>
          <w:color w:val="auto"/>
        </w:rPr>
        <w:t>☑</w:t>
      </w:r>
    </w:p>
    <w:p>
      <w:pPr>
        <w:spacing w:after="0" w:line="21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this form relates to the registration of a class of securities pursuant to Section 12(g) of the Exchange Act and is effective pursuant to General Instruction A. (d), check the following box. p</w:t>
      </w:r>
    </w:p>
    <w:p>
      <w:pPr>
        <w:spacing w:after="0" w:line="193"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Act registration statement file number to which this form relates: </w:t>
      </w:r>
      <w:r>
        <w:rPr>
          <w:rFonts w:ascii="Arial" w:cs="Arial" w:eastAsia="Arial" w:hAnsi="Arial"/>
          <w:sz w:val="18"/>
          <w:szCs w:val="18"/>
          <w:b w:val="1"/>
          <w:bCs w:val="1"/>
          <w:color w:val="auto"/>
        </w:rPr>
        <w:t>File No. 333-182846</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587375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01" w:right="319" w:bottom="1440" w:gutter="0" w:footer="0" w:header="0"/>
        </w:sectPr>
      </w:pPr>
    </w:p>
    <w:bookmarkStart w:id="1" w:name="page2"/>
    <w:bookmarkEnd w:id="1"/>
    <w:p>
      <w:pPr>
        <w:spacing w:after="0"/>
        <w:tabs>
          <w:tab w:leader="none" w:pos="7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Description of Registrant’s Securities to be Registered.</w:t>
      </w:r>
    </w:p>
    <w:p>
      <w:pPr>
        <w:spacing w:after="0" w:line="256"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Imprimis Pharmaceuticals, Inc. (the “Registrant”) hereby incorporates by reference the description of its common stock, par value $0.001 per share, to be registered hereunder that is contained under the heading “Description of Capital Stock” in the Registrant’s Registration Statement on Form S-1 (File No. 333-182846), as originally filed with the Securities and Exchange Commission (the “Commission”) on July 25, 2012 and as subsequently amended (the “Registration Statement”), and in the prospectus included in the Registration Statement to be filed separately by the Registrant with the Commission pursuant to Rule 424(b) under the Securities Act of 1933, as amended, which prospectus shall be deemed to be incorporated by reference herein.</w:t>
      </w:r>
    </w:p>
    <w:p>
      <w:pPr>
        <w:spacing w:after="0" w:line="18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Exhibits.</w:t>
      </w:r>
    </w:p>
    <w:p>
      <w:pPr>
        <w:spacing w:after="0" w:line="25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Pursuant to the Instructions as to Exhibits with respect to Form 8-A, no exhibits are required to be filed herewith because no other securities of the Registrant are registered on The NASDAQ Stock Market LLC and the securities registered hereby are not being registered pursuant to Section 12(g) of the Securities Exchange Act of 1934, as amended.</w:t>
      </w: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86" w:right="27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200" w:lineRule="exact"/>
        <w:rPr>
          <w:sz w:val="20"/>
          <w:szCs w:val="20"/>
          <w:color w:val="auto"/>
        </w:rPr>
      </w:pPr>
    </w:p>
    <w:p>
      <w:pPr>
        <w:spacing w:after="0" w:line="237"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spacing w:after="0"/>
        <w:tabs>
          <w:tab w:leader="none" w:pos="5560" w:val="left"/>
          <w:tab w:leader="none" w:pos="6060" w:val="left"/>
        </w:tabs>
        <w:rPr>
          <w:sz w:val="20"/>
          <w:szCs w:val="20"/>
          <w:color w:val="auto"/>
        </w:rPr>
      </w:pPr>
      <w:r>
        <w:rPr>
          <w:rFonts w:ascii="Arial" w:cs="Arial" w:eastAsia="Arial" w:hAnsi="Arial"/>
          <w:sz w:val="18"/>
          <w:szCs w:val="18"/>
          <w:color w:val="auto"/>
        </w:rPr>
        <w:t>Date: February 7,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Name:Andrew R. Boll</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Title: Vice-President of Accounting and Public Reporting</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220"/>
      </w:cols>
      <w:pgMar w:left="240" w:top="51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2020-02-25T13:16:19Z</dcterms:created>
  <dcterms:modified xsi:type="dcterms:W3CDTF">2020-02-25T13:16:19Z</dcterms:modified>
</cp:coreProperties>
</file>