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142240</wp:posOffset>
            </wp:positionH>
            <wp:positionV relativeFrom="page">
              <wp:posOffset>248920</wp:posOffset>
            </wp:positionV>
            <wp:extent cx="7277100"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7100" cy="33655"/>
                    </a:xfrm>
                    <a:prstGeom prst="rect">
                      <a:avLst/>
                    </a:prstGeom>
                    <a:noFill/>
                  </pic:spPr>
                </pic:pic>
              </a:graphicData>
            </a:graphic>
          </wp:anchor>
        </w:drawing>
        <w:drawing>
          <wp:anchor simplePos="0" relativeHeight="251657728" behindDoc="1" locked="0" layoutInCell="0" allowOverlap="1">
            <wp:simplePos x="0" y="0"/>
            <wp:positionH relativeFrom="page">
              <wp:posOffset>142240</wp:posOffset>
            </wp:positionH>
            <wp:positionV relativeFrom="page">
              <wp:posOffset>288925</wp:posOffset>
            </wp:positionV>
            <wp:extent cx="7277100"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7100" cy="13335"/>
                    </a:xfrm>
                    <a:prstGeom prst="rect">
                      <a:avLst/>
                    </a:prstGeom>
                    <a:noFill/>
                  </pic:spPr>
                </pic:pic>
              </a:graphicData>
            </a:graphic>
          </wp:anchor>
        </w:drawing>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CURRENT REPORT</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Pursuant to Section 13 OR 15(d) of The Securities Exchange Act of 1934</w:t>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Report (Date of earliest event reported): July 28, 2019</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HARROW HEALTH,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59"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Delaware</w:t>
            </w:r>
          </w:p>
        </w:tc>
        <w:tc>
          <w:tcPr>
            <w:tcW w:w="3100" w:type="dxa"/>
            <w:vAlign w:val="bottom"/>
            <w:gridSpan w:val="3"/>
          </w:tcPr>
          <w:p>
            <w:pPr>
              <w:jc w:val="center"/>
              <w:ind w:left="710"/>
              <w:spacing w:after="0"/>
              <w:rPr>
                <w:sz w:val="20"/>
                <w:szCs w:val="20"/>
                <w:color w:val="auto"/>
              </w:rPr>
            </w:pPr>
            <w:r>
              <w:rPr>
                <w:rFonts w:ascii="Arial" w:cs="Arial" w:eastAsia="Arial" w:hAnsi="Arial"/>
                <w:sz w:val="14"/>
                <w:szCs w:val="14"/>
                <w:b w:val="1"/>
                <w:bCs w:val="1"/>
                <w:color w:val="auto"/>
                <w:w w:val="89"/>
              </w:rPr>
              <w:t>001-35814</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540" w:type="dxa"/>
            <w:vAlign w:val="bottom"/>
            <w:gridSpan w:val="2"/>
          </w:tcPr>
          <w:p>
            <w:pPr>
              <w:jc w:val="center"/>
              <w:ind w:right="50"/>
              <w:spacing w:after="0"/>
              <w:rPr>
                <w:sz w:val="20"/>
                <w:szCs w:val="20"/>
                <w:color w:val="auto"/>
              </w:rPr>
            </w:pPr>
            <w:r>
              <w:rPr>
                <w:rFonts w:ascii="Arial" w:cs="Arial" w:eastAsia="Arial" w:hAnsi="Arial"/>
                <w:sz w:val="14"/>
                <w:szCs w:val="14"/>
                <w:b w:val="1"/>
                <w:bCs w:val="1"/>
                <w:color w:val="auto"/>
                <w:w w:val="88"/>
              </w:rPr>
              <w:t>45-0567010</w:t>
            </w:r>
          </w:p>
        </w:tc>
      </w:tr>
      <w:tr>
        <w:trPr>
          <w:trHeight w:val="168"/>
        </w:trPr>
        <w:tc>
          <w:tcPr>
            <w:tcW w:w="20" w:type="dxa"/>
            <w:vAlign w:val="bottom"/>
          </w:tcPr>
          <w:p>
            <w:pPr>
              <w:spacing w:after="0"/>
              <w:rPr>
                <w:sz w:val="14"/>
                <w:szCs w:val="14"/>
                <w:color w:val="auto"/>
              </w:rPr>
            </w:pPr>
          </w:p>
        </w:tc>
        <w:tc>
          <w:tcPr>
            <w:tcW w:w="378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(State or other jurisdiction</w:t>
            </w: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60" w:type="dxa"/>
            <w:vAlign w:val="bottom"/>
            <w:gridSpan w:val="3"/>
          </w:tcPr>
          <w:p>
            <w:pPr>
              <w:jc w:val="center"/>
              <w:ind w:right="1500"/>
              <w:spacing w:after="0"/>
              <w:rPr>
                <w:sz w:val="20"/>
                <w:szCs w:val="20"/>
                <w:color w:val="auto"/>
              </w:rPr>
            </w:pPr>
            <w:r>
              <w:rPr>
                <w:rFonts w:ascii="Arial" w:cs="Arial" w:eastAsia="Arial" w:hAnsi="Arial"/>
                <w:sz w:val="14"/>
                <w:szCs w:val="14"/>
                <w:color w:val="auto"/>
                <w:w w:val="93"/>
              </w:rPr>
              <w:t>(Commission</w:t>
            </w:r>
          </w:p>
        </w:tc>
        <w:tc>
          <w:tcPr>
            <w:tcW w:w="680" w:type="dxa"/>
            <w:vAlign w:val="bottom"/>
          </w:tcPr>
          <w:p>
            <w:pPr>
              <w:spacing w:after="0"/>
              <w:rPr>
                <w:sz w:val="14"/>
                <w:szCs w:val="14"/>
                <w:color w:val="auto"/>
              </w:rPr>
            </w:pPr>
          </w:p>
        </w:tc>
        <w:tc>
          <w:tcPr>
            <w:tcW w:w="2860" w:type="dxa"/>
            <w:vAlign w:val="bottom"/>
          </w:tcPr>
          <w:p>
            <w:pPr>
              <w:jc w:val="center"/>
              <w:ind w:right="730"/>
              <w:spacing w:after="0"/>
              <w:rPr>
                <w:sz w:val="20"/>
                <w:szCs w:val="20"/>
                <w:color w:val="auto"/>
              </w:rPr>
            </w:pPr>
            <w:r>
              <w:rPr>
                <w:rFonts w:ascii="Arial" w:cs="Arial" w:eastAsia="Arial" w:hAnsi="Arial"/>
                <w:sz w:val="14"/>
                <w:szCs w:val="14"/>
                <w:color w:val="auto"/>
                <w:w w:val="94"/>
              </w:rPr>
              <w:t>(IRS Employer</w:t>
            </w:r>
          </w:p>
        </w:tc>
      </w:tr>
      <w:tr>
        <w:trPr>
          <w:trHeight w:val="179"/>
        </w:trPr>
        <w:tc>
          <w:tcPr>
            <w:tcW w:w="20" w:type="dxa"/>
            <w:vAlign w:val="bottom"/>
          </w:tcPr>
          <w:p>
            <w:pPr>
              <w:spacing w:after="0"/>
              <w:rPr>
                <w:sz w:val="15"/>
                <w:szCs w:val="15"/>
                <w:color w:val="auto"/>
              </w:rPr>
            </w:pPr>
          </w:p>
        </w:tc>
        <w:tc>
          <w:tcPr>
            <w:tcW w:w="3780" w:type="dxa"/>
            <w:vAlign w:val="bottom"/>
            <w:gridSpan w:val="2"/>
          </w:tcPr>
          <w:p>
            <w:pPr>
              <w:jc w:val="center"/>
              <w:ind w:right="140"/>
              <w:spacing w:after="0"/>
              <w:rPr>
                <w:sz w:val="20"/>
                <w:szCs w:val="20"/>
                <w:color w:val="auto"/>
              </w:rPr>
            </w:pPr>
            <w:r>
              <w:rPr>
                <w:rFonts w:ascii="Arial" w:cs="Arial" w:eastAsia="Arial" w:hAnsi="Arial"/>
                <w:sz w:val="14"/>
                <w:szCs w:val="14"/>
                <w:color w:val="auto"/>
                <w:w w:val="94"/>
              </w:rPr>
              <w:t>of incorporation)</w:t>
            </w: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60" w:type="dxa"/>
            <w:vAlign w:val="bottom"/>
            <w:gridSpan w:val="3"/>
          </w:tcPr>
          <w:p>
            <w:pPr>
              <w:jc w:val="center"/>
              <w:ind w:right="1500"/>
              <w:spacing w:after="0"/>
              <w:rPr>
                <w:sz w:val="20"/>
                <w:szCs w:val="20"/>
                <w:color w:val="auto"/>
              </w:rPr>
            </w:pPr>
            <w:r>
              <w:rPr>
                <w:rFonts w:ascii="Arial" w:cs="Arial" w:eastAsia="Arial" w:hAnsi="Arial"/>
                <w:sz w:val="14"/>
                <w:szCs w:val="14"/>
                <w:color w:val="auto"/>
                <w:w w:val="93"/>
              </w:rPr>
              <w:t>File Number)</w:t>
            </w:r>
          </w:p>
        </w:tc>
        <w:tc>
          <w:tcPr>
            <w:tcW w:w="680" w:type="dxa"/>
            <w:vAlign w:val="bottom"/>
          </w:tcPr>
          <w:p>
            <w:pPr>
              <w:spacing w:after="0"/>
              <w:rPr>
                <w:sz w:val="15"/>
                <w:szCs w:val="15"/>
                <w:color w:val="auto"/>
              </w:rPr>
            </w:pPr>
          </w:p>
        </w:tc>
        <w:tc>
          <w:tcPr>
            <w:tcW w:w="2860" w:type="dxa"/>
            <w:vAlign w:val="bottom"/>
          </w:tcPr>
          <w:p>
            <w:pPr>
              <w:jc w:val="center"/>
              <w:ind w:right="710"/>
              <w:spacing w:after="0"/>
              <w:rPr>
                <w:sz w:val="20"/>
                <w:szCs w:val="20"/>
                <w:color w:val="auto"/>
              </w:rPr>
            </w:pPr>
            <w:r>
              <w:rPr>
                <w:rFonts w:ascii="Arial" w:cs="Arial" w:eastAsia="Arial" w:hAnsi="Arial"/>
                <w:sz w:val="14"/>
                <w:szCs w:val="14"/>
                <w:color w:val="auto"/>
                <w:w w:val="95"/>
              </w:rPr>
              <w:t>Identification No.)</w:t>
            </w:r>
          </w:p>
        </w:tc>
      </w:tr>
      <w:tr>
        <w:trPr>
          <w:trHeight w:val="321"/>
        </w:trPr>
        <w:tc>
          <w:tcPr>
            <w:tcW w:w="20" w:type="dxa"/>
            <w:vAlign w:val="bottom"/>
          </w:tcPr>
          <w:p>
            <w:pPr>
              <w:spacing w:after="0"/>
              <w:rPr>
                <w:sz w:val="24"/>
                <w:szCs w:val="24"/>
                <w:color w:val="auto"/>
              </w:rPr>
            </w:pPr>
          </w:p>
        </w:tc>
        <w:tc>
          <w:tcPr>
            <w:tcW w:w="3780" w:type="dxa"/>
            <w:vAlign w:val="bottom"/>
            <w:gridSpan w:val="2"/>
          </w:tcPr>
          <w:p>
            <w:pPr>
              <w:jc w:val="center"/>
              <w:ind w:left="1750"/>
              <w:spacing w:after="0"/>
              <w:rPr>
                <w:sz w:val="20"/>
                <w:szCs w:val="20"/>
                <w:color w:val="auto"/>
              </w:rPr>
            </w:pPr>
            <w:r>
              <w:rPr>
                <w:rFonts w:ascii="Arial" w:cs="Arial" w:eastAsia="Arial" w:hAnsi="Arial"/>
                <w:sz w:val="14"/>
                <w:szCs w:val="14"/>
                <w:b w:val="1"/>
                <w:bCs w:val="1"/>
                <w:color w:val="auto"/>
                <w:w w:val="91"/>
              </w:rPr>
              <w:t>12264 El Camino Real, Suite 350</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172"/>
        </w:trPr>
        <w:tc>
          <w:tcPr>
            <w:tcW w:w="20" w:type="dxa"/>
            <w:vAlign w:val="bottom"/>
          </w:tcPr>
          <w:p>
            <w:pPr>
              <w:spacing w:after="0"/>
              <w:rPr>
                <w:sz w:val="14"/>
                <w:szCs w:val="14"/>
                <w:color w:val="auto"/>
              </w:rPr>
            </w:pPr>
          </w:p>
        </w:tc>
        <w:tc>
          <w:tcPr>
            <w:tcW w:w="3780" w:type="dxa"/>
            <w:vAlign w:val="bottom"/>
            <w:gridSpan w:val="2"/>
          </w:tcPr>
          <w:p>
            <w:pPr>
              <w:jc w:val="center"/>
              <w:ind w:left="1750"/>
              <w:spacing w:after="0"/>
              <w:rPr>
                <w:sz w:val="20"/>
                <w:szCs w:val="20"/>
                <w:color w:val="auto"/>
              </w:rPr>
            </w:pPr>
            <w:r>
              <w:rPr>
                <w:rFonts w:ascii="Arial" w:cs="Arial" w:eastAsia="Arial" w:hAnsi="Arial"/>
                <w:sz w:val="14"/>
                <w:szCs w:val="14"/>
                <w:b w:val="1"/>
                <w:bCs w:val="1"/>
                <w:color w:val="auto"/>
                <w:w w:val="91"/>
              </w:rPr>
              <w:t>San Diego, CA</w:t>
            </w: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540" w:type="dxa"/>
            <w:vAlign w:val="bottom"/>
            <w:gridSpan w:val="2"/>
          </w:tcPr>
          <w:p>
            <w:pPr>
              <w:jc w:val="right"/>
              <w:ind w:right="2550"/>
              <w:spacing w:after="0"/>
              <w:rPr>
                <w:sz w:val="20"/>
                <w:szCs w:val="20"/>
                <w:color w:val="auto"/>
              </w:rPr>
            </w:pPr>
            <w:r>
              <w:rPr>
                <w:rFonts w:ascii="Arial" w:cs="Arial" w:eastAsia="Arial" w:hAnsi="Arial"/>
                <w:sz w:val="14"/>
                <w:szCs w:val="14"/>
                <w:b w:val="1"/>
                <w:bCs w:val="1"/>
                <w:color w:val="auto"/>
              </w:rPr>
              <w:t>92130</w:t>
            </w:r>
          </w:p>
        </w:tc>
      </w:tr>
      <w:tr>
        <w:trPr>
          <w:trHeight w:val="179"/>
        </w:trPr>
        <w:tc>
          <w:tcPr>
            <w:tcW w:w="20" w:type="dxa"/>
            <w:vAlign w:val="bottom"/>
          </w:tcPr>
          <w:p>
            <w:pPr>
              <w:spacing w:after="0"/>
              <w:rPr>
                <w:sz w:val="15"/>
                <w:szCs w:val="15"/>
                <w:color w:val="auto"/>
              </w:rPr>
            </w:pPr>
          </w:p>
        </w:tc>
        <w:tc>
          <w:tcPr>
            <w:tcW w:w="7900" w:type="dxa"/>
            <w:vAlign w:val="bottom"/>
            <w:gridSpan w:val="7"/>
          </w:tcPr>
          <w:p>
            <w:pPr>
              <w:jc w:val="center"/>
              <w:ind w:right="2320"/>
              <w:spacing w:after="0"/>
              <w:rPr>
                <w:sz w:val="20"/>
                <w:szCs w:val="20"/>
                <w:color w:val="auto"/>
              </w:rPr>
            </w:pPr>
            <w:r>
              <w:rPr>
                <w:rFonts w:ascii="Arial" w:cs="Arial" w:eastAsia="Arial" w:hAnsi="Arial"/>
                <w:sz w:val="14"/>
                <w:szCs w:val="14"/>
                <w:color w:val="auto"/>
                <w:w w:val="92"/>
              </w:rPr>
              <w:t>(Address of principal executive offices)</w:t>
            </w:r>
          </w:p>
        </w:tc>
        <w:tc>
          <w:tcPr>
            <w:tcW w:w="3540" w:type="dxa"/>
            <w:vAlign w:val="bottom"/>
            <w:gridSpan w:val="2"/>
          </w:tcPr>
          <w:p>
            <w:pPr>
              <w:jc w:val="center"/>
              <w:ind w:right="1990"/>
              <w:spacing w:after="0"/>
              <w:rPr>
                <w:sz w:val="20"/>
                <w:szCs w:val="20"/>
                <w:color w:val="auto"/>
              </w:rPr>
            </w:pPr>
            <w:r>
              <w:rPr>
                <w:rFonts w:ascii="Arial" w:cs="Arial" w:eastAsia="Arial" w:hAnsi="Arial"/>
                <w:sz w:val="14"/>
                <w:szCs w:val="14"/>
                <w:color w:val="auto"/>
                <w:w w:val="90"/>
              </w:rPr>
              <w:t>(Zip Code)</w:t>
            </w:r>
          </w:p>
        </w:tc>
      </w:tr>
      <w:tr>
        <w:trPr>
          <w:trHeight w:val="336"/>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120" w:type="dxa"/>
            <w:vAlign w:val="bottom"/>
            <w:gridSpan w:val="5"/>
          </w:tcPr>
          <w:p>
            <w:pPr>
              <w:jc w:val="center"/>
              <w:ind w:right="260"/>
              <w:spacing w:after="0"/>
              <w:rPr>
                <w:sz w:val="20"/>
                <w:szCs w:val="20"/>
                <w:color w:val="auto"/>
              </w:rPr>
            </w:pPr>
            <w:r>
              <w:rPr>
                <w:rFonts w:ascii="Arial" w:cs="Arial" w:eastAsia="Arial" w:hAnsi="Arial"/>
                <w:sz w:val="14"/>
                <w:szCs w:val="14"/>
                <w:color w:val="auto"/>
                <w:w w:val="90"/>
              </w:rPr>
              <w:t xml:space="preserve">Registrant’s telephone number, including area code: </w:t>
            </w:r>
            <w:r>
              <w:rPr>
                <w:rFonts w:ascii="Arial" w:cs="Arial" w:eastAsia="Arial" w:hAnsi="Arial"/>
                <w:sz w:val="14"/>
                <w:szCs w:val="14"/>
                <w:b w:val="1"/>
                <w:bCs w:val="1"/>
                <w:color w:val="auto"/>
                <w:w w:val="90"/>
              </w:rPr>
              <w:t>(858) 704-4040</w:t>
            </w:r>
          </w:p>
        </w:tc>
        <w:tc>
          <w:tcPr>
            <w:tcW w:w="68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337"/>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3"/>
          </w:tcPr>
          <w:p>
            <w:pPr>
              <w:jc w:val="center"/>
              <w:ind w:right="1500"/>
              <w:spacing w:after="0"/>
              <w:rPr>
                <w:sz w:val="20"/>
                <w:szCs w:val="20"/>
                <w:color w:val="auto"/>
              </w:rPr>
            </w:pPr>
            <w:r>
              <w:rPr>
                <w:rFonts w:ascii="Arial" w:cs="Arial" w:eastAsia="Arial" w:hAnsi="Arial"/>
                <w:sz w:val="14"/>
                <w:szCs w:val="14"/>
                <w:b w:val="1"/>
                <w:bCs w:val="1"/>
                <w:color w:val="auto"/>
                <w:w w:val="99"/>
              </w:rPr>
              <w:t>N/A</w:t>
            </w:r>
          </w:p>
        </w:tc>
        <w:tc>
          <w:tcPr>
            <w:tcW w:w="680" w:type="dxa"/>
            <w:vAlign w:val="bottom"/>
            <w:tcBorders>
              <w:bottom w:val="single" w:sz="8" w:color="auto"/>
            </w:tcBorders>
          </w:tcPr>
          <w:p>
            <w:pPr>
              <w:spacing w:after="0"/>
              <w:rPr>
                <w:sz w:val="24"/>
                <w:szCs w:val="24"/>
                <w:color w:val="auto"/>
              </w:rPr>
            </w:pPr>
          </w:p>
        </w:tc>
        <w:tc>
          <w:tcPr>
            <w:tcW w:w="2860" w:type="dxa"/>
            <w:vAlign w:val="bottom"/>
          </w:tcPr>
          <w:p>
            <w:pPr>
              <w:spacing w:after="0"/>
              <w:rPr>
                <w:sz w:val="24"/>
                <w:szCs w:val="24"/>
                <w:color w:val="auto"/>
              </w:rPr>
            </w:pPr>
          </w:p>
        </w:tc>
      </w:tr>
      <w:tr>
        <w:trPr>
          <w:trHeight w:val="179"/>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120" w:type="dxa"/>
            <w:vAlign w:val="bottom"/>
            <w:gridSpan w:val="5"/>
          </w:tcPr>
          <w:p>
            <w:pPr>
              <w:jc w:val="center"/>
              <w:ind w:right="240"/>
              <w:spacing w:after="0"/>
              <w:rPr>
                <w:sz w:val="20"/>
                <w:szCs w:val="20"/>
                <w:color w:val="auto"/>
              </w:rPr>
            </w:pPr>
            <w:r>
              <w:rPr>
                <w:rFonts w:ascii="Arial" w:cs="Arial" w:eastAsia="Arial" w:hAnsi="Arial"/>
                <w:sz w:val="14"/>
                <w:szCs w:val="14"/>
                <w:color w:val="auto"/>
                <w:w w:val="89"/>
              </w:rPr>
              <w:t>(Former name or former address if changed since last report.)</w:t>
            </w:r>
          </w:p>
        </w:tc>
        <w:tc>
          <w:tcPr>
            <w:tcW w:w="680" w:type="dxa"/>
            <w:vAlign w:val="bottom"/>
          </w:tcPr>
          <w:p>
            <w:pPr>
              <w:spacing w:after="0"/>
              <w:rPr>
                <w:sz w:val="15"/>
                <w:szCs w:val="15"/>
                <w:color w:val="auto"/>
              </w:rPr>
            </w:pPr>
          </w:p>
        </w:tc>
        <w:tc>
          <w:tcPr>
            <w:tcW w:w="2860" w:type="dxa"/>
            <w:vAlign w:val="bottom"/>
          </w:tcPr>
          <w:p>
            <w:pPr>
              <w:spacing w:after="0"/>
              <w:rPr>
                <w:sz w:val="15"/>
                <w:szCs w:val="15"/>
                <w:color w:val="auto"/>
              </w:rPr>
            </w:pPr>
          </w:p>
        </w:tc>
      </w:tr>
      <w:tr>
        <w:trPr>
          <w:trHeight w:val="325"/>
        </w:trPr>
        <w:tc>
          <w:tcPr>
            <w:tcW w:w="3800" w:type="dxa"/>
            <w:vAlign w:val="bottom"/>
            <w:gridSpan w:val="3"/>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348"/>
        </w:trPr>
        <w:tc>
          <w:tcPr>
            <w:tcW w:w="20" w:type="dxa"/>
            <w:vAlign w:val="bottom"/>
          </w:tcPr>
          <w:p>
            <w:pPr>
              <w:spacing w:after="0"/>
              <w:rPr>
                <w:sz w:val="24"/>
                <w:szCs w:val="24"/>
                <w:color w:val="auto"/>
              </w:rPr>
            </w:pPr>
          </w:p>
        </w:tc>
        <w:tc>
          <w:tcPr>
            <w:tcW w:w="3780" w:type="dxa"/>
            <w:vAlign w:val="bottom"/>
            <w:gridSpan w:val="2"/>
          </w:tcPr>
          <w:p>
            <w:pPr>
              <w:jc w:val="center"/>
              <w:ind w:left="950"/>
              <w:spacing w:after="0"/>
              <w:rPr>
                <w:sz w:val="20"/>
                <w:szCs w:val="20"/>
                <w:color w:val="auto"/>
              </w:rPr>
            </w:pPr>
            <w:r>
              <w:rPr>
                <w:rFonts w:ascii="Arial" w:cs="Arial" w:eastAsia="Arial" w:hAnsi="Arial"/>
                <w:sz w:val="14"/>
                <w:szCs w:val="14"/>
                <w:color w:val="auto"/>
                <w:w w:val="89"/>
              </w:rPr>
              <w:t>Title of each class</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60" w:type="dxa"/>
            <w:vAlign w:val="bottom"/>
            <w:gridSpan w:val="3"/>
          </w:tcPr>
          <w:p>
            <w:pPr>
              <w:jc w:val="center"/>
              <w:ind w:right="1040"/>
              <w:spacing w:after="0"/>
              <w:rPr>
                <w:sz w:val="20"/>
                <w:szCs w:val="20"/>
                <w:color w:val="auto"/>
              </w:rPr>
            </w:pPr>
            <w:r>
              <w:rPr>
                <w:rFonts w:ascii="Arial" w:cs="Arial" w:eastAsia="Arial" w:hAnsi="Arial"/>
                <w:sz w:val="14"/>
                <w:szCs w:val="14"/>
                <w:color w:val="auto"/>
                <w:w w:val="92"/>
              </w:rPr>
              <w:t>Trading Symbol(s)</w:t>
            </w:r>
          </w:p>
        </w:tc>
        <w:tc>
          <w:tcPr>
            <w:tcW w:w="3540" w:type="dxa"/>
            <w:vAlign w:val="bottom"/>
            <w:gridSpan w:val="2"/>
          </w:tcPr>
          <w:p>
            <w:pPr>
              <w:jc w:val="center"/>
              <w:ind w:right="730"/>
              <w:spacing w:after="0"/>
              <w:rPr>
                <w:sz w:val="20"/>
                <w:szCs w:val="20"/>
                <w:color w:val="auto"/>
              </w:rPr>
            </w:pPr>
            <w:r>
              <w:rPr>
                <w:rFonts w:ascii="Arial" w:cs="Arial" w:eastAsia="Arial" w:hAnsi="Arial"/>
                <w:sz w:val="14"/>
                <w:szCs w:val="14"/>
                <w:color w:val="auto"/>
                <w:w w:val="89"/>
              </w:rPr>
              <w:t>Name on exchange on which registered</w:t>
            </w:r>
          </w:p>
        </w:tc>
      </w:tr>
      <w:tr>
        <w:trPr>
          <w:trHeight w:val="179"/>
        </w:trPr>
        <w:tc>
          <w:tcPr>
            <w:tcW w:w="20" w:type="dxa"/>
            <w:vAlign w:val="bottom"/>
          </w:tcPr>
          <w:p>
            <w:pPr>
              <w:spacing w:after="0"/>
              <w:rPr>
                <w:sz w:val="15"/>
                <w:szCs w:val="15"/>
                <w:color w:val="auto"/>
              </w:rPr>
            </w:pPr>
          </w:p>
        </w:tc>
        <w:tc>
          <w:tcPr>
            <w:tcW w:w="3780" w:type="dxa"/>
            <w:vAlign w:val="bottom"/>
            <w:tcBorders>
              <w:top w:val="single" w:sz="8" w:color="auto"/>
            </w:tcBorders>
            <w:gridSpan w:val="2"/>
          </w:tcPr>
          <w:p>
            <w:pPr>
              <w:jc w:val="center"/>
              <w:ind w:left="930"/>
              <w:spacing w:after="0"/>
              <w:rPr>
                <w:sz w:val="20"/>
                <w:szCs w:val="20"/>
                <w:color w:val="auto"/>
              </w:rPr>
            </w:pPr>
            <w:r>
              <w:rPr>
                <w:rFonts w:ascii="Arial" w:cs="Arial" w:eastAsia="Arial" w:hAnsi="Arial"/>
                <w:sz w:val="14"/>
                <w:szCs w:val="14"/>
                <w:color w:val="auto"/>
                <w:w w:val="89"/>
              </w:rPr>
              <w:t>Common Stock, $0.001 par value per share</w:t>
            </w:r>
          </w:p>
        </w:tc>
        <w:tc>
          <w:tcPr>
            <w:tcW w:w="10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HROW</w:t>
            </w:r>
          </w:p>
        </w:tc>
        <w:tc>
          <w:tcPr>
            <w:tcW w:w="22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3540" w:type="dxa"/>
            <w:vAlign w:val="bottom"/>
            <w:tcBorders>
              <w:top w:val="single" w:sz="8" w:color="auto"/>
            </w:tcBorders>
            <w:gridSpan w:val="2"/>
          </w:tcPr>
          <w:p>
            <w:pPr>
              <w:jc w:val="center"/>
              <w:ind w:right="730"/>
              <w:spacing w:after="0"/>
              <w:rPr>
                <w:sz w:val="20"/>
                <w:szCs w:val="20"/>
                <w:color w:val="auto"/>
              </w:rPr>
            </w:pPr>
            <w:r>
              <w:rPr>
                <w:rFonts w:ascii="Arial" w:cs="Arial" w:eastAsia="Arial" w:hAnsi="Arial"/>
                <w:sz w:val="14"/>
                <w:szCs w:val="14"/>
                <w:color w:val="auto"/>
                <w:w w:val="93"/>
              </w:rPr>
              <w:t>The NASDAQ Capital Market</w:t>
            </w:r>
          </w:p>
        </w:tc>
      </w:tr>
    </w:tbl>
    <w:p>
      <w:pPr>
        <w:spacing w:after="0" w:line="147"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120" w:hanging="116"/>
        <w:spacing w:after="0"/>
        <w:tabs>
          <w:tab w:leader="none" w:pos="120" w:val="left"/>
        </w:tabs>
        <w:numPr>
          <w:ilvl w:val="0"/>
          <w:numId w:val="1"/>
        </w:numPr>
        <w:rPr>
          <w:rFonts w:ascii="Arial" w:cs="Arial" w:eastAsia="Arial" w:hAnsi="Arial"/>
          <w:sz w:val="14"/>
          <w:szCs w:val="14"/>
          <w:color w:val="auto"/>
        </w:rPr>
      </w:pPr>
      <w:r>
        <w:rPr>
          <w:rFonts w:ascii="Arial" w:cs="Arial" w:eastAsia="Arial" w:hAnsi="Arial"/>
          <w:sz w:val="14"/>
          <w:szCs w:val="14"/>
          <w:color w:val="auto"/>
        </w:rPr>
        <w:t>]  Written communications pursuant to Rule 425 under the Securities Act (17 CFR 230.425)</w:t>
      </w:r>
    </w:p>
    <w:p>
      <w:pPr>
        <w:spacing w:after="0" w:line="175" w:lineRule="exact"/>
        <w:rPr>
          <w:rFonts w:ascii="Arial" w:cs="Arial" w:eastAsia="Arial" w:hAnsi="Arial"/>
          <w:sz w:val="14"/>
          <w:szCs w:val="14"/>
          <w:color w:val="auto"/>
        </w:rPr>
      </w:pPr>
    </w:p>
    <w:p>
      <w:pPr>
        <w:ind w:left="120" w:hanging="116"/>
        <w:spacing w:after="0"/>
        <w:tabs>
          <w:tab w:leader="none" w:pos="120" w:val="left"/>
        </w:tabs>
        <w:numPr>
          <w:ilvl w:val="0"/>
          <w:numId w:val="1"/>
        </w:numPr>
        <w:rPr>
          <w:rFonts w:ascii="Arial" w:cs="Arial" w:eastAsia="Arial" w:hAnsi="Arial"/>
          <w:sz w:val="14"/>
          <w:szCs w:val="14"/>
          <w:color w:val="auto"/>
        </w:rPr>
      </w:pPr>
      <w:r>
        <w:rPr>
          <w:rFonts w:ascii="Arial" w:cs="Arial" w:eastAsia="Arial" w:hAnsi="Arial"/>
          <w:sz w:val="14"/>
          <w:szCs w:val="14"/>
          <w:color w:val="auto"/>
        </w:rPr>
        <w:t>]  Soliciting material pursuant to Rule 14a-12 under the Exchange Act (17 CFR 240.14a-12)</w:t>
      </w:r>
    </w:p>
    <w:p>
      <w:pPr>
        <w:spacing w:after="0" w:line="175" w:lineRule="exact"/>
        <w:rPr>
          <w:rFonts w:ascii="Arial" w:cs="Arial" w:eastAsia="Arial" w:hAnsi="Arial"/>
          <w:sz w:val="14"/>
          <w:szCs w:val="14"/>
          <w:color w:val="auto"/>
        </w:rPr>
      </w:pPr>
    </w:p>
    <w:p>
      <w:pPr>
        <w:ind w:left="120" w:hanging="116"/>
        <w:spacing w:after="0"/>
        <w:tabs>
          <w:tab w:leader="none" w:pos="120" w:val="left"/>
        </w:tabs>
        <w:numPr>
          <w:ilvl w:val="0"/>
          <w:numId w:val="1"/>
        </w:numPr>
        <w:rPr>
          <w:rFonts w:ascii="Arial" w:cs="Arial" w:eastAsia="Arial" w:hAnsi="Arial"/>
          <w:sz w:val="14"/>
          <w:szCs w:val="14"/>
          <w:color w:val="auto"/>
        </w:rPr>
      </w:pPr>
      <w:r>
        <w:rPr>
          <w:rFonts w:ascii="Arial" w:cs="Arial" w:eastAsia="Arial" w:hAnsi="Arial"/>
          <w:sz w:val="14"/>
          <w:szCs w:val="14"/>
          <w:color w:val="auto"/>
        </w:rPr>
        <w:t>]  Pre-commencement communications pursuant to Rule 14d-2(b) under the Exchange Act (17 CFR 240.14d-2(b))</w:t>
      </w:r>
    </w:p>
    <w:p>
      <w:pPr>
        <w:spacing w:after="0" w:line="175" w:lineRule="exact"/>
        <w:rPr>
          <w:rFonts w:ascii="Arial" w:cs="Arial" w:eastAsia="Arial" w:hAnsi="Arial"/>
          <w:sz w:val="14"/>
          <w:szCs w:val="14"/>
          <w:color w:val="auto"/>
        </w:rPr>
      </w:pPr>
    </w:p>
    <w:p>
      <w:pPr>
        <w:ind w:left="120" w:hanging="116"/>
        <w:spacing w:after="0"/>
        <w:tabs>
          <w:tab w:leader="none" w:pos="120" w:val="left"/>
        </w:tabs>
        <w:numPr>
          <w:ilvl w:val="0"/>
          <w:numId w:val="1"/>
        </w:numPr>
        <w:rPr>
          <w:rFonts w:ascii="Arial" w:cs="Arial" w:eastAsia="Arial" w:hAnsi="Arial"/>
          <w:sz w:val="14"/>
          <w:szCs w:val="14"/>
          <w:color w:val="auto"/>
        </w:rPr>
      </w:pPr>
      <w:r>
        <w:rPr>
          <w:rFonts w:ascii="Arial" w:cs="Arial" w:eastAsia="Arial" w:hAnsi="Arial"/>
          <w:sz w:val="14"/>
          <w:szCs w:val="14"/>
          <w:color w:val="auto"/>
        </w:rPr>
        <w:t>]  Pre-commencement communications pursuant to Rule 13e-4(c) under the Exchange Act (17 CFR 240.13e-4(c))</w:t>
      </w:r>
    </w:p>
    <w:p>
      <w:pPr>
        <w:spacing w:after="0" w:line="175" w:lineRule="exact"/>
        <w:rPr>
          <w:sz w:val="24"/>
          <w:szCs w:val="24"/>
          <w:color w:val="auto"/>
        </w:rPr>
      </w:pPr>
    </w:p>
    <w:p>
      <w:pPr>
        <w:ind w:right="40"/>
        <w:spacing w:after="0" w:line="277"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or Rule 12b-2 of the Securities Act of 1934: Emerging growth company [ ]</w:t>
      </w:r>
    </w:p>
    <w:p>
      <w:pPr>
        <w:spacing w:after="0" w:line="133" w:lineRule="exact"/>
        <w:rPr>
          <w:sz w:val="24"/>
          <w:szCs w:val="24"/>
          <w:color w:val="auto"/>
        </w:rPr>
      </w:pPr>
    </w:p>
    <w:p>
      <w:pPr>
        <w:spacing w:after="0" w:line="277" w:lineRule="auto"/>
        <w:rPr>
          <w:sz w:val="20"/>
          <w:szCs w:val="20"/>
          <w:color w:val="auto"/>
        </w:rPr>
      </w:pPr>
      <w:r>
        <w:rPr>
          <w:rFonts w:ascii="Arial" w:cs="Arial" w:eastAsia="Arial" w:hAnsi="Arial"/>
          <w:sz w:val="14"/>
          <w:szCs w:val="14"/>
          <w:color w:val="auto"/>
        </w:rPr>
        <w:t>If any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90805</wp:posOffset>
            </wp:positionV>
            <wp:extent cx="7277100" cy="13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7100" cy="133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117475</wp:posOffset>
            </wp:positionV>
            <wp:extent cx="7277100" cy="33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7100" cy="336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364490</wp:posOffset>
            </wp:positionV>
            <wp:extent cx="7277100" cy="13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612" w:right="219" w:bottom="1440" w:gutter="0" w:footer="0" w:header="0"/>
        </w:sectPr>
      </w:pPr>
    </w:p>
    <w:bookmarkStart w:id="1" w:name="page2"/>
    <w:bookmarkEnd w:id="1"/>
    <w:p>
      <w:pPr>
        <w:spacing w:after="0"/>
        <w:rPr>
          <w:sz w:val="20"/>
          <w:szCs w:val="20"/>
          <w:color w:val="auto"/>
        </w:rPr>
      </w:pPr>
      <w:r>
        <w:rPr>
          <w:rFonts w:ascii="Arial" w:cs="Arial" w:eastAsia="Arial" w:hAnsi="Arial"/>
          <w:sz w:val="14"/>
          <w:szCs w:val="14"/>
          <w:b w:val="1"/>
          <w:bCs w:val="1"/>
          <w:color w:val="auto"/>
        </w:rPr>
        <w:t>Item 1.01 Entry into a Material Definitive Agreement.</w:t>
      </w:r>
    </w:p>
    <w:p>
      <w:pPr>
        <w:spacing w:after="0" w:line="179" w:lineRule="exact"/>
        <w:rPr>
          <w:sz w:val="20"/>
          <w:szCs w:val="20"/>
          <w:color w:val="auto"/>
        </w:rPr>
      </w:pPr>
    </w:p>
    <w:p>
      <w:pPr>
        <w:jc w:val="both"/>
        <w:ind w:firstLine="504"/>
        <w:spacing w:after="0" w:line="277" w:lineRule="auto"/>
        <w:rPr>
          <w:sz w:val="20"/>
          <w:szCs w:val="20"/>
          <w:color w:val="auto"/>
        </w:rPr>
      </w:pPr>
      <w:r>
        <w:rPr>
          <w:rFonts w:ascii="Arial" w:cs="Arial" w:eastAsia="Arial" w:hAnsi="Arial"/>
          <w:sz w:val="13"/>
          <w:szCs w:val="13"/>
          <w:color w:val="auto"/>
        </w:rPr>
        <w:t>On July 28, 2019, Mayfield Pharmaceuticals, Inc. (“Mayfield”), a subsidiary of Harrow Health, Inc. (the “Company”) entered into a License Agreement (the “TGV License”) with TGV-Health, LLC and TGV-Gyneconix, LLC (collectively, “TGV”), to acquire intellectual property rights for use in the women’s health field, related to Mayfield’s proprietary drug candidate MAY-66. The TGV License provides that TGV will cooperate with Mayfield in transferring all embodiments of the intellectual property (including know-how) related to the TGV License, assist in obtaining and protecting its patent rights for the acquired intellectual property and that Mayfield will use commercially reasonable efforts to research, develop and commercialize products based on the acquired intellectual property. In connection with the TGV License, Mayfield is obligated to make royalty payments to TGV equal to a low single digit percentage of net sales received by Mayfield in connection with the sale or licensing of any product based on the licensed intellectual property. In addition, Mayfield issued 300,000 shares of its common stock to TGV and is required to make certain milestone payments to TGV over the development of MAY-66 and any related products based on the licensed intellectual property.</w:t>
      </w:r>
    </w:p>
    <w:p>
      <w:pPr>
        <w:spacing w:after="0" w:line="137" w:lineRule="exact"/>
        <w:rPr>
          <w:sz w:val="20"/>
          <w:szCs w:val="20"/>
          <w:color w:val="auto"/>
        </w:rPr>
      </w:pPr>
    </w:p>
    <w:p>
      <w:pPr>
        <w:ind w:left="500"/>
        <w:spacing w:after="0"/>
        <w:rPr>
          <w:sz w:val="20"/>
          <w:szCs w:val="20"/>
          <w:color w:val="auto"/>
        </w:rPr>
      </w:pPr>
      <w:r>
        <w:rPr>
          <w:rFonts w:ascii="Arial" w:cs="Arial" w:eastAsia="Arial" w:hAnsi="Arial"/>
          <w:sz w:val="13"/>
          <w:szCs w:val="13"/>
          <w:color w:val="auto"/>
        </w:rPr>
        <w:t>The foregoing is only a brief description of the material terms of the TGV License and does not purport to be a complete description of the rights and obligations of the parties thereunder.</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7.01. Regulation FD Disclosure</w:t>
      </w:r>
    </w:p>
    <w:p>
      <w:pPr>
        <w:spacing w:after="0" w:line="179" w:lineRule="exact"/>
        <w:rPr>
          <w:sz w:val="20"/>
          <w:szCs w:val="20"/>
          <w:color w:val="auto"/>
        </w:rPr>
      </w:pPr>
    </w:p>
    <w:p>
      <w:pPr>
        <w:jc w:val="both"/>
        <w:ind w:firstLine="504"/>
        <w:spacing w:after="0" w:line="277" w:lineRule="auto"/>
        <w:rPr>
          <w:sz w:val="20"/>
          <w:szCs w:val="20"/>
          <w:color w:val="auto"/>
        </w:rPr>
      </w:pPr>
      <w:r>
        <w:rPr>
          <w:rFonts w:ascii="Arial" w:cs="Arial" w:eastAsia="Arial" w:hAnsi="Arial"/>
          <w:sz w:val="14"/>
          <w:szCs w:val="14"/>
          <w:color w:val="auto"/>
        </w:rPr>
        <w:t>Attached as Exhibit 99.1 to this Item 7.01 is a presentation of Mayfield, a subsidiary of the Company, that is being used by the management of the Company at investor conferences and at meetings describing Mayfield and the Company.</w:t>
      </w:r>
    </w:p>
    <w:p>
      <w:pPr>
        <w:spacing w:after="0" w:line="133" w:lineRule="exact"/>
        <w:rPr>
          <w:sz w:val="20"/>
          <w:szCs w:val="20"/>
          <w:color w:val="auto"/>
        </w:rPr>
      </w:pPr>
    </w:p>
    <w:p>
      <w:pPr>
        <w:jc w:val="both"/>
        <w:ind w:firstLine="504"/>
        <w:spacing w:after="0" w:line="363" w:lineRule="auto"/>
        <w:rPr>
          <w:sz w:val="20"/>
          <w:szCs w:val="20"/>
          <w:color w:val="auto"/>
        </w:rPr>
      </w:pPr>
      <w:r>
        <w:rPr>
          <w:rFonts w:ascii="Arial" w:cs="Arial" w:eastAsia="Arial" w:hAnsi="Arial"/>
          <w:sz w:val="12"/>
          <w:szCs w:val="12"/>
          <w:color w:val="auto"/>
        </w:rPr>
        <w:t>The information contained in Item 7.01 of this report and in Exhibit 99.1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Cautionary Note Regarding Forward-Looking Statements</w:t>
      </w:r>
    </w:p>
    <w:p>
      <w:pPr>
        <w:spacing w:after="0" w:line="179" w:lineRule="exact"/>
        <w:rPr>
          <w:sz w:val="20"/>
          <w:szCs w:val="20"/>
          <w:color w:val="auto"/>
        </w:rPr>
      </w:pPr>
    </w:p>
    <w:p>
      <w:pPr>
        <w:jc w:val="both"/>
        <w:ind w:firstLine="504"/>
        <w:spacing w:after="0" w:line="277" w:lineRule="auto"/>
        <w:rPr>
          <w:sz w:val="20"/>
          <w:szCs w:val="20"/>
          <w:color w:val="auto"/>
        </w:rPr>
      </w:pPr>
      <w:r>
        <w:rPr>
          <w:rFonts w:ascii="Arial" w:cs="Arial" w:eastAsia="Arial" w:hAnsi="Arial"/>
          <w:sz w:val="13"/>
          <w:szCs w:val="13"/>
          <w:color w:val="auto"/>
        </w:rPr>
        <w:t>This Form 8-K, including the exhibits filed with this Form 8-K, contains certain forward-looking statements regarding the proposed transaction between the Company and the Buyers. Actual events or results may differ materially from those contained in these forward-looking statements. Among the important factors that could cause future events or results to vary from those addressed in the forward-looking statements include, without limitation, risks and uncertainties arising from the possibility that the closing of the transaction may be delayed or may not occur; difficulties with the integration process or the realization of the expected benefits of the transaction; and general regulatory developments impacting compounding pharmacies, outsourcing facilities and the pharmaceutical industry. In addition, please refer to the documents that the Company files with the Securities and Exchange Commission on Forms 10-K, 10-Q and 8-K, which identify and address other important factors that could cause events and results to differ materially from those contained in the forward-looking statements set forth in this Form 8-K and in the Company’s other filings. The Company is under no duty to update any of the forward-looking statements after the date of this Form 8-K to conform to actual results.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9.01. Financial Statements and Exhibits</w:t>
      </w:r>
    </w:p>
    <w:p>
      <w:pPr>
        <w:spacing w:after="0" w:line="175" w:lineRule="exact"/>
        <w:rPr>
          <w:sz w:val="20"/>
          <w:szCs w:val="20"/>
          <w:color w:val="auto"/>
        </w:rPr>
      </w:pPr>
    </w:p>
    <w:p>
      <w:pPr>
        <w:ind w:left="360" w:hanging="356"/>
        <w:spacing w:after="0"/>
        <w:tabs>
          <w:tab w:leader="none" w:pos="360" w:val="left"/>
        </w:tabs>
        <w:numPr>
          <w:ilvl w:val="0"/>
          <w:numId w:val="2"/>
        </w:numPr>
        <w:rPr>
          <w:rFonts w:ascii="Arial" w:cs="Arial" w:eastAsia="Arial" w:hAnsi="Arial"/>
          <w:sz w:val="14"/>
          <w:szCs w:val="14"/>
          <w:b w:val="1"/>
          <w:bCs w:val="1"/>
          <w:color w:val="auto"/>
        </w:rPr>
      </w:pPr>
      <w:r>
        <w:rPr>
          <w:rFonts w:ascii="Arial" w:cs="Arial" w:eastAsia="Arial" w:hAnsi="Arial"/>
          <w:sz w:val="14"/>
          <w:szCs w:val="14"/>
          <w:b w:val="1"/>
          <w:bCs w:val="1"/>
          <w:color w:val="auto"/>
        </w:rPr>
        <w:t>Exhibits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99.1  </w:t>
      </w:r>
      <w:r>
        <w:rPr>
          <w:rFonts w:ascii="Arial" w:cs="Arial" w:eastAsia="Arial" w:hAnsi="Arial"/>
          <w:sz w:val="14"/>
          <w:szCs w:val="14"/>
          <w:u w:val="single" w:color="auto"/>
          <w:color w:val="0000EE"/>
        </w:rPr>
        <w:t>Mayfield Pharmaceuticals, Inc. Corporate Presentation dated August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224790</wp:posOffset>
            </wp:positionV>
            <wp:extent cx="7277100" cy="13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7100" cy="13335"/>
                    </a:xfrm>
                    <a:prstGeom prst="rect">
                      <a:avLst/>
                    </a:prstGeom>
                    <a:noFill/>
                  </pic:spPr>
                </pic:pic>
              </a:graphicData>
            </a:graphic>
          </wp:anchor>
        </w:drawing>
      </w:r>
    </w:p>
    <w:p>
      <w:pPr>
        <w:sectPr>
          <w:pgSz w:w="11900" w:h="16838" w:orient="portrait"/>
          <w:cols w:equalWidth="0" w:num="1">
            <w:col w:w="11460"/>
          </w:cols>
          <w:pgMar w:left="220" w:top="566"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4"/>
          <w:szCs w:val="14"/>
          <w:b w:val="1"/>
          <w:bCs w:val="1"/>
          <w:color w:val="auto"/>
        </w:rPr>
        <w:t>SIGNATURES</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460" w:type="dxa"/>
            <w:vAlign w:val="bottom"/>
          </w:tcPr>
          <w:p>
            <w:pPr>
              <w:spacing w:after="0"/>
              <w:rPr>
                <w:sz w:val="15"/>
                <w:szCs w:val="15"/>
                <w:color w:val="auto"/>
              </w:rPr>
            </w:pPr>
          </w:p>
        </w:tc>
        <w:tc>
          <w:tcPr>
            <w:tcW w:w="8000" w:type="dxa"/>
            <w:vAlign w:val="bottom"/>
            <w:gridSpan w:val="2"/>
          </w:tcPr>
          <w:p>
            <w:pPr>
              <w:ind w:left="2280"/>
              <w:spacing w:after="0"/>
              <w:rPr>
                <w:sz w:val="20"/>
                <w:szCs w:val="20"/>
                <w:color w:val="auto"/>
              </w:rPr>
            </w:pPr>
            <w:r>
              <w:rPr>
                <w:rFonts w:ascii="Arial" w:cs="Arial" w:eastAsia="Arial" w:hAnsi="Arial"/>
                <w:sz w:val="14"/>
                <w:szCs w:val="14"/>
                <w:b w:val="1"/>
                <w:bCs w:val="1"/>
                <w:color w:val="auto"/>
              </w:rPr>
              <w:t>HARROW HEALTH, INC.</w:t>
            </w:r>
          </w:p>
        </w:tc>
      </w:tr>
      <w:tr>
        <w:trPr>
          <w:trHeight w:val="348"/>
        </w:trPr>
        <w:tc>
          <w:tcPr>
            <w:tcW w:w="3460" w:type="dxa"/>
            <w:vAlign w:val="bottom"/>
          </w:tcPr>
          <w:p>
            <w:pPr>
              <w:spacing w:after="0"/>
              <w:rPr>
                <w:sz w:val="20"/>
                <w:szCs w:val="20"/>
                <w:color w:val="auto"/>
              </w:rPr>
            </w:pPr>
            <w:r>
              <w:rPr>
                <w:rFonts w:ascii="Arial" w:cs="Arial" w:eastAsia="Arial" w:hAnsi="Arial"/>
                <w:sz w:val="14"/>
                <w:szCs w:val="14"/>
                <w:color w:val="auto"/>
              </w:rPr>
              <w:t>Dated: July 31, 2019</w:t>
            </w:r>
          </w:p>
        </w:tc>
        <w:tc>
          <w:tcPr>
            <w:tcW w:w="2860" w:type="dxa"/>
            <w:vAlign w:val="bottom"/>
          </w:tcPr>
          <w:p>
            <w:pPr>
              <w:ind w:left="2280"/>
              <w:spacing w:after="0"/>
              <w:rPr>
                <w:sz w:val="20"/>
                <w:szCs w:val="20"/>
                <w:color w:val="auto"/>
              </w:rPr>
            </w:pPr>
            <w:r>
              <w:rPr>
                <w:rFonts w:ascii="Arial" w:cs="Arial" w:eastAsia="Arial" w:hAnsi="Arial"/>
                <w:sz w:val="14"/>
                <w:szCs w:val="14"/>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/s/ Andrew R. Boll</w:t>
            </w:r>
          </w:p>
        </w:tc>
      </w:tr>
      <w:tr>
        <w:trPr>
          <w:trHeight w:val="157"/>
        </w:trPr>
        <w:tc>
          <w:tcPr>
            <w:tcW w:w="3460" w:type="dxa"/>
            <w:vAlign w:val="bottom"/>
          </w:tcPr>
          <w:p>
            <w:pPr>
              <w:spacing w:after="0"/>
              <w:rPr>
                <w:sz w:val="13"/>
                <w:szCs w:val="13"/>
                <w:color w:val="auto"/>
              </w:rPr>
            </w:pPr>
          </w:p>
        </w:tc>
        <w:tc>
          <w:tcPr>
            <w:tcW w:w="2860" w:type="dxa"/>
            <w:vAlign w:val="bottom"/>
          </w:tcPr>
          <w:p>
            <w:pPr>
              <w:ind w:left="2280"/>
              <w:spacing w:after="0" w:line="157" w:lineRule="exact"/>
              <w:rPr>
                <w:sz w:val="20"/>
                <w:szCs w:val="20"/>
                <w:color w:val="auto"/>
              </w:rPr>
            </w:pPr>
            <w:r>
              <w:rPr>
                <w:rFonts w:ascii="Arial" w:cs="Arial" w:eastAsia="Arial" w:hAnsi="Arial"/>
                <w:sz w:val="14"/>
                <w:szCs w:val="14"/>
                <w:color w:val="auto"/>
              </w:rPr>
              <w:t>Name:</w:t>
            </w:r>
          </w:p>
        </w:tc>
        <w:tc>
          <w:tcPr>
            <w:tcW w:w="5140" w:type="dxa"/>
            <w:vAlign w:val="bottom"/>
          </w:tcPr>
          <w:p>
            <w:pPr>
              <w:spacing w:after="0" w:line="157" w:lineRule="exact"/>
              <w:rPr>
                <w:sz w:val="20"/>
                <w:szCs w:val="20"/>
                <w:color w:val="auto"/>
              </w:rPr>
            </w:pPr>
            <w:r>
              <w:rPr>
                <w:rFonts w:ascii="Arial" w:cs="Arial" w:eastAsia="Arial" w:hAnsi="Arial"/>
                <w:sz w:val="14"/>
                <w:szCs w:val="14"/>
                <w:color w:val="auto"/>
              </w:rPr>
              <w:t>Andrew R. Boll</w:t>
            </w:r>
          </w:p>
        </w:tc>
      </w:tr>
      <w:tr>
        <w:trPr>
          <w:trHeight w:val="179"/>
        </w:trPr>
        <w:tc>
          <w:tcPr>
            <w:tcW w:w="3460" w:type="dxa"/>
            <w:vAlign w:val="bottom"/>
          </w:tcPr>
          <w:p>
            <w:pPr>
              <w:spacing w:after="0"/>
              <w:rPr>
                <w:sz w:val="15"/>
                <w:szCs w:val="15"/>
                <w:color w:val="auto"/>
              </w:rPr>
            </w:pPr>
          </w:p>
        </w:tc>
        <w:tc>
          <w:tcPr>
            <w:tcW w:w="2860" w:type="dxa"/>
            <w:vAlign w:val="bottom"/>
          </w:tcPr>
          <w:p>
            <w:pPr>
              <w:ind w:left="2280"/>
              <w:spacing w:after="0"/>
              <w:rPr>
                <w:sz w:val="20"/>
                <w:szCs w:val="20"/>
                <w:color w:val="auto"/>
              </w:rPr>
            </w:pPr>
            <w:r>
              <w:rPr>
                <w:rFonts w:ascii="Arial" w:cs="Arial" w:eastAsia="Arial" w:hAnsi="Arial"/>
                <w:sz w:val="14"/>
                <w:szCs w:val="14"/>
                <w:color w:val="auto"/>
              </w:rPr>
              <w:t>Title:</w:t>
            </w:r>
          </w:p>
        </w:tc>
        <w:tc>
          <w:tcPr>
            <w:tcW w:w="5140" w:type="dxa"/>
            <w:vAlign w:val="bottom"/>
          </w:tcPr>
          <w:p>
            <w:pPr>
              <w:spacing w:after="0"/>
              <w:rPr>
                <w:sz w:val="20"/>
                <w:szCs w:val="20"/>
                <w:color w:val="auto"/>
              </w:rPr>
            </w:pPr>
            <w:r>
              <w:rPr>
                <w:rFonts w:ascii="Arial" w:cs="Arial" w:eastAsia="Arial" w:hAnsi="Arial"/>
                <w:sz w:val="14"/>
                <w:szCs w:val="14"/>
                <w:color w:val="auto"/>
              </w:rPr>
              <w:t>Chief Financial Officer</w:t>
            </w:r>
          </w:p>
        </w:tc>
      </w:tr>
      <w:tr>
        <w:trPr>
          <w:trHeight w:val="337"/>
        </w:trPr>
        <w:tc>
          <w:tcPr>
            <w:tcW w:w="34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60"/>
          </w:cols>
          <w:pgMar w:left="220" w:top="566" w:right="219" w:bottom="1440" w:gutter="0" w:footer="0" w:header="0"/>
        </w:sectPr>
      </w:pPr>
    </w:p>
    <w:bookmarkStart w:id="3" w:name="page4"/>
    <w:bookmarkEnd w:id="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208915</wp:posOffset>
            </wp:positionV>
            <wp:extent cx="7325360" cy="4362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25360" cy="4362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368935</wp:posOffset>
            </wp:positionV>
            <wp:extent cx="7325360" cy="4362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25360" cy="4362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368935</wp:posOffset>
            </wp:positionV>
            <wp:extent cx="7325360" cy="4362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25360" cy="4362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368935</wp:posOffset>
            </wp:positionV>
            <wp:extent cx="7325360" cy="4362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25360" cy="4362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368935</wp:posOffset>
            </wp:positionV>
            <wp:extent cx="7325360" cy="4362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25360" cy="4362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368935</wp:posOffset>
            </wp:positionV>
            <wp:extent cx="7325360" cy="4362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25360" cy="4362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368935</wp:posOffset>
            </wp:positionV>
            <wp:extent cx="7325360" cy="4362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25360" cy="4362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368935</wp:posOffset>
            </wp:positionV>
            <wp:extent cx="7325360" cy="4362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25360" cy="4362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368935</wp:posOffset>
            </wp:positionV>
            <wp:extent cx="7325360" cy="4362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25360" cy="4362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368935</wp:posOffset>
            </wp:positionV>
            <wp:extent cx="7325360" cy="4362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5360" cy="4362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368935</wp:posOffset>
            </wp:positionV>
            <wp:extent cx="7325360" cy="4362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5360" cy="4362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368935</wp:posOffset>
            </wp:positionV>
            <wp:extent cx="7325360" cy="4362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5360" cy="4362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368935</wp:posOffset>
            </wp:positionV>
            <wp:extent cx="7325360" cy="4362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5360" cy="4362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368935</wp:posOffset>
            </wp:positionV>
            <wp:extent cx="7325360" cy="4362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5360" cy="4362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368935</wp:posOffset>
            </wp:positionV>
            <wp:extent cx="7325360" cy="4362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5360" cy="4362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368935</wp:posOffset>
            </wp:positionV>
            <wp:extent cx="7325360" cy="4362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5360" cy="4362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368935</wp:posOffset>
            </wp:positionV>
            <wp:extent cx="7325360" cy="4362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25360" cy="4362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2019-11-30T14:30:30Z</dcterms:created>
  <dcterms:modified xsi:type="dcterms:W3CDTF">2019-11-30T14:30:30Z</dcterms:modified>
</cp:coreProperties>
</file>