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180"/>
        <w:spacing w:after="0"/>
        <w:rPr>
          <w:sz w:val="20"/>
          <w:szCs w:val="20"/>
          <w:color w:val="auto"/>
        </w:rPr>
      </w:pPr>
      <w:r>
        <w:rPr>
          <w:rFonts w:ascii="Arial" w:cs="Arial" w:eastAsia="Arial" w:hAnsi="Arial"/>
          <w:sz w:val="16"/>
          <w:szCs w:val="16"/>
          <w:b w:val="1"/>
          <w:bCs w:val="1"/>
          <w:color w:val="auto"/>
        </w:rPr>
        <w:t>Filed pursuant to Rule 433</w:t>
      </w:r>
    </w:p>
    <w:p>
      <w:pPr>
        <w:spacing w:after="0" w:line="50" w:lineRule="exact"/>
        <w:rPr>
          <w:sz w:val="24"/>
          <w:szCs w:val="24"/>
          <w:color w:val="auto"/>
        </w:rPr>
      </w:pPr>
    </w:p>
    <w:p>
      <w:pPr>
        <w:jc w:val="center"/>
        <w:ind w:left="9000"/>
        <w:spacing w:after="0"/>
        <w:rPr>
          <w:sz w:val="20"/>
          <w:szCs w:val="20"/>
          <w:color w:val="auto"/>
        </w:rPr>
      </w:pPr>
      <w:r>
        <w:rPr>
          <w:rFonts w:ascii="Arial" w:cs="Arial" w:eastAsia="Arial" w:hAnsi="Arial"/>
          <w:sz w:val="16"/>
          <w:szCs w:val="16"/>
          <w:b w:val="1"/>
          <w:bCs w:val="1"/>
          <w:color w:val="auto"/>
        </w:rPr>
        <w:t>Registration No. 333- 239669</w:t>
      </w:r>
    </w:p>
    <w:p>
      <w:pPr>
        <w:spacing w:after="0" w:line="32" w:lineRule="exact"/>
        <w:rPr>
          <w:sz w:val="24"/>
          <w:szCs w:val="24"/>
          <w:color w:val="auto"/>
        </w:rPr>
      </w:pPr>
    </w:p>
    <w:p>
      <w:pPr>
        <w:jc w:val="center"/>
        <w:ind w:left="8820"/>
        <w:spacing w:after="0"/>
        <w:rPr>
          <w:sz w:val="20"/>
          <w:szCs w:val="20"/>
          <w:color w:val="auto"/>
        </w:rPr>
      </w:pPr>
      <w:r>
        <w:rPr>
          <w:rFonts w:ascii="Arial" w:cs="Arial" w:eastAsia="Arial" w:hAnsi="Arial"/>
          <w:sz w:val="16"/>
          <w:szCs w:val="16"/>
          <w:b w:val="1"/>
          <w:bCs w:val="1"/>
          <w:color w:val="auto"/>
        </w:rPr>
        <w:t>Issuer Free Writing Prospectus</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Supplementing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April 14,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$50,000,000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15, 2021</w:t>
      </w:r>
    </w:p>
    <w:p>
      <w:pPr>
        <w:spacing w:after="0" w:line="211"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This pricing term sheet is qualified in its entirety by reference to the Preliminary Prospectus Supplement, dated April 14, 2021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Issuer:</w:t>
            </w:r>
          </w:p>
        </w:tc>
        <w:tc>
          <w:tcPr>
            <w:tcW w:w="8020" w:type="dxa"/>
            <w:vAlign w:val="bottom"/>
          </w:tcPr>
          <w:p>
            <w:pPr>
              <w:ind w:left="1520"/>
              <w:spacing w:after="0"/>
              <w:rPr>
                <w:sz w:val="20"/>
                <w:szCs w:val="20"/>
                <w:color w:val="auto"/>
              </w:rPr>
            </w:pPr>
            <w:r>
              <w:rPr>
                <w:rFonts w:ascii="Arial" w:cs="Arial" w:eastAsia="Arial" w:hAnsi="Arial"/>
                <w:sz w:val="18"/>
                <w:szCs w:val="18"/>
                <w:color w:val="auto"/>
              </w:rPr>
              <w:t>Harrow Health, Inc.</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Securities:</w:t>
            </w:r>
          </w:p>
        </w:tc>
        <w:tc>
          <w:tcPr>
            <w:tcW w:w="8020" w:type="dxa"/>
            <w:vAlign w:val="bottom"/>
          </w:tcPr>
          <w:p>
            <w:pPr>
              <w:ind w:left="1520"/>
              <w:spacing w:after="0"/>
              <w:rPr>
                <w:sz w:val="20"/>
                <w:szCs w:val="20"/>
                <w:color w:val="auto"/>
              </w:rPr>
            </w:pPr>
            <w:r>
              <w:rPr>
                <w:rFonts w:ascii="Arial" w:cs="Arial" w:eastAsia="Arial" w:hAnsi="Arial"/>
                <w:sz w:val="18"/>
                <w:szCs w:val="18"/>
                <w:color w:val="auto"/>
              </w:rPr>
              <w:t>8.625% Senior Notes Due 2026 (the “Notes”)</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Type:</w:t>
            </w:r>
          </w:p>
        </w:tc>
        <w:tc>
          <w:tcPr>
            <w:tcW w:w="8020" w:type="dxa"/>
            <w:vAlign w:val="bottom"/>
          </w:tcPr>
          <w:p>
            <w:pPr>
              <w:ind w:left="1520"/>
              <w:spacing w:after="0"/>
              <w:rPr>
                <w:sz w:val="20"/>
                <w:szCs w:val="20"/>
                <w:color w:val="auto"/>
              </w:rPr>
            </w:pPr>
            <w:r>
              <w:rPr>
                <w:rFonts w:ascii="Arial" w:cs="Arial" w:eastAsia="Arial" w:hAnsi="Arial"/>
                <w:sz w:val="18"/>
                <w:szCs w:val="18"/>
                <w:color w:val="auto"/>
              </w:rPr>
              <w:t>SEC Registered</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Trade Date:</w:t>
            </w:r>
          </w:p>
        </w:tc>
        <w:tc>
          <w:tcPr>
            <w:tcW w:w="8020" w:type="dxa"/>
            <w:vAlign w:val="bottom"/>
          </w:tcPr>
          <w:p>
            <w:pPr>
              <w:ind w:left="1520"/>
              <w:spacing w:after="0"/>
              <w:rPr>
                <w:sz w:val="20"/>
                <w:szCs w:val="20"/>
                <w:color w:val="auto"/>
              </w:rPr>
            </w:pPr>
            <w:r>
              <w:rPr>
                <w:rFonts w:ascii="Arial" w:cs="Arial" w:eastAsia="Arial" w:hAnsi="Arial"/>
                <w:sz w:val="18"/>
                <w:szCs w:val="18"/>
                <w:color w:val="auto"/>
              </w:rPr>
              <w:t>April 16, 2021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Settlement Date:</w:t>
            </w:r>
          </w:p>
        </w:tc>
        <w:tc>
          <w:tcPr>
            <w:tcW w:w="8020" w:type="dxa"/>
            <w:vAlign w:val="bottom"/>
          </w:tcPr>
          <w:p>
            <w:pPr>
              <w:ind w:left="1520"/>
              <w:spacing w:after="0"/>
              <w:rPr>
                <w:sz w:val="20"/>
                <w:szCs w:val="20"/>
                <w:color w:val="auto"/>
              </w:rPr>
            </w:pPr>
            <w:r>
              <w:rPr>
                <w:rFonts w:ascii="Arial" w:cs="Arial" w:eastAsia="Arial" w:hAnsi="Arial"/>
                <w:sz w:val="18"/>
                <w:szCs w:val="18"/>
                <w:color w:val="auto"/>
              </w:rPr>
              <w:t>April 20, 2021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Listing:</w:t>
            </w:r>
          </w:p>
        </w:tc>
        <w:tc>
          <w:tcPr>
            <w:tcW w:w="8020" w:type="dxa"/>
            <w:vAlign w:val="bottom"/>
          </w:tcPr>
          <w:p>
            <w:pPr>
              <w:ind w:left="1520"/>
              <w:spacing w:after="0"/>
              <w:rPr>
                <w:sz w:val="20"/>
                <w:szCs w:val="20"/>
                <w:color w:val="auto"/>
              </w:rPr>
            </w:pPr>
            <w:r>
              <w:rPr>
                <w:rFonts w:ascii="Arial" w:cs="Arial" w:eastAsia="Arial" w:hAnsi="Arial"/>
                <w:sz w:val="18"/>
                <w:szCs w:val="18"/>
                <w:color w:val="auto"/>
              </w:rPr>
              <w:t>Expected Nasdaq “HROWL”</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Size:</w:t>
            </w:r>
          </w:p>
        </w:tc>
        <w:tc>
          <w:tcPr>
            <w:tcW w:w="8020" w:type="dxa"/>
            <w:vAlign w:val="bottom"/>
          </w:tcPr>
          <w:p>
            <w:pPr>
              <w:ind w:left="1520"/>
              <w:spacing w:after="0"/>
              <w:rPr>
                <w:sz w:val="20"/>
                <w:szCs w:val="20"/>
                <w:color w:val="auto"/>
              </w:rPr>
            </w:pPr>
            <w:r>
              <w:rPr>
                <w:rFonts w:ascii="Arial" w:cs="Arial" w:eastAsia="Arial" w:hAnsi="Arial"/>
                <w:sz w:val="18"/>
                <w:szCs w:val="18"/>
                <w:color w:val="auto"/>
              </w:rPr>
              <w:t>$50,000,000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Option:</w:t>
            </w:r>
          </w:p>
        </w:tc>
        <w:tc>
          <w:tcPr>
            <w:tcW w:w="8020" w:type="dxa"/>
            <w:vAlign w:val="bottom"/>
          </w:tcPr>
          <w:p>
            <w:pPr>
              <w:ind w:left="1520"/>
              <w:spacing w:after="0"/>
              <w:rPr>
                <w:sz w:val="20"/>
                <w:szCs w:val="20"/>
                <w:color w:val="auto"/>
              </w:rPr>
            </w:pPr>
            <w:r>
              <w:rPr>
                <w:rFonts w:ascii="Arial" w:cs="Arial" w:eastAsia="Arial" w:hAnsi="Arial"/>
                <w:sz w:val="18"/>
                <w:szCs w:val="18"/>
                <w:color w:val="auto"/>
              </w:rPr>
              <w:t>$5,000,000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Maturity Date:</w:t>
            </w:r>
          </w:p>
        </w:tc>
        <w:tc>
          <w:tcPr>
            <w:tcW w:w="8020" w:type="dxa"/>
            <w:vAlign w:val="bottom"/>
          </w:tcPr>
          <w:p>
            <w:pPr>
              <w:ind w:left="1520"/>
              <w:spacing w:after="0"/>
              <w:rPr>
                <w:sz w:val="20"/>
                <w:szCs w:val="20"/>
                <w:color w:val="auto"/>
              </w:rPr>
            </w:pPr>
            <w:r>
              <w:rPr>
                <w:rFonts w:ascii="Arial" w:cs="Arial" w:eastAsia="Arial" w:hAnsi="Arial"/>
                <w:sz w:val="18"/>
                <w:szCs w:val="18"/>
                <w:color w:val="auto"/>
              </w:rPr>
              <w:t>April 30, 2026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Rating:</w:t>
            </w:r>
          </w:p>
        </w:tc>
        <w:tc>
          <w:tcPr>
            <w:tcW w:w="8020" w:type="dxa"/>
            <w:vAlign w:val="bottom"/>
          </w:tcPr>
          <w:p>
            <w:pPr>
              <w:ind w:left="1520"/>
              <w:spacing w:after="0"/>
              <w:rPr>
                <w:sz w:val="20"/>
                <w:szCs w:val="20"/>
                <w:color w:val="auto"/>
              </w:rPr>
            </w:pPr>
            <w:r>
              <w:rPr>
                <w:rFonts w:ascii="Arial" w:cs="Arial" w:eastAsia="Arial" w:hAnsi="Arial"/>
                <w:sz w:val="18"/>
                <w:szCs w:val="18"/>
                <w:color w:val="auto"/>
                <w:w w:val="94"/>
              </w:rPr>
              <w:t>The Notes have received a “BB” rating from Egan-Jones Ratings Co., an independent,</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4"/>
              </w:rPr>
              <w:t>unaffiliated rating agency. Ratings are not a recommendation to purchase, hold or sell</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7"/>
              </w:rPr>
              <w:t>notes, inasmuch as the ratings do not comment as to market price or suitability for a</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1"/>
              </w:rPr>
              <w:t>particular investor. The ratings are based upon current information furnished to the rating</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3"/>
              </w:rPr>
              <w:t>agency by the Issuer and information obtained by the rating agency from other sources.</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1"/>
              </w:rPr>
              <w:t>The ratings are only accurate as of the date thereof and may be changed, superseded or</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1"/>
              </w:rPr>
              <w:t>withdrawn as a result of changes in, or unavailability of, such information, and therefore a</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w w:val="90"/>
              </w:rPr>
              <w:t>prospective purchaser should check the current ratings before purchasing the Notes. Each</w:t>
            </w:r>
          </w:p>
        </w:tc>
      </w:tr>
      <w:tr>
        <w:trPr>
          <w:trHeight w:val="216"/>
        </w:trPr>
        <w:tc>
          <w:tcPr>
            <w:tcW w:w="3220" w:type="dxa"/>
            <w:vAlign w:val="bottom"/>
          </w:tcPr>
          <w:p>
            <w:pPr>
              <w:spacing w:after="0"/>
              <w:rPr>
                <w:sz w:val="18"/>
                <w:szCs w:val="18"/>
                <w:color w:val="auto"/>
              </w:rPr>
            </w:pPr>
          </w:p>
        </w:tc>
        <w:tc>
          <w:tcPr>
            <w:tcW w:w="8020" w:type="dxa"/>
            <w:vAlign w:val="bottom"/>
          </w:tcPr>
          <w:p>
            <w:pPr>
              <w:ind w:left="1520"/>
              <w:spacing w:after="0"/>
              <w:rPr>
                <w:sz w:val="20"/>
                <w:szCs w:val="20"/>
                <w:color w:val="auto"/>
              </w:rPr>
            </w:pPr>
            <w:r>
              <w:rPr>
                <w:rFonts w:ascii="Arial" w:cs="Arial" w:eastAsia="Arial" w:hAnsi="Arial"/>
                <w:sz w:val="18"/>
                <w:szCs w:val="18"/>
                <w:color w:val="auto"/>
              </w:rPr>
              <w:t>rating should be evaluated independently of any other rating.</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Annual Coupon:</w:t>
            </w:r>
          </w:p>
        </w:tc>
        <w:tc>
          <w:tcPr>
            <w:tcW w:w="8020" w:type="dxa"/>
            <w:vAlign w:val="bottom"/>
          </w:tcPr>
          <w:p>
            <w:pPr>
              <w:ind w:left="1520"/>
              <w:spacing w:after="0"/>
              <w:rPr>
                <w:sz w:val="20"/>
                <w:szCs w:val="20"/>
                <w:color w:val="auto"/>
              </w:rPr>
            </w:pPr>
            <w:r>
              <w:rPr>
                <w:rFonts w:ascii="Arial" w:cs="Arial" w:eastAsia="Arial" w:hAnsi="Arial"/>
                <w:sz w:val="18"/>
                <w:szCs w:val="18"/>
                <w:color w:val="auto"/>
              </w:rPr>
              <w:t>8.625%, paid quarterly in arrears</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020" w:type="dxa"/>
            <w:vAlign w:val="bottom"/>
          </w:tcPr>
          <w:p>
            <w:pPr>
              <w:ind w:left="1520"/>
              <w:spacing w:after="0"/>
              <w:rPr>
                <w:sz w:val="20"/>
                <w:szCs w:val="20"/>
                <w:color w:val="auto"/>
              </w:rPr>
            </w:pPr>
            <w:r>
              <w:rPr>
                <w:rFonts w:ascii="Arial" w:cs="Arial" w:eastAsia="Arial" w:hAnsi="Arial"/>
                <w:sz w:val="18"/>
                <w:szCs w:val="18"/>
                <w:color w:val="auto"/>
                <w:w w:val="91"/>
              </w:rPr>
              <w:t>January 31, April 30, July 31 and October 31, commencing July 31, 2021, and at maturity</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Price to the Public:</w:t>
            </w:r>
          </w:p>
        </w:tc>
        <w:tc>
          <w:tcPr>
            <w:tcW w:w="8020" w:type="dxa"/>
            <w:vAlign w:val="bottom"/>
          </w:tcPr>
          <w:p>
            <w:pPr>
              <w:ind w:left="1520"/>
              <w:spacing w:after="0"/>
              <w:rPr>
                <w:sz w:val="20"/>
                <w:szCs w:val="20"/>
                <w:color w:val="auto"/>
              </w:rPr>
            </w:pPr>
            <w:r>
              <w:rPr>
                <w:rFonts w:ascii="Arial" w:cs="Arial" w:eastAsia="Arial" w:hAnsi="Arial"/>
                <w:sz w:val="18"/>
                <w:szCs w:val="18"/>
                <w:color w:val="auto"/>
              </w:rPr>
              <w:t>100%</w:t>
            </w:r>
          </w:p>
        </w:tc>
      </w:tr>
      <w:tr>
        <w:trPr>
          <w:trHeight w:val="439"/>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Day Count: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30/360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Prior to February 1, 2026, the Issuer may, at its option, redeem the Notes, in whole at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or in part from time to time, at a redemption price equal to 100% of the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the Notes to be redeemed, plus a Make-Whole Amount, if any,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unpaid interest to, but excluding, the date of redemption.</w:t>
      </w:r>
    </w:p>
    <w:p>
      <w:pPr>
        <w:spacing w:after="0" w:line="200" w:lineRule="exact"/>
        <w:rPr>
          <w:sz w:val="20"/>
          <w:szCs w:val="20"/>
          <w:color w:val="auto"/>
        </w:rPr>
      </w:pPr>
    </w:p>
    <w:p>
      <w:pPr>
        <w:sectPr>
          <w:pgSz w:w="11900" w:h="16838" w:orient="portrait"/>
          <w:cols w:equalWidth="0" w:num="2">
            <w:col w:w="4020" w:space="720"/>
            <w:col w:w="650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 Multiples: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Book-Running Managers: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may redeem the Notes for cash in whole or in part at any time at our option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after February 1, 2026 and prior to maturity, at a price equal to 100% of their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plus accrued and unpaid interest to, but excluding, the date of redemption.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$25.00/$25.00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415858 208/US4158582084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 Riley Securities, Inc., National Securities Corporation, Ladenburg Thalmann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 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Corp., Boenning &amp; Scattergood, Inc., Maxim Group LLC</w:t>
      </w:r>
    </w:p>
    <w:p>
      <w:pPr>
        <w:spacing w:after="0" w:line="200" w:lineRule="exact"/>
        <w:rPr>
          <w:sz w:val="20"/>
          <w:szCs w:val="20"/>
          <w:color w:val="auto"/>
        </w:rPr>
      </w:pPr>
    </w:p>
    <w:p>
      <w:pPr>
        <w:sectPr>
          <w:pgSz w:w="11900" w:h="16838" w:orient="portrait"/>
          <w:cols w:equalWidth="0" w:num="2">
            <w:col w:w="4020" w:space="720"/>
            <w:col w:w="6500"/>
          </w:cols>
          <w:pgMar w:left="320" w:top="665"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issuer has filed a shelf registration statement (including a base prospectus dated July 13, 2020)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get these documents for free by visiting EDGAR on the SEC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Alternatively, the issuer, any underwriter or any dealer</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2021-04-15T16:12:33Z</dcterms:created>
  <dcterms:modified xsi:type="dcterms:W3CDTF">2021-04-15T16:12:33Z</dcterms:modified>
</cp:coreProperties>
</file>