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November 9, 2016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4320" w:type="dxa"/>
            <w:vAlign w:val="bottom"/>
          </w:tcPr>
          <w:p>
            <w:pPr>
              <w:jc w:val="center"/>
              <w:ind w:right="2350"/>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jc w:val="center"/>
              <w:ind w:right="1250"/>
              <w:spacing w:after="0"/>
              <w:rPr>
                <w:sz w:val="20"/>
                <w:szCs w:val="20"/>
                <w:color w:val="auto"/>
              </w:rPr>
            </w:pPr>
            <w:r>
              <w:rPr>
                <w:rFonts w:ascii="Arial" w:cs="Arial" w:eastAsia="Arial" w:hAnsi="Arial"/>
                <w:sz w:val="18"/>
                <w:szCs w:val="18"/>
                <w:b w:val="1"/>
                <w:bCs w:val="1"/>
                <w:color w:val="auto"/>
                <w:w w:val="90"/>
              </w:rPr>
              <w:t>001-35814</w:t>
            </w:r>
          </w:p>
        </w:tc>
        <w:tc>
          <w:tcPr>
            <w:tcW w:w="2680" w:type="dxa"/>
            <w:vAlign w:val="bottom"/>
          </w:tcPr>
          <w:p>
            <w:pPr>
              <w:jc w:val="right"/>
              <w:ind w:right="13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4320" w:type="dxa"/>
            <w:vAlign w:val="bottom"/>
          </w:tcPr>
          <w:p>
            <w:pPr>
              <w:jc w:val="center"/>
              <w:ind w:right="2350"/>
              <w:spacing w:after="0"/>
              <w:rPr>
                <w:sz w:val="20"/>
                <w:szCs w:val="20"/>
                <w:color w:val="auto"/>
              </w:rPr>
            </w:pPr>
            <w:r>
              <w:rPr>
                <w:rFonts w:ascii="Arial" w:cs="Arial" w:eastAsia="Arial" w:hAnsi="Arial"/>
                <w:sz w:val="18"/>
                <w:szCs w:val="18"/>
                <w:color w:val="auto"/>
                <w:w w:val="91"/>
              </w:rPr>
              <w:t>(State or other jurisdiction</w:t>
            </w:r>
          </w:p>
        </w:tc>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3"/>
              </w:rPr>
              <w:t>(Commission</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4320" w:type="dxa"/>
            <w:vAlign w:val="bottom"/>
          </w:tcPr>
          <w:p>
            <w:pPr>
              <w:jc w:val="center"/>
              <w:ind w:right="2350"/>
              <w:spacing w:after="0"/>
              <w:rPr>
                <w:sz w:val="20"/>
                <w:szCs w:val="20"/>
                <w:color w:val="auto"/>
              </w:rPr>
            </w:pPr>
            <w:r>
              <w:rPr>
                <w:rFonts w:ascii="Arial" w:cs="Arial" w:eastAsia="Arial" w:hAnsi="Arial"/>
                <w:sz w:val="18"/>
                <w:szCs w:val="18"/>
                <w:color w:val="auto"/>
                <w:w w:val="95"/>
              </w:rPr>
              <w:t>of incorporation)</w:t>
            </w:r>
          </w:p>
        </w:tc>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4"/>
              </w:rPr>
              <w:t>File Number)</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32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12264 El Camino Real, Suite 350</w:t>
            </w:r>
          </w:p>
        </w:tc>
        <w:tc>
          <w:tcPr>
            <w:tcW w:w="2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0"/>
        </w:trPr>
        <w:tc>
          <w:tcPr>
            <w:tcW w:w="4320" w:type="dxa"/>
            <w:vAlign w:val="bottom"/>
          </w:tcPr>
          <w:p>
            <w:pPr>
              <w:jc w:val="center"/>
              <w:ind w:left="1350"/>
              <w:spacing w:after="0"/>
              <w:rPr>
                <w:sz w:val="20"/>
                <w:szCs w:val="20"/>
                <w:color w:val="auto"/>
              </w:rPr>
            </w:pPr>
            <w:r>
              <w:rPr>
                <w:rFonts w:ascii="Arial" w:cs="Arial" w:eastAsia="Arial" w:hAnsi="Arial"/>
                <w:sz w:val="18"/>
                <w:szCs w:val="18"/>
                <w:b w:val="1"/>
                <w:bCs w:val="1"/>
                <w:color w:val="auto"/>
                <w:w w:val="90"/>
              </w:rPr>
              <w:t>San Diego, CA</w:t>
            </w:r>
          </w:p>
        </w:tc>
        <w:tc>
          <w:tcPr>
            <w:tcW w:w="2360" w:type="dxa"/>
            <w:vAlign w:val="bottom"/>
          </w:tcPr>
          <w:p>
            <w:pPr>
              <w:spacing w:after="0"/>
              <w:rPr>
                <w:sz w:val="19"/>
                <w:szCs w:val="19"/>
                <w:color w:val="auto"/>
              </w:rPr>
            </w:pPr>
          </w:p>
        </w:tc>
        <w:tc>
          <w:tcPr>
            <w:tcW w:w="2680" w:type="dxa"/>
            <w:vAlign w:val="bottom"/>
          </w:tcPr>
          <w:p>
            <w:pPr>
              <w:jc w:val="right"/>
              <w:ind w:right="350"/>
              <w:spacing w:after="0"/>
              <w:rPr>
                <w:sz w:val="20"/>
                <w:szCs w:val="20"/>
                <w:color w:val="auto"/>
              </w:rPr>
            </w:pPr>
            <w:r>
              <w:rPr>
                <w:rFonts w:ascii="Arial" w:cs="Arial" w:eastAsia="Arial" w:hAnsi="Arial"/>
                <w:sz w:val="18"/>
                <w:szCs w:val="18"/>
                <w:b w:val="1"/>
                <w:bCs w:val="1"/>
                <w:color w:val="auto"/>
              </w:rPr>
              <w:t>92130</w:t>
            </w:r>
          </w:p>
        </w:tc>
      </w:tr>
      <w:tr>
        <w:trPr>
          <w:trHeight w:val="230"/>
        </w:trPr>
        <w:tc>
          <w:tcPr>
            <w:tcW w:w="4320" w:type="dxa"/>
            <w:vAlign w:val="bottom"/>
          </w:tcPr>
          <w:p>
            <w:pPr>
              <w:jc w:val="center"/>
              <w:ind w:left="1330"/>
              <w:spacing w:after="0"/>
              <w:rPr>
                <w:sz w:val="20"/>
                <w:szCs w:val="20"/>
                <w:color w:val="auto"/>
              </w:rPr>
            </w:pPr>
            <w:r>
              <w:rPr>
                <w:rFonts w:ascii="Arial" w:cs="Arial" w:eastAsia="Arial" w:hAnsi="Arial"/>
                <w:sz w:val="18"/>
                <w:szCs w:val="18"/>
                <w:color w:val="auto"/>
                <w:w w:val="92"/>
              </w:rPr>
              <w:t>(Address of principal executive offices)</w:t>
            </w:r>
          </w:p>
        </w:tc>
        <w:tc>
          <w:tcPr>
            <w:tcW w:w="2360" w:type="dxa"/>
            <w:vAlign w:val="bottom"/>
          </w:tcPr>
          <w:p>
            <w:pPr>
              <w:spacing w:after="0"/>
              <w:rPr>
                <w:sz w:val="20"/>
                <w:szCs w:val="20"/>
                <w:color w:val="auto"/>
              </w:rPr>
            </w:pPr>
          </w:p>
        </w:tc>
        <w:tc>
          <w:tcPr>
            <w:tcW w:w="2680" w:type="dxa"/>
            <w:vAlign w:val="bottom"/>
          </w:tcPr>
          <w:p>
            <w:pPr>
              <w:jc w:val="center"/>
              <w:ind w:left="12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1643380</wp:posOffset>
            </wp:positionH>
            <wp:positionV relativeFrom="paragraph">
              <wp:posOffset>17145</wp:posOffset>
            </wp:positionV>
            <wp:extent cx="39789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June of 2016, less than 30 days from the expected commencement of dispensing its finished injectable ophthalmology formulations, Imprimis Pharmaceuticals, Inc.’s (the “Company”) Texas based facility was damaged due to a malfunction with the property’s sprinkler system. The Company commenced restoration efforts and filed claims for damages under its insurance policies, including claims related to property damage and business interruption. In spite of the Company’s previously disclosed decision to cease operations at its Texas facility, the Company’s business interruption insurance coverage provides for recovery of expected lost profits from July 2016 to a portion of October 2016. On November 9, 2016, the Company and its insurance carrier agreed to a total payment amount for settlement of the claims of $861,410. The payment consisted of $44,613 related to property damage and $817,797 connected to expected lost profits as a result of the damage and anticipated down time, less a $1,000 deductible.</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settlement amounts were determined through negotiation with the insurance carrier. Although based on reasonable expectations of the Company and a presentation of documentation, the business interruption recovery portion does not necessarily reflect the actual profit that might have been achieved if the Texas facility had been in operation during that specific period. The negotiated sum may have been greater or smaller depending on a multitude of factors. Investors should not take the amounts paid as a recovery as an indication of what actual revenues, expenses and profits might have been at that facility when in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660" w:type="dxa"/>
            <w:vAlign w:val="bottom"/>
            <w:gridSpan w:val="2"/>
          </w:tcPr>
          <w:p>
            <w:pPr>
              <w:ind w:left="1860"/>
              <w:spacing w:after="0"/>
              <w:rPr>
                <w:sz w:val="20"/>
                <w:szCs w:val="20"/>
                <w:color w:val="auto"/>
              </w:rPr>
            </w:pPr>
            <w:r>
              <w:rPr>
                <w:rFonts w:ascii="Arial" w:cs="Arial" w:eastAsia="Arial" w:hAnsi="Arial"/>
                <w:sz w:val="18"/>
                <w:szCs w:val="18"/>
                <w:b w:val="1"/>
                <w:bCs w:val="1"/>
                <w:color w:val="auto"/>
              </w:rPr>
              <w:t>IMPRIMIS PHARMACEUTICALS, INC.</w:t>
            </w:r>
          </w:p>
        </w:tc>
      </w:tr>
      <w:tr>
        <w:trPr>
          <w:trHeight w:val="439"/>
        </w:trPr>
        <w:tc>
          <w:tcPr>
            <w:tcW w:w="3760" w:type="dxa"/>
            <w:vAlign w:val="bottom"/>
          </w:tcPr>
          <w:p>
            <w:pPr>
              <w:spacing w:after="0"/>
              <w:rPr>
                <w:sz w:val="20"/>
                <w:szCs w:val="20"/>
                <w:color w:val="auto"/>
              </w:rPr>
            </w:pPr>
            <w:r>
              <w:rPr>
                <w:rFonts w:ascii="Arial" w:cs="Arial" w:eastAsia="Arial" w:hAnsi="Arial"/>
                <w:sz w:val="18"/>
                <w:szCs w:val="18"/>
                <w:color w:val="auto"/>
              </w:rPr>
              <w:t>Dated: November 9, 2016</w:t>
            </w:r>
          </w:p>
        </w:tc>
        <w:tc>
          <w:tcPr>
            <w:tcW w:w="7660" w:type="dxa"/>
            <w:vAlign w:val="bottom"/>
            <w:gridSpan w:val="2"/>
          </w:tcPr>
          <w:p>
            <w:pPr>
              <w:ind w:left="1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tc>
      </w:tr>
      <w:tr>
        <w:trPr>
          <w:trHeight w:val="202"/>
        </w:trPr>
        <w:tc>
          <w:tcPr>
            <w:tcW w:w="3760" w:type="dxa"/>
            <w:vAlign w:val="bottom"/>
          </w:tcPr>
          <w:p>
            <w:pPr>
              <w:spacing w:after="0"/>
              <w:rPr>
                <w:sz w:val="17"/>
                <w:szCs w:val="17"/>
                <w:color w:val="auto"/>
              </w:rPr>
            </w:pPr>
          </w:p>
        </w:tc>
        <w:tc>
          <w:tcPr>
            <w:tcW w:w="2360" w:type="dxa"/>
            <w:vAlign w:val="bottom"/>
          </w:tcPr>
          <w:p>
            <w:pPr>
              <w:ind w:left="1860"/>
              <w:spacing w:after="0" w:line="201" w:lineRule="exact"/>
              <w:rPr>
                <w:sz w:val="20"/>
                <w:szCs w:val="20"/>
                <w:color w:val="auto"/>
              </w:rPr>
            </w:pPr>
            <w:r>
              <w:rPr>
                <w:rFonts w:ascii="Arial" w:cs="Arial" w:eastAsia="Arial" w:hAnsi="Arial"/>
                <w:sz w:val="18"/>
                <w:szCs w:val="18"/>
                <w:color w:val="auto"/>
                <w:w w:val="90"/>
              </w:rPr>
              <w:t>Name:</w:t>
            </w:r>
          </w:p>
        </w:tc>
        <w:tc>
          <w:tcPr>
            <w:tcW w:w="5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760" w:type="dxa"/>
            <w:vAlign w:val="bottom"/>
          </w:tcPr>
          <w:p>
            <w:pPr>
              <w:spacing w:after="0"/>
              <w:rPr>
                <w:sz w:val="20"/>
                <w:szCs w:val="20"/>
                <w:color w:val="auto"/>
              </w:rPr>
            </w:pPr>
          </w:p>
        </w:tc>
        <w:tc>
          <w:tcPr>
            <w:tcW w:w="7660" w:type="dxa"/>
            <w:vAlign w:val="bottom"/>
            <w:gridSpan w:val="2"/>
          </w:tcPr>
          <w:p>
            <w:pPr>
              <w:ind w:left="1860"/>
              <w:spacing w:after="0"/>
              <w:rPr>
                <w:sz w:val="20"/>
                <w:szCs w:val="20"/>
                <w:color w:val="auto"/>
              </w:rPr>
            </w:pPr>
            <w:r>
              <w:rPr>
                <w:rFonts w:ascii="Arial" w:cs="Arial" w:eastAsia="Arial" w:hAnsi="Arial"/>
                <w:sz w:val="18"/>
                <w:szCs w:val="18"/>
                <w:color w:val="auto"/>
              </w:rPr>
              <w:t>Title: Chief Financial Officer</w:t>
            </w:r>
          </w:p>
        </w:tc>
      </w:tr>
      <w:tr>
        <w:trPr>
          <w:trHeight w:val="439"/>
        </w:trPr>
        <w:tc>
          <w:tcPr>
            <w:tcW w:w="37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3" w:name="page4"/>
    <w:bookmarkEnd w:id="3"/>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2020-01-21T19:42:25Z</dcterms:created>
  <dcterms:modified xsi:type="dcterms:W3CDTF">2020-01-21T19:42:25Z</dcterms:modified>
</cp:coreProperties>
</file>