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81"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5243830</wp:posOffset>
            </wp:positionH>
            <wp:positionV relativeFrom="paragraph">
              <wp:posOffset>-583565</wp:posOffset>
            </wp:positionV>
            <wp:extent cx="7620" cy="584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420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-591820</wp:posOffset>
            </wp:positionV>
            <wp:extent cx="7620" cy="5924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24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-567690</wp:posOffset>
            </wp:positionV>
            <wp:extent cx="1271270" cy="544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1270" cy="54483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2935" cy="168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2935" cy="168211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80" w:space="480"/>
            <w:col w:w="8420"/>
          </w:cols>
          <w:pgMar w:left="460" w:top="220"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BAUM MARK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HARROW HEALTH,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0" w:lineRule="exact"/>
        <w:rPr>
          <w:sz w:val="24"/>
          <w:szCs w:val="24"/>
          <w:color w:val="auto"/>
        </w:rPr>
      </w:pPr>
    </w:p>
    <w:p>
      <w:pPr>
        <w:jc w:val="center"/>
        <w:ind w:right="13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HARROW HEALTH,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HROW</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06/04/2020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hanging="5"/>
        <w:spacing w:after="0" w:line="256"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tbl>
      <w:tblPr>
        <w:tblLayout w:type="fixed"/>
        <w:tblInd w:w="205" w:type="dxa"/>
        <w:tblCellMar>
          <w:top w:w="0" w:type="dxa"/>
          <w:left w:w="0" w:type="dxa"/>
          <w:bottom w:w="0" w:type="dxa"/>
          <w:right w:w="0" w:type="dxa"/>
        </w:tblCellMar>
      </w:tblPr>
      <w:tr>
        <w:trPr>
          <w:trHeight w:val="206"/>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6"/>
          <w:szCs w:val="16"/>
          <w:color w:val="0000FF"/>
        </w:rPr>
        <w:t>Chief Executive Officer</w:t>
      </w:r>
    </w:p>
    <w:p>
      <w:pPr>
        <w:spacing w:after="0" w:line="510"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20" w:type="dxa"/>
            <w:vAlign w:val="bottom"/>
            <w:gridSpan w:val="6"/>
          </w:tcPr>
          <w:p>
            <w:pPr>
              <w:jc w:val="center"/>
              <w:ind w:right="222"/>
              <w:spacing w:after="0"/>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NASHVILLE</w:t>
            </w:r>
          </w:p>
        </w:tc>
        <w:tc>
          <w:tcPr>
            <w:tcW w:w="1120" w:type="dxa"/>
            <w:vAlign w:val="bottom"/>
            <w:gridSpan w:val="2"/>
          </w:tcPr>
          <w:p>
            <w:pPr>
              <w:ind w:left="40"/>
              <w:spacing w:after="0"/>
              <w:rPr>
                <w:sz w:val="20"/>
                <w:szCs w:val="20"/>
                <w:color w:val="auto"/>
              </w:rPr>
            </w:pPr>
            <w:r>
              <w:rPr>
                <w:rFonts w:ascii="Arial" w:cs="Arial" w:eastAsia="Arial" w:hAnsi="Arial"/>
                <w:sz w:val="16"/>
                <w:szCs w:val="16"/>
                <w:color w:val="0000FF"/>
              </w:rPr>
              <w:t>TN</w:t>
            </w:r>
          </w:p>
        </w:tc>
        <w:tc>
          <w:tcPr>
            <w:tcW w:w="1100" w:type="dxa"/>
            <w:vAlign w:val="bottom"/>
          </w:tcPr>
          <w:p>
            <w:pPr>
              <w:ind w:left="140"/>
              <w:spacing w:after="0"/>
              <w:rPr>
                <w:sz w:val="20"/>
                <w:szCs w:val="20"/>
                <w:color w:val="auto"/>
              </w:rPr>
            </w:pPr>
            <w:r>
              <w:rPr>
                <w:rFonts w:ascii="Arial" w:cs="Arial" w:eastAsia="Arial" w:hAnsi="Arial"/>
                <w:sz w:val="16"/>
                <w:szCs w:val="16"/>
                <w:color w:val="0000FF"/>
              </w:rPr>
              <w:t>37205</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gridSpan w:val="2"/>
          </w:tcPr>
          <w:p>
            <w:pPr>
              <w:ind w:left="460"/>
              <w:spacing w:after="0"/>
              <w:rPr>
                <w:sz w:val="20"/>
                <w:szCs w:val="20"/>
                <w:color w:val="auto"/>
              </w:rPr>
            </w:pPr>
            <w:r>
              <w:rPr>
                <w:rFonts w:ascii="Arial" w:cs="Arial" w:eastAsia="Arial" w:hAnsi="Arial"/>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8"/>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2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1"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jc w:val="center"/>
              <w:ind w:righ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20" w:type="dxa"/>
            <w:vAlign w:val="bottom"/>
            <w:gridSpan w:val="3"/>
          </w:tcPr>
          <w:p>
            <w:pPr>
              <w:ind w:left="960"/>
              <w:spacing w:after="0" w:line="124"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660" w:type="dxa"/>
            <w:vAlign w:val="bottom"/>
            <w:tcBorders>
              <w:bottom w:val="single" w:sz="8" w:color="2C2C2C"/>
            </w:tcBorders>
            <w:gridSpan w:val="9"/>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11"/>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80" w:type="dxa"/>
            <w:vAlign w:val="bottom"/>
            <w:gridSpan w:val="10"/>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Derivative</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00" w:type="dxa"/>
            <w:vAlign w:val="bottom"/>
          </w:tcPr>
          <w:p>
            <w:pPr>
              <w:spacing w:after="0"/>
              <w:rPr>
                <w:sz w:val="10"/>
                <w:szCs w:val="10"/>
                <w:color w:val="auto"/>
              </w:rPr>
            </w:pPr>
          </w:p>
        </w:tc>
        <w:tc>
          <w:tcPr>
            <w:tcW w:w="14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58" w:lineRule="exact"/>
              <w:rPr>
                <w:sz w:val="20"/>
                <w:szCs w:val="20"/>
                <w:color w:val="auto"/>
              </w:rPr>
            </w:pPr>
            <w:r>
              <w:rPr>
                <w:rFonts w:ascii="Arial" w:cs="Arial" w:eastAsia="Arial" w:hAnsi="Arial"/>
                <w:sz w:val="24"/>
                <w:szCs w:val="24"/>
                <w:color w:val="0000FF"/>
                <w:vertAlign w:val="subscript"/>
              </w:rPr>
              <w:t>D</w:t>
            </w:r>
            <w:r>
              <w:rPr>
                <w:rFonts w:ascii="Arial" w:cs="Arial" w:eastAsia="Arial" w:hAnsi="Arial"/>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8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600,000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Option -</w:t>
            </w:r>
          </w:p>
        </w:tc>
        <w:tc>
          <w:tcPr>
            <w:tcW w:w="62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7.87</w:t>
            </w:r>
          </w:p>
        </w:tc>
        <w:tc>
          <w:tcPr>
            <w:tcW w:w="120" w:type="dxa"/>
            <w:vAlign w:val="bottom"/>
          </w:tcPr>
          <w:p>
            <w:pPr>
              <w:spacing w:after="0"/>
              <w:rPr>
                <w:sz w:val="10"/>
                <w:szCs w:val="10"/>
                <w:color w:val="auto"/>
              </w:rPr>
            </w:pPr>
          </w:p>
        </w:tc>
        <w:tc>
          <w:tcPr>
            <w:tcW w:w="1000" w:type="dxa"/>
            <w:vAlign w:val="bottom"/>
          </w:tcPr>
          <w:p>
            <w:pPr>
              <w:jc w:val="right"/>
              <w:ind w:right="122"/>
              <w:spacing w:after="0" w:line="121" w:lineRule="exact"/>
              <w:rPr>
                <w:sz w:val="20"/>
                <w:szCs w:val="20"/>
                <w:color w:val="auto"/>
              </w:rPr>
            </w:pPr>
            <w:r>
              <w:rPr>
                <w:rFonts w:ascii="Arial" w:cs="Arial" w:eastAsia="Arial" w:hAnsi="Arial"/>
                <w:sz w:val="12"/>
                <w:szCs w:val="12"/>
                <w:color w:val="0000FF"/>
              </w:rPr>
              <w:t>06/04/2020</w:t>
            </w:r>
          </w:p>
        </w:tc>
        <w:tc>
          <w:tcPr>
            <w:tcW w:w="1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line="121" w:lineRule="exact"/>
              <w:rPr>
                <w:sz w:val="20"/>
                <w:szCs w:val="20"/>
                <w:color w:val="auto"/>
              </w:rPr>
            </w:pPr>
            <w:r>
              <w:rPr>
                <w:rFonts w:ascii="Arial" w:cs="Arial" w:eastAsia="Arial" w:hAnsi="Arial"/>
                <w:sz w:val="12"/>
                <w:szCs w:val="12"/>
                <w:color w:val="0000FF"/>
              </w:rPr>
              <w:t>600,000</w:t>
            </w:r>
          </w:p>
        </w:tc>
        <w:tc>
          <w:tcPr>
            <w:tcW w:w="740" w:type="dxa"/>
            <w:vAlign w:val="bottom"/>
            <w:vMerge w:val="continue"/>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2"/>
                <w:szCs w:val="12"/>
                <w:color w:val="0000FF"/>
                <w:w w:val="99"/>
              </w:rPr>
              <w:t>07/31/2020</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18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20" w:type="dxa"/>
            <w:vAlign w:val="bottom"/>
          </w:tcPr>
          <w:p>
            <w:pPr>
              <w:jc w:val="right"/>
              <w:ind w:right="23"/>
              <w:spacing w:after="0" w:line="121" w:lineRule="exact"/>
              <w:rPr>
                <w:sz w:val="20"/>
                <w:szCs w:val="20"/>
                <w:color w:val="auto"/>
              </w:rPr>
            </w:pPr>
            <w:r>
              <w:rPr>
                <w:rFonts w:ascii="Arial" w:cs="Arial" w:eastAsia="Arial" w:hAnsi="Arial"/>
                <w:sz w:val="12"/>
                <w:szCs w:val="12"/>
                <w:color w:val="0000FF"/>
              </w:rPr>
              <w:t>0</w:t>
            </w:r>
          </w:p>
        </w:tc>
        <w:tc>
          <w:tcPr>
            <w:tcW w:w="320" w:type="dxa"/>
            <w:vAlign w:val="bottom"/>
          </w:tcPr>
          <w:p>
            <w:pPr>
              <w:spacing w:after="0"/>
              <w:rPr>
                <w:sz w:val="10"/>
                <w:szCs w:val="10"/>
                <w:color w:val="auto"/>
              </w:rPr>
            </w:pPr>
          </w:p>
        </w:tc>
        <w:tc>
          <w:tcPr>
            <w:tcW w:w="6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ind w:right="2"/>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Employee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gridSpan w:val="2"/>
            <w:vMerge w:val="restart"/>
          </w:tcPr>
          <w:p>
            <w:pPr>
              <w:ind w:left="100"/>
              <w:spacing w:after="0" w:line="258" w:lineRule="exact"/>
              <w:rPr>
                <w:sz w:val="20"/>
                <w:szCs w:val="20"/>
                <w:color w:val="auto"/>
              </w:rPr>
            </w:pPr>
            <w:r>
              <w:rPr>
                <w:rFonts w:ascii="Arial" w:cs="Arial" w:eastAsia="Arial" w:hAnsi="Arial"/>
                <w:sz w:val="24"/>
                <w:szCs w:val="24"/>
                <w:color w:val="0000FF"/>
                <w:vertAlign w:val="subscript"/>
              </w:rPr>
              <w:t>A</w:t>
            </w:r>
            <w:r>
              <w:rPr>
                <w:rFonts w:ascii="Arial" w:cs="Arial" w:eastAsia="Arial" w:hAnsi="Arial"/>
                <w:sz w:val="10"/>
                <w:szCs w:val="10"/>
                <w:color w:val="008000"/>
              </w:rPr>
              <w:t>(1)</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ind w:left="300"/>
              <w:spacing w:after="0"/>
              <w:rPr>
                <w:sz w:val="20"/>
                <w:szCs w:val="20"/>
                <w:color w:val="auto"/>
              </w:rPr>
            </w:pPr>
            <w:r>
              <w:rPr>
                <w:rFonts w:ascii="Arial" w:cs="Arial" w:eastAsia="Arial" w:hAnsi="Arial"/>
                <w:sz w:val="10"/>
                <w:szCs w:val="10"/>
                <w:color w:val="008000"/>
              </w:rPr>
              <w:t>(1)</w:t>
            </w:r>
          </w:p>
        </w:tc>
        <w:tc>
          <w:tcPr>
            <w:tcW w:w="68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600,000</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2"/>
          </w:tcPr>
          <w:p>
            <w:pPr>
              <w:ind w:left="60"/>
              <w:spacing w:after="0" w:line="121" w:lineRule="exact"/>
              <w:rPr>
                <w:sz w:val="20"/>
                <w:szCs w:val="20"/>
                <w:color w:val="auto"/>
              </w:rPr>
            </w:pPr>
            <w:r>
              <w:rPr>
                <w:rFonts w:ascii="Arial" w:cs="Arial" w:eastAsia="Arial" w:hAnsi="Arial"/>
                <w:sz w:val="12"/>
                <w:szCs w:val="12"/>
                <w:color w:val="0000FF"/>
              </w:rPr>
              <w:t>Option -</w:t>
            </w:r>
          </w:p>
        </w:tc>
        <w:tc>
          <w:tcPr>
            <w:tcW w:w="62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7.87</w:t>
            </w:r>
          </w:p>
        </w:tc>
        <w:tc>
          <w:tcPr>
            <w:tcW w:w="120" w:type="dxa"/>
            <w:vAlign w:val="bottom"/>
          </w:tcPr>
          <w:p>
            <w:pPr>
              <w:spacing w:after="0"/>
              <w:rPr>
                <w:sz w:val="10"/>
                <w:szCs w:val="10"/>
                <w:color w:val="auto"/>
              </w:rPr>
            </w:pPr>
          </w:p>
        </w:tc>
        <w:tc>
          <w:tcPr>
            <w:tcW w:w="1000" w:type="dxa"/>
            <w:vAlign w:val="bottom"/>
          </w:tcPr>
          <w:p>
            <w:pPr>
              <w:jc w:val="right"/>
              <w:ind w:right="122"/>
              <w:spacing w:after="0" w:line="121" w:lineRule="exact"/>
              <w:rPr>
                <w:sz w:val="20"/>
                <w:szCs w:val="20"/>
                <w:color w:val="auto"/>
              </w:rPr>
            </w:pPr>
            <w:r>
              <w:rPr>
                <w:rFonts w:ascii="Arial" w:cs="Arial" w:eastAsia="Arial" w:hAnsi="Arial"/>
                <w:sz w:val="12"/>
                <w:szCs w:val="12"/>
                <w:color w:val="0000FF"/>
              </w:rPr>
              <w:t>06/04/2020</w:t>
            </w:r>
          </w:p>
        </w:tc>
        <w:tc>
          <w:tcPr>
            <w:tcW w:w="1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560" w:type="dxa"/>
            <w:vAlign w:val="bottom"/>
          </w:tcPr>
          <w:p>
            <w:pPr>
              <w:ind w:left="20"/>
              <w:spacing w:after="0" w:line="121" w:lineRule="exact"/>
              <w:rPr>
                <w:sz w:val="20"/>
                <w:szCs w:val="20"/>
                <w:color w:val="auto"/>
              </w:rPr>
            </w:pPr>
            <w:r>
              <w:rPr>
                <w:rFonts w:ascii="Arial" w:cs="Arial" w:eastAsia="Arial" w:hAnsi="Arial"/>
                <w:sz w:val="12"/>
                <w:szCs w:val="12"/>
                <w:color w:val="0000FF"/>
              </w:rPr>
              <w:t>600,000</w:t>
            </w:r>
          </w:p>
        </w:tc>
        <w:tc>
          <w:tcPr>
            <w:tcW w:w="5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2"/>
                <w:szCs w:val="12"/>
                <w:color w:val="0000FF"/>
                <w:w w:val="99"/>
              </w:rPr>
              <w:t>07/31/2025</w:t>
            </w:r>
          </w:p>
        </w:tc>
        <w:tc>
          <w:tcPr>
            <w:tcW w:w="6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18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40" w:type="dxa"/>
            <w:vAlign w:val="bottom"/>
            <w:gridSpan w:val="2"/>
          </w:tcPr>
          <w:p>
            <w:pPr>
              <w:jc w:val="right"/>
              <w:ind w:right="184"/>
              <w:spacing w:after="0" w:line="121" w:lineRule="exact"/>
              <w:rPr>
                <w:sz w:val="20"/>
                <w:szCs w:val="20"/>
                <w:color w:val="auto"/>
              </w:rPr>
            </w:pPr>
            <w:r>
              <w:rPr>
                <w:rFonts w:ascii="Arial" w:cs="Arial" w:eastAsia="Arial" w:hAnsi="Arial"/>
                <w:sz w:val="12"/>
                <w:szCs w:val="12"/>
                <w:color w:val="0000FF"/>
              </w:rPr>
              <w:t>600,000</w:t>
            </w:r>
          </w:p>
        </w:tc>
        <w:tc>
          <w:tcPr>
            <w:tcW w:w="6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ind w:right="2"/>
              <w:spacing w:after="0" w:line="137" w:lineRule="exact"/>
              <w:rPr>
                <w:sz w:val="20"/>
                <w:szCs w:val="20"/>
                <w:color w:val="auto"/>
              </w:rPr>
            </w:pPr>
            <w:r>
              <w:rPr>
                <w:rFonts w:ascii="Arial" w:cs="Arial" w:eastAsia="Arial" w:hAnsi="Arial"/>
                <w:sz w:val="12"/>
                <w:szCs w:val="12"/>
                <w:color w:val="0000FF"/>
                <w:w w:val="93"/>
              </w:rPr>
              <w:t>Stock</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-3016885</wp:posOffset>
            </wp:positionV>
            <wp:extent cx="7036435" cy="3150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1508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4"/>
          <w:szCs w:val="24"/>
          <w:color w:val="auto"/>
        </w:rPr>
      </w:pPr>
    </w:p>
    <w:p>
      <w:pPr>
        <w:ind w:left="40" w:right="220" w:hanging="3"/>
        <w:spacing w:after="0" w:line="317"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two reported transactions involve an amendment of an outstanding option to extend the term of the option, resulting in the deemed cancellation of the old option and the grant of a replacement option. The option was originally granted on July 31, 2015. The option provides for vesting in five installments based on the satisfaction of certain stock-price based performance targets during the term of such option.</w:t>
      </w:r>
    </w:p>
    <w:p>
      <w:pPr>
        <w:spacing w:after="0" w:line="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Mark L. Baum</w:t>
            </w:r>
          </w:p>
        </w:tc>
        <w:tc>
          <w:tcPr>
            <w:tcW w:w="720" w:type="dxa"/>
            <w:vAlign w:val="bottom"/>
          </w:tcPr>
          <w:p>
            <w:pPr>
              <w:spacing w:after="0"/>
              <w:rPr>
                <w:sz w:val="20"/>
                <w:szCs w:val="20"/>
                <w:color w:val="auto"/>
              </w:rPr>
            </w:pPr>
            <w:r>
              <w:rPr>
                <w:rFonts w:ascii="Arial" w:cs="Arial" w:eastAsia="Arial" w:hAnsi="Arial"/>
                <w:sz w:val="16"/>
                <w:szCs w:val="16"/>
                <w:color w:val="0000FF"/>
                <w:w w:val="87"/>
              </w:rPr>
              <w:t>06/08/2020</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5"/>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2"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2020-06-08T17:06:52Z</dcterms:created>
  <dcterms:modified xsi:type="dcterms:W3CDTF">2020-06-08T17:06:52Z</dcterms:modified>
</cp:coreProperties>
</file>