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336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3361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07/19/2021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5,700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6.9683</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3,005,700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07/19/2021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169</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6.9683</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140,169</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Account</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07/20/2021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4,800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7.1999</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3,010,500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07/20/2021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125</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7.1999</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140,294</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Account</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07/21/2021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4,500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7.5965</w:t>
            </w:r>
            <w:r>
              <w:rPr>
                <w:rFonts w:ascii="Arial" w:cs="Arial" w:eastAsia="Arial" w:hAnsi="Arial"/>
                <w:sz w:val="22"/>
                <w:szCs w:val="22"/>
                <w:color w:val="008000"/>
                <w:w w:val="93"/>
                <w:vertAlign w:val="superscript"/>
              </w:rPr>
              <w:t>(5)</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3,015,000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07/21/2021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4,706</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7.5965</w:t>
            </w:r>
            <w:r>
              <w:rPr>
                <w:rFonts w:ascii="Arial" w:cs="Arial" w:eastAsia="Arial" w:hAnsi="Arial"/>
                <w:sz w:val="22"/>
                <w:szCs w:val="22"/>
                <w:color w:val="008000"/>
                <w:w w:val="93"/>
                <w:vertAlign w:val="superscript"/>
              </w:rPr>
              <w:t>(5)</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145,000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$6.9683. The range of purchase prices on the transaction date was $6.95 to $6.9884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$ 7.1999. The range of purchase prices on the transaction date was $7.1998 to $7.20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$ 7.5965. The range of purchase prices on the transaction date was $7.47 to $7.70 per share. The reporting person undertakes to provide, upon request by the SEC staff, the issuer, or a security holder of the issuer, full information regarding the number of shares purchased at each price.</w:t>
      </w:r>
    </w:p>
    <w:p>
      <w:pPr>
        <w:sectPr>
          <w:pgSz w:w="11900" w:h="16838" w:orient="portrait"/>
          <w:cols w:equalWidth="0" w:num="1">
            <w:col w:w="11080"/>
          </w:cols>
          <w:pgMar w:left="460" w:top="225" w:right="359" w:bottom="0" w:gutter="0" w:footer="0" w:header="0"/>
          <w:type w:val="continuous"/>
        </w:sectPr>
      </w:pP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07/21/2021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2021-07-22T08:21:10Z</dcterms:created>
  <dcterms:modified xsi:type="dcterms:W3CDTF">2021-07-22T08:21:10Z</dcterms:modified>
</cp:coreProperties>
</file>