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Imprimis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w:t>
      </w:r>
      <w:r>
        <w:rPr>
          <w:rFonts w:ascii="Arial" w:cs="Arial" w:eastAsia="Arial" w:hAnsi="Arial"/>
          <w:sz w:val="18"/>
          <w:szCs w:val="18"/>
          <w:b w:val="1"/>
          <w:bCs w:val="1"/>
          <w:color w:val="auto"/>
        </w:rPr>
        <w:t xml:space="preserve">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45323A201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660" w:right="9500" w:hanging="4"/>
        <w:spacing w:after="0" w:line="563" w:lineRule="auto"/>
        <w:tabs>
          <w:tab w:leader="none" w:pos="92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52984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291465"/>
                    </a:xfrm>
                    <a:prstGeom prst="rect">
                      <a:avLst/>
                    </a:prstGeom>
                    <a:noFill/>
                  </pic:spPr>
                </pic:pic>
              </a:graphicData>
            </a:graphic>
          </wp:anchor>
        </w:drawing>
      </w:r>
    </w:p>
    <w:p>
      <w:pPr>
        <w:spacing w:after="0" w:line="327"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CUSIP No.</w:t>
      </w:r>
      <w:r>
        <w:rPr>
          <w:sz w:val="20"/>
          <w:szCs w:val="20"/>
          <w:color w:val="auto"/>
        </w:rPr>
        <w:tab/>
      </w:r>
      <w:r>
        <w:rPr>
          <w:rFonts w:ascii="Arial" w:cs="Arial" w:eastAsia="Arial" w:hAnsi="Arial"/>
          <w:sz w:val="16"/>
          <w:szCs w:val="16"/>
          <w:b w:val="1"/>
          <w:bCs w:val="1"/>
          <w:color w:val="auto"/>
        </w:rPr>
        <w:t>45323A201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6732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73227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20" w:hanging="590"/>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4" w:lineRule="exact"/>
        <w:rPr>
          <w:rFonts w:ascii="Arial" w:cs="Arial" w:eastAsia="Arial" w:hAnsi="Arial"/>
          <w:sz w:val="18"/>
          <w:szCs w:val="18"/>
          <w:b w:val="1"/>
          <w:bCs w:val="1"/>
          <w:color w:val="auto"/>
        </w:rPr>
      </w:pPr>
    </w:p>
    <w:p>
      <w:pPr>
        <w:ind w:left="720" w:right="6860"/>
        <w:spacing w:after="0" w:line="528" w:lineRule="auto"/>
        <w:rPr>
          <w:rFonts w:ascii="Arial" w:cs="Arial" w:eastAsia="Arial" w:hAnsi="Arial"/>
          <w:sz w:val="18"/>
          <w:szCs w:val="18"/>
          <w:b w:val="1"/>
          <w:bCs w:val="1"/>
          <w:color w:val="auto"/>
        </w:rPr>
      </w:pPr>
      <w:r>
        <w:rPr>
          <w:rFonts w:ascii="Arial" w:cs="Arial" w:eastAsia="Arial" w:hAnsi="Arial"/>
          <w:sz w:val="18"/>
          <w:szCs w:val="18"/>
          <w:color w:val="auto"/>
        </w:rPr>
        <w:t xml:space="preserve">Longboard Capital Advisors, LLC (EIN </w:t>
      </w:r>
      <w:r>
        <w:rPr>
          <w:rFonts w:ascii="Arial" w:cs="Arial" w:eastAsia="Arial" w:hAnsi="Arial"/>
          <w:sz w:val="18"/>
          <w:szCs w:val="18"/>
          <w:color w:val="010202"/>
        </w:rPr>
        <w:t>86-1150459)</w:t>
      </w:r>
      <w:r>
        <w:rPr>
          <w:rFonts w:ascii="Arial" w:cs="Arial" w:eastAsia="Arial" w:hAnsi="Arial"/>
          <w:sz w:val="18"/>
          <w:szCs w:val="18"/>
          <w:color w:val="auto"/>
        </w:rPr>
        <w:t xml:space="preserve"> </w:t>
      </w:r>
      <w:r>
        <w:rPr>
          <w:rFonts w:ascii="Arial" w:cs="Arial" w:eastAsia="Arial" w:hAnsi="Arial"/>
          <w:sz w:val="18"/>
          <w:szCs w:val="18"/>
          <w:color w:val="010202"/>
        </w:rPr>
        <w:t>Brett Conrad</w:t>
      </w:r>
    </w:p>
    <w:p>
      <w:pPr>
        <w:spacing w:after="0" w:line="44" w:lineRule="exact"/>
        <w:rPr>
          <w:sz w:val="20"/>
          <w:szCs w:val="20"/>
          <w:color w:val="auto"/>
        </w:rPr>
      </w:pPr>
    </w:p>
    <w:p>
      <w:pPr>
        <w:ind w:left="720" w:hanging="590"/>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75" w:lineRule="exact"/>
        <w:rPr>
          <w:rFonts w:ascii="Arial" w:cs="Arial" w:eastAsia="Arial" w:hAnsi="Arial"/>
          <w:sz w:val="18"/>
          <w:szCs w:val="18"/>
          <w:b w:val="1"/>
          <w:bCs w:val="1"/>
          <w:color w:val="auto"/>
        </w:rPr>
      </w:pPr>
    </w:p>
    <w:p>
      <w:pPr>
        <w:ind w:left="1000" w:hanging="290"/>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020" w:hanging="310"/>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66" w:lineRule="exact"/>
        <w:rPr>
          <w:sz w:val="20"/>
          <w:szCs w:val="20"/>
          <w:color w:val="auto"/>
        </w:rPr>
      </w:pPr>
    </w:p>
    <w:p>
      <w:pPr>
        <w:ind w:left="720" w:hanging="590"/>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363" w:lineRule="exact"/>
        <w:rPr>
          <w:sz w:val="20"/>
          <w:szCs w:val="20"/>
          <w:color w:val="auto"/>
        </w:rPr>
      </w:pPr>
    </w:p>
    <w:p>
      <w:pPr>
        <w:ind w:left="720" w:right="7360" w:hanging="590"/>
        <w:spacing w:after="0" w:line="453" w:lineRule="auto"/>
        <w:tabs>
          <w:tab w:leader="none" w:pos="7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or Place of Organization </w:t>
      </w:r>
      <w:r>
        <w:rPr>
          <w:rFonts w:ascii="Arial" w:cs="Arial" w:eastAsia="Arial" w:hAnsi="Arial"/>
          <w:sz w:val="16"/>
          <w:szCs w:val="16"/>
          <w:color w:val="auto"/>
        </w:rPr>
        <w:t>Longboard Capital Advisors, LLC – Delaware</w:t>
      </w:r>
    </w:p>
    <w:p>
      <w:pPr>
        <w:spacing w:after="0" w:line="38" w:lineRule="exact"/>
        <w:rPr>
          <w:rFonts w:ascii="Arial" w:cs="Arial" w:eastAsia="Arial" w:hAnsi="Arial"/>
          <w:sz w:val="16"/>
          <w:szCs w:val="16"/>
          <w:b w:val="1"/>
          <w:bCs w:val="1"/>
          <w:color w:val="auto"/>
        </w:rPr>
      </w:pPr>
    </w:p>
    <w:p>
      <w:pPr>
        <w:ind w:left="720"/>
        <w:spacing w:after="0"/>
        <w:rPr>
          <w:rFonts w:ascii="Arial" w:cs="Arial" w:eastAsia="Arial" w:hAnsi="Arial"/>
          <w:sz w:val="16"/>
          <w:szCs w:val="16"/>
          <w:b w:val="1"/>
          <w:bCs w:val="1"/>
          <w:color w:val="auto"/>
        </w:rPr>
      </w:pPr>
      <w:r>
        <w:rPr>
          <w:rFonts w:ascii="Arial" w:cs="Arial" w:eastAsia="Arial" w:hAnsi="Arial"/>
          <w:sz w:val="18"/>
          <w:szCs w:val="18"/>
          <w:color w:val="010202"/>
        </w:rPr>
        <w:t>Brett Conrad – USA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210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w:t>
            </w:r>
          </w:p>
        </w:tc>
        <w:tc>
          <w:tcPr>
            <w:tcW w:w="88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97"/>
        </w:trPr>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8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1,416,000 aggregate shares of Common Stock (see Item 4 below)</w:t>
            </w:r>
          </w:p>
        </w:tc>
        <w:tc>
          <w:tcPr>
            <w:tcW w:w="0" w:type="dxa"/>
            <w:vAlign w:val="bottom"/>
          </w:tcPr>
          <w:p>
            <w:pPr>
              <w:spacing w:after="0"/>
              <w:rPr>
                <w:sz w:val="1"/>
                <w:szCs w:val="1"/>
                <w:color w:val="auto"/>
              </w:rPr>
            </w:pPr>
          </w:p>
        </w:tc>
      </w:tr>
      <w:tr>
        <w:trPr>
          <w:trHeight w:val="191"/>
        </w:trPr>
        <w:tc>
          <w:tcPr>
            <w:tcW w:w="21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Shares</w:t>
            </w:r>
          </w:p>
        </w:tc>
        <w:tc>
          <w:tcPr>
            <w:tcW w:w="44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6</w:t>
            </w:r>
          </w:p>
        </w:tc>
        <w:tc>
          <w:tcPr>
            <w:tcW w:w="88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440" w:type="dxa"/>
            <w:vAlign w:val="bottom"/>
            <w:tcBorders>
              <w:right w:val="single" w:sz="8" w:color="auto"/>
            </w:tcBorders>
            <w:vMerge w:val="continue"/>
          </w:tcPr>
          <w:p>
            <w:pPr>
              <w:spacing w:after="0"/>
              <w:rPr>
                <w:sz w:val="8"/>
                <w:szCs w:val="8"/>
                <w:color w:val="auto"/>
              </w:rPr>
            </w:pPr>
          </w:p>
        </w:tc>
        <w:tc>
          <w:tcPr>
            <w:tcW w:w="8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100" w:type="dxa"/>
            <w:vAlign w:val="bottom"/>
            <w:tcBorders>
              <w:right w:val="single" w:sz="8" w:color="auto"/>
            </w:tcBorders>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Owned by Each</w:t>
            </w:r>
          </w:p>
        </w:tc>
        <w:tc>
          <w:tcPr>
            <w:tcW w:w="440" w:type="dxa"/>
            <w:vAlign w:val="bottom"/>
            <w:tcBorders>
              <w:right w:val="single" w:sz="8" w:color="auto"/>
            </w:tcBorders>
          </w:tcPr>
          <w:p>
            <w:pPr>
              <w:spacing w:after="0"/>
              <w:rPr>
                <w:sz w:val="18"/>
                <w:szCs w:val="18"/>
                <w:color w:val="auto"/>
              </w:rPr>
            </w:pPr>
          </w:p>
        </w:tc>
        <w:tc>
          <w:tcPr>
            <w:tcW w:w="88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Reporting Person</w:t>
            </w:r>
          </w:p>
        </w:tc>
        <w:tc>
          <w:tcPr>
            <w:tcW w:w="44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10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7</w:t>
            </w:r>
          </w:p>
        </w:tc>
        <w:tc>
          <w:tcPr>
            <w:tcW w:w="88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34"/>
        </w:trPr>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With:</w:t>
            </w:r>
          </w:p>
        </w:tc>
        <w:tc>
          <w:tcPr>
            <w:tcW w:w="440" w:type="dxa"/>
            <w:vAlign w:val="bottom"/>
            <w:tcBorders>
              <w:right w:val="single" w:sz="8" w:color="auto"/>
            </w:tcBorders>
            <w:vMerge w:val="continue"/>
          </w:tcPr>
          <w:p>
            <w:pPr>
              <w:spacing w:after="0"/>
              <w:rPr>
                <w:sz w:val="20"/>
                <w:szCs w:val="20"/>
                <w:color w:val="auto"/>
              </w:rPr>
            </w:pPr>
          </w:p>
        </w:tc>
        <w:tc>
          <w:tcPr>
            <w:tcW w:w="8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100" w:type="dxa"/>
            <w:vAlign w:val="bottom"/>
            <w:tcBorders>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1,416,000 aggregate shares of Common Stock (see Item 4 below)</w:t>
            </w:r>
          </w:p>
        </w:tc>
        <w:tc>
          <w:tcPr>
            <w:tcW w:w="0" w:type="dxa"/>
            <w:vAlign w:val="bottom"/>
          </w:tcPr>
          <w:p>
            <w:pPr>
              <w:spacing w:after="0"/>
              <w:rPr>
                <w:sz w:val="1"/>
                <w:szCs w:val="1"/>
                <w:color w:val="auto"/>
              </w:rPr>
            </w:pPr>
          </w:p>
        </w:tc>
      </w:tr>
      <w:tr>
        <w:trPr>
          <w:trHeight w:val="291"/>
        </w:trPr>
        <w:tc>
          <w:tcPr>
            <w:tcW w:w="21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w:t>
            </w:r>
          </w:p>
        </w:tc>
        <w:tc>
          <w:tcPr>
            <w:tcW w:w="8880" w:type="dxa"/>
            <w:vAlign w:val="bottom"/>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78"/>
        </w:trPr>
        <w:tc>
          <w:tcPr>
            <w:tcW w:w="21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8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1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8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720" w:right="5640" w:hanging="590"/>
        <w:spacing w:after="0" w:line="502" w:lineRule="auto"/>
        <w:tabs>
          <w:tab w:leader="none" w:pos="7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Aggregate Amount Beneficially Owned by Each Reporting Person </w:t>
      </w:r>
      <w:r>
        <w:rPr>
          <w:rFonts w:ascii="Arial" w:cs="Arial" w:eastAsia="Arial" w:hAnsi="Arial"/>
          <w:sz w:val="16"/>
          <w:szCs w:val="16"/>
          <w:color w:val="auto"/>
        </w:rPr>
        <w:t>1,416,000 aggregate shares of Common Stock (see Item 4 below)</w:t>
      </w:r>
    </w:p>
    <w:p>
      <w:pPr>
        <w:ind w:left="720" w:right="4020" w:hanging="590"/>
        <w:spacing w:after="0" w:line="446" w:lineRule="auto"/>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ind w:left="720" w:right="6920" w:hanging="590"/>
        <w:spacing w:after="0" w:line="446" w:lineRule="auto"/>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7.1%</w:t>
      </w:r>
    </w:p>
    <w:p>
      <w:pPr>
        <w:ind w:left="720" w:right="7340" w:hanging="590"/>
        <w:spacing w:after="0" w:line="453" w:lineRule="auto"/>
        <w:tabs>
          <w:tab w:leader="none" w:pos="7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Type of Reporting Person (See Instructions) </w:t>
      </w:r>
      <w:r>
        <w:rPr>
          <w:rFonts w:ascii="Arial" w:cs="Arial" w:eastAsia="Arial" w:hAnsi="Arial"/>
          <w:sz w:val="16"/>
          <w:szCs w:val="16"/>
          <w:color w:val="auto"/>
        </w:rPr>
        <w:t>Longboard Capital Advisors, LLC – IA</w:t>
      </w:r>
    </w:p>
    <w:p>
      <w:pPr>
        <w:spacing w:after="0" w:line="38" w:lineRule="exact"/>
        <w:rPr>
          <w:rFonts w:ascii="Arial" w:cs="Arial" w:eastAsia="Arial" w:hAnsi="Arial"/>
          <w:sz w:val="16"/>
          <w:szCs w:val="16"/>
          <w:b w:val="1"/>
          <w:bCs w:val="1"/>
          <w:color w:val="auto"/>
        </w:rPr>
      </w:pPr>
    </w:p>
    <w:p>
      <w:pPr>
        <w:ind w:left="720"/>
        <w:spacing w:after="0"/>
        <w:rPr>
          <w:rFonts w:ascii="Arial" w:cs="Arial" w:eastAsia="Arial" w:hAnsi="Arial"/>
          <w:sz w:val="16"/>
          <w:szCs w:val="16"/>
          <w:b w:val="1"/>
          <w:bCs w:val="1"/>
          <w:color w:val="auto"/>
        </w:rPr>
      </w:pPr>
      <w:r>
        <w:rPr>
          <w:rFonts w:ascii="Arial" w:cs="Arial" w:eastAsia="Arial" w:hAnsi="Arial"/>
          <w:sz w:val="18"/>
          <w:szCs w:val="18"/>
          <w:color w:val="010202"/>
        </w:rPr>
        <w:t>Brett Conrad – IN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Imprimis Pharmaceuticals, Inc.</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12264 El Camino Real, Suite 350</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 92130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920" w:right="794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Person Filing Longboard Capital Advisors, LLC Brett Conrad</w:t>
      </w:r>
    </w:p>
    <w:p>
      <w:pPr>
        <w:ind w:left="920" w:right="6100" w:hanging="912"/>
        <w:spacing w:after="0" w:line="563"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1312 Cedar St. Santa Monica, California 90405</w:t>
      </w:r>
    </w:p>
    <w:p>
      <w:pPr>
        <w:spacing w:after="0" w:line="1" w:lineRule="exact"/>
        <w:rPr>
          <w:rFonts w:ascii="Arial" w:cs="Arial" w:eastAsia="Arial" w:hAnsi="Arial"/>
          <w:sz w:val="16"/>
          <w:szCs w:val="16"/>
          <w:color w:val="auto"/>
        </w:rPr>
      </w:pPr>
    </w:p>
    <w:p>
      <w:pPr>
        <w:ind w:left="920" w:hanging="9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920" w:right="7080"/>
        <w:spacing w:after="0" w:line="501" w:lineRule="auto"/>
        <w:rPr>
          <w:rFonts w:ascii="Arial" w:cs="Arial" w:eastAsia="Arial" w:hAnsi="Arial"/>
          <w:sz w:val="18"/>
          <w:szCs w:val="18"/>
          <w:color w:val="auto"/>
        </w:rPr>
      </w:pPr>
      <w:r>
        <w:rPr>
          <w:rFonts w:ascii="Arial" w:cs="Arial" w:eastAsia="Arial" w:hAnsi="Arial"/>
          <w:sz w:val="18"/>
          <w:szCs w:val="18"/>
          <w:color w:val="auto"/>
        </w:rPr>
        <w:t>Longboard Capital Advisors, LLC – Delaware Brett Conrad – USA</w:t>
      </w:r>
    </w:p>
    <w:p>
      <w:pPr>
        <w:ind w:left="920" w:right="8000" w:hanging="912"/>
        <w:spacing w:after="0" w:line="563"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Title and Class of Securities Common Stock, $0.001 par value</w:t>
      </w:r>
    </w:p>
    <w:p>
      <w:pPr>
        <w:spacing w:after="0" w:line="1" w:lineRule="exact"/>
        <w:rPr>
          <w:rFonts w:ascii="Arial" w:cs="Arial" w:eastAsia="Arial" w:hAnsi="Arial"/>
          <w:sz w:val="16"/>
          <w:szCs w:val="16"/>
          <w:color w:val="auto"/>
        </w:rPr>
      </w:pPr>
    </w:p>
    <w:p>
      <w:pPr>
        <w:jc w:val="both"/>
        <w:ind w:left="920" w:right="9580" w:hanging="912"/>
        <w:spacing w:after="0" w:line="561"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CUSIP No. 45323A201</w:t>
      </w: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1260" w:hanging="347"/>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  Broker or dealer registered under Section 15 of the Act;</w:t>
      </w:r>
    </w:p>
    <w:p>
      <w:pPr>
        <w:spacing w:after="0" w:line="225" w:lineRule="exact"/>
        <w:rPr>
          <w:rFonts w:ascii="Arial" w:cs="Arial" w:eastAsia="Arial" w:hAnsi="Arial"/>
          <w:sz w:val="18"/>
          <w:szCs w:val="18"/>
          <w:color w:val="auto"/>
        </w:rPr>
      </w:pPr>
    </w:p>
    <w:p>
      <w:pPr>
        <w:ind w:left="1260" w:hanging="347"/>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  Bank as defined in Section 3(a)(6) of the Act;</w:t>
      </w:r>
    </w:p>
    <w:p>
      <w:pPr>
        <w:spacing w:after="0" w:line="225" w:lineRule="exact"/>
        <w:rPr>
          <w:rFonts w:ascii="Arial" w:cs="Arial" w:eastAsia="Arial" w:hAnsi="Arial"/>
          <w:sz w:val="18"/>
          <w:szCs w:val="18"/>
          <w:color w:val="auto"/>
        </w:rPr>
      </w:pPr>
    </w:p>
    <w:p>
      <w:pPr>
        <w:ind w:left="1260" w:hanging="347"/>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  Insurance company as defined in Section 3(a)(19) of the Act;</w:t>
      </w:r>
    </w:p>
    <w:p>
      <w:pPr>
        <w:spacing w:after="0" w:line="225" w:lineRule="exact"/>
        <w:rPr>
          <w:rFonts w:ascii="Arial" w:cs="Arial" w:eastAsia="Arial" w:hAnsi="Arial"/>
          <w:sz w:val="18"/>
          <w:szCs w:val="18"/>
          <w:color w:val="auto"/>
        </w:rPr>
      </w:pPr>
    </w:p>
    <w:p>
      <w:pPr>
        <w:ind w:left="1260" w:hanging="347"/>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  Investment company registered under Section 8 of the Investment Company Act of 1940;</w:t>
      </w:r>
    </w:p>
    <w:p>
      <w:pPr>
        <w:spacing w:after="0" w:line="225" w:lineRule="exact"/>
        <w:rPr>
          <w:rFonts w:ascii="Arial" w:cs="Arial" w:eastAsia="Arial" w:hAnsi="Arial"/>
          <w:sz w:val="18"/>
          <w:szCs w:val="18"/>
          <w:color w:val="auto"/>
        </w:rPr>
      </w:pPr>
    </w:p>
    <w:p>
      <w:pPr>
        <w:ind w:left="1260" w:hanging="347"/>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  An investment adviser in accordance with Rule 13d-1(b)(1)(ii)(E);</w:t>
      </w:r>
    </w:p>
    <w:p>
      <w:pPr>
        <w:spacing w:after="0" w:line="225" w:lineRule="exact"/>
        <w:rPr>
          <w:rFonts w:ascii="Arial" w:cs="Arial" w:eastAsia="Arial" w:hAnsi="Arial"/>
          <w:sz w:val="18"/>
          <w:szCs w:val="18"/>
          <w:color w:val="auto"/>
        </w:rPr>
      </w:pPr>
    </w:p>
    <w:p>
      <w:pPr>
        <w:ind w:left="1260" w:hanging="347"/>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  An employee benefit plan or endowment fund in accordance with Rule 13d-1(b)(1)(ii)(F);</w:t>
      </w:r>
    </w:p>
    <w:p>
      <w:pPr>
        <w:spacing w:after="0" w:line="225" w:lineRule="exact"/>
        <w:rPr>
          <w:rFonts w:ascii="Arial" w:cs="Arial" w:eastAsia="Arial" w:hAnsi="Arial"/>
          <w:sz w:val="18"/>
          <w:szCs w:val="18"/>
          <w:color w:val="auto"/>
        </w:rPr>
      </w:pPr>
    </w:p>
    <w:p>
      <w:pPr>
        <w:ind w:left="1260" w:hanging="347"/>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  A parent holding company or control person in accordance with Rule 13d-1(b)(1)(ii)(G);</w:t>
      </w:r>
    </w:p>
    <w:p>
      <w:pPr>
        <w:spacing w:after="0" w:line="225" w:lineRule="exact"/>
        <w:rPr>
          <w:rFonts w:ascii="Arial" w:cs="Arial" w:eastAsia="Arial" w:hAnsi="Arial"/>
          <w:sz w:val="18"/>
          <w:szCs w:val="18"/>
          <w:color w:val="auto"/>
        </w:rPr>
      </w:pPr>
    </w:p>
    <w:p>
      <w:pPr>
        <w:ind w:left="1260" w:hanging="347"/>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580" w:hanging="667"/>
        <w:spacing w:after="0" w:line="277" w:lineRule="auto"/>
        <w:tabs>
          <w:tab w:leader="none" w:pos="12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[_] 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260" w:hanging="347"/>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  A non-U.S. institution in accordance with Rule 240.13d-1(b)(1)(ii)(J);</w:t>
      </w:r>
    </w:p>
    <w:p>
      <w:pPr>
        <w:spacing w:after="0" w:line="225" w:lineRule="exact"/>
        <w:rPr>
          <w:rFonts w:ascii="Arial" w:cs="Arial" w:eastAsia="Arial" w:hAnsi="Arial"/>
          <w:sz w:val="18"/>
          <w:szCs w:val="18"/>
          <w:color w:val="auto"/>
        </w:rPr>
      </w:pPr>
    </w:p>
    <w:p>
      <w:pPr>
        <w:ind w:left="1580" w:right="140" w:hanging="667"/>
        <w:spacing w:after="0" w:line="277" w:lineRule="auto"/>
        <w:tabs>
          <w:tab w:leader="none" w:pos="12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[_] Group, in accordance with Rule 240.13d-1(b)(1)(ii)(K). If filing as a non-U.S. institution in accordance with Rule 240.13d-1(b)(1)(ii) (J), please specify the type of institution: ____</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113"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920" w:hanging="912"/>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1,416,000 aggregate shares of Common Stock may be deemed to be beneficially owned by the Reporting Person, which includes 208,000 shares of Common Stock issuable upon exercise of Warrants.</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7.1%</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260" w:hanging="347"/>
        <w:spacing w:after="0"/>
        <w:tabs>
          <w:tab w:leader="none" w:pos="1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1,416,000 aggregate shares of Common Stock (See Item 4a above).</w:t>
      </w:r>
    </w:p>
    <w:p>
      <w:pPr>
        <w:spacing w:after="0" w:line="225" w:lineRule="exact"/>
        <w:rPr>
          <w:rFonts w:ascii="Arial" w:cs="Arial" w:eastAsia="Arial" w:hAnsi="Arial"/>
          <w:sz w:val="18"/>
          <w:szCs w:val="18"/>
          <w:color w:val="auto"/>
        </w:rPr>
      </w:pPr>
    </w:p>
    <w:p>
      <w:pPr>
        <w:ind w:left="1260" w:hanging="347"/>
        <w:spacing w:after="0"/>
        <w:tabs>
          <w:tab w:leader="none" w:pos="1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260" w:hanging="347"/>
        <w:spacing w:after="0"/>
        <w:tabs>
          <w:tab w:leader="none" w:pos="1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1,416,000 aggregate shares of Common Stock (See Item 4a above).</w:t>
      </w:r>
    </w:p>
    <w:p>
      <w:pPr>
        <w:spacing w:after="0" w:line="225" w:lineRule="exact"/>
        <w:rPr>
          <w:rFonts w:ascii="Arial" w:cs="Arial" w:eastAsia="Arial" w:hAnsi="Arial"/>
          <w:sz w:val="18"/>
          <w:szCs w:val="18"/>
          <w:color w:val="auto"/>
        </w:rPr>
      </w:pPr>
    </w:p>
    <w:p>
      <w:pPr>
        <w:ind w:left="1260" w:hanging="347"/>
        <w:spacing w:after="0"/>
        <w:tabs>
          <w:tab w:leader="none" w:pos="1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Item 6 is not applicable.</w:t>
      </w:r>
    </w:p>
    <w:p>
      <w:pPr>
        <w:spacing w:after="0" w:line="221" w:lineRule="exact"/>
        <w:rPr>
          <w:sz w:val="20"/>
          <w:szCs w:val="20"/>
          <w:color w:val="auto"/>
        </w:rPr>
      </w:pPr>
    </w:p>
    <w:p>
      <w:pPr>
        <w:ind w:left="92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Item 7 is 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Item 8 is 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Item 9 is 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By signing below the Reporting Person certifies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April 19,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Brett Conrad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Brett Conrad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lvl w:ilvl="1">
      <w:lvlJc w:val="left"/>
      <w:lvlText w:val="(%2)"/>
      <w:numFmt w:val="lowerLetter"/>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2020-01-16T22:58:34Z</dcterms:created>
  <dcterms:modified xsi:type="dcterms:W3CDTF">2020-01-16T22:58:34Z</dcterms:modified>
</cp:coreProperties>
</file>