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Opaleye Management Inc.</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Imprimis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IMMY</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6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380" w:type="dxa"/>
            <w:vAlign w:val="bottom"/>
            <w:tcBorders>
              <w:top w:val="single" w:sz="8" w:color="EEEEEE"/>
            </w:tcBorders>
            <w:vMerge w:val="restart"/>
          </w:tcPr>
          <w:p>
            <w:pPr>
              <w:ind w:left="12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86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06/30/2015</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9B RUSSELL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02140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80" w:type="dxa"/>
            <w:vAlign w:val="bottom"/>
            <w:gridSpan w:val="2"/>
            <w:vMerge w:val="restart"/>
          </w:tcPr>
          <w:p>
            <w:pPr>
              <w:ind w:left="780"/>
              <w:spacing w:after="0"/>
              <w:rPr>
                <w:sz w:val="20"/>
                <w:szCs w:val="20"/>
                <w:color w:val="auto"/>
              </w:rPr>
            </w:pPr>
            <w:r>
              <w:rPr>
                <w:rFonts w:ascii="Arial" w:cs="Arial" w:eastAsia="Arial" w:hAnsi="Arial"/>
                <w:sz w:val="18"/>
                <w:szCs w:val="18"/>
                <w:color w:val="0000FF"/>
              </w:rPr>
              <w:t>06/30/2015</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35,000</w:t>
            </w:r>
          </w:p>
        </w:tc>
        <w:tc>
          <w:tcPr>
            <w:tcW w:w="480" w:type="dxa"/>
            <w:vAlign w:val="bottom"/>
            <w:vMerge w:val="restart"/>
          </w:tcPr>
          <w:p>
            <w:pPr>
              <w:ind w:left="360"/>
              <w:spacing w:after="0"/>
              <w:rPr>
                <w:sz w:val="20"/>
                <w:szCs w:val="20"/>
                <w:color w:val="auto"/>
              </w:rPr>
            </w:pPr>
            <w:r>
              <w:rPr>
                <w:rFonts w:ascii="Arial" w:cs="Arial" w:eastAsia="Arial" w:hAnsi="Arial"/>
                <w:sz w:val="18"/>
                <w:szCs w:val="18"/>
                <w:color w:val="0000FF"/>
                <w:w w:val="82"/>
              </w:rPr>
              <w:t>A</w:t>
            </w:r>
          </w:p>
        </w:tc>
        <w:tc>
          <w:tcPr>
            <w:tcW w:w="220" w:type="dxa"/>
            <w:vAlign w:val="bottom"/>
          </w:tcPr>
          <w:p>
            <w:pPr>
              <w:spacing w:after="0"/>
              <w:rPr>
                <w:sz w:val="22"/>
                <w:szCs w:val="22"/>
                <w:color w:val="auto"/>
              </w:rPr>
            </w:pPr>
          </w:p>
        </w:tc>
        <w:tc>
          <w:tcPr>
            <w:tcW w:w="6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w:t>
            </w: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1,205,000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92"/>
              </w:rPr>
              <w:t>Foonote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reported herein for Opaleye Management, Inc. (the "Company) represent Common Stock beneficially owned and held of record by the Company and Opaleye, L.P., a private fund for which the Company serves as the investment manager (the "Fund"). James Silverman is the President and sole shareholder of the Company. The Company, the Fund and Mr. Silverman (the "Reporting Persons") are each beneficial owners and have an address of 9B Russell Street, Cambridge, MA 02140. The Reporting Persons disclaim beneficial ownership, within the meaning of Section 16 of the Securities Exchange Act of 1934, as amended, or otherwise of such portion of the shares and warrants in which the Reporting Persons have no actual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4"/>
          </w:tcPr>
          <w:p>
            <w:pPr>
              <w:spacing w:after="0"/>
              <w:rPr>
                <w:sz w:val="20"/>
                <w:szCs w:val="20"/>
                <w:color w:val="auto"/>
              </w:rPr>
            </w:pPr>
            <w:r>
              <w:rPr>
                <w:rFonts w:ascii="Arial" w:cs="Arial" w:eastAsia="Arial" w:hAnsi="Arial"/>
                <w:sz w:val="18"/>
                <w:szCs w:val="18"/>
                <w:color w:val="0000FF"/>
                <w:w w:val="89"/>
              </w:rPr>
              <w:t>James Silverman, individually</w:t>
            </w:r>
          </w:p>
        </w:tc>
        <w:tc>
          <w:tcPr>
            <w:tcW w:w="6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06/30/2015</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James Silverman, as Manager</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06/30/2015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of Opaleye GP LLC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James Silverman, as President</w:t>
            </w:r>
          </w:p>
        </w:tc>
        <w:tc>
          <w:tcPr>
            <w:tcW w:w="60" w:type="dxa"/>
            <w:vAlign w:val="bottom"/>
          </w:tcPr>
          <w:p>
            <w:pPr>
              <w:spacing w:after="0"/>
              <w:rPr>
                <w:sz w:val="21"/>
                <w:szCs w:val="2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06/30/2015</w:t>
            </w:r>
          </w:p>
        </w:tc>
        <w:tc>
          <w:tcPr>
            <w:tcW w:w="0" w:type="dxa"/>
            <w:vAlign w:val="bottom"/>
          </w:tcPr>
          <w:p>
            <w:pPr>
              <w:spacing w:after="0"/>
              <w:rPr>
                <w:sz w:val="1"/>
                <w:szCs w:val="1"/>
                <w:color w:val="auto"/>
              </w:rPr>
            </w:pPr>
          </w:p>
        </w:tc>
      </w:tr>
      <w:tr>
        <w:trPr>
          <w:trHeight w:val="88"/>
        </w:trPr>
        <w:tc>
          <w:tcPr>
            <w:tcW w:w="222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of Opaleye Management,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gridSpan w:val="3"/>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2020-01-22T09:27:35Z</dcterms:created>
  <dcterms:modified xsi:type="dcterms:W3CDTF">2020-01-22T09:27:35Z</dcterms:modified>
</cp:coreProperties>
</file>