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comments.xml" ContentType="application/vnd.openxmlformats-officedocument.wordprocessingml.comments+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b/>
        </w:rPr>
      </w:pPr>
      <w:bookmarkStart w:id="0" w:name="f8k042712_8k.htm"/>
      <w:bookmarkStart w:id="1" w:name="ksf8k042712_8k"/>
      <w:bookmarkEnd w:id="0"/>
      <w:bookmarkEnd w:id="1"/>
      <w:r>
        <w:rPr>
          <w:b/>
        </w:rPr>
        <w:t>UNITED STATES</w:t>
      </w:r>
    </w:p>
    <w:p>
      <w:pPr>
        <w:pStyle w:val="TextBody"/>
        <w:spacing w:before="0" w:after="0"/>
        <w:ind w:left="0" w:right="0" w:hanging="0"/>
        <w:jc w:val="center"/>
        <w:rPr>
          <w:b/>
        </w:rPr>
      </w:pPr>
      <w:r>
        <w:rPr>
          <w:b/>
        </w:rPr>
        <w:t>SECURITIES AND EXCHANGE COMMISSION</w:t>
      </w:r>
    </w:p>
    <w:p>
      <w:pPr>
        <w:pStyle w:val="TextBody"/>
        <w:spacing w:before="0" w:after="0"/>
        <w:ind w:left="0" w:right="0" w:hanging="0"/>
        <w:jc w:val="center"/>
        <w:rPr>
          <w:b/>
        </w:rPr>
      </w:pPr>
      <w:r>
        <w:rPr>
          <w:b/>
        </w:rPr>
        <w:t>Washington, D.C. 20549</w:t>
      </w:r>
    </w:p>
    <w:p>
      <w:pPr>
        <w:pStyle w:val="TextBody"/>
        <w:spacing w:before="0" w:after="0"/>
        <w:ind w:left="0" w:right="0" w:hanging="0"/>
        <w:jc w:val="center"/>
        <w:rPr/>
      </w:pPr>
      <w:r>
        <w:rPr/>
      </w:r>
    </w:p>
    <w:p>
      <w:pPr>
        <w:pStyle w:val="TextBody"/>
        <w:spacing w:before="0" w:after="0"/>
        <w:ind w:left="0" w:right="0" w:hanging="0"/>
        <w:jc w:val="center"/>
        <w:rPr>
          <w:b/>
          <w:sz w:val="20"/>
        </w:rPr>
      </w:pPr>
      <w:r>
        <w:rPr>
          <w:b/>
          <w:sz w:val="20"/>
        </w:rPr>
        <w:t>FORM 8-K</w:t>
      </w:r>
    </w:p>
    <w:p>
      <w:pPr>
        <w:pStyle w:val="TextBody"/>
        <w:spacing w:before="0" w:after="0"/>
        <w:ind w:left="0" w:right="0" w:hanging="0"/>
        <w:jc w:val="center"/>
        <w:rPr/>
      </w:pPr>
      <w:r>
        <w:rPr/>
      </w:r>
    </w:p>
    <w:p>
      <w:pPr>
        <w:pStyle w:val="TextBody"/>
        <w:spacing w:before="0" w:after="0"/>
        <w:ind w:left="0" w:right="0" w:hanging="0"/>
        <w:jc w:val="center"/>
        <w:rPr>
          <w:b/>
        </w:rPr>
      </w:pPr>
      <w:r>
        <w:rPr>
          <w:b/>
        </w:rPr>
        <w:t>CURRENT REPORT</w:t>
      </w:r>
    </w:p>
    <w:p>
      <w:pPr>
        <w:pStyle w:val="TextBody"/>
        <w:spacing w:before="0" w:after="0"/>
        <w:ind w:left="0" w:right="0" w:hanging="0"/>
        <w:jc w:val="center"/>
        <w:rPr>
          <w:b/>
        </w:rPr>
      </w:pPr>
      <w:r>
        <w:rPr>
          <w:b/>
        </w:rPr>
        <w:t>Pursuant to Section 13 OR 15(d) of The Securities Exchange Act of 1934</w:t>
      </w:r>
    </w:p>
    <w:p>
      <w:pPr>
        <w:pStyle w:val="TextBody"/>
        <w:spacing w:before="0" w:after="0"/>
        <w:ind w:left="0" w:right="0" w:hanging="0"/>
        <w:jc w:val="center"/>
        <w:rPr/>
      </w:pPr>
      <w:r>
        <w:rPr/>
      </w:r>
    </w:p>
    <w:p>
      <w:pPr>
        <w:pStyle w:val="TextBody"/>
        <w:spacing w:before="0" w:after="0"/>
        <w:ind w:left="0" w:right="0" w:hanging="0"/>
        <w:jc w:val="center"/>
        <w:rPr/>
      </w:pPr>
      <w:r>
        <w:rPr>
          <w:b/>
        </w:rPr>
        <w:t>Date of Report (Date of earliest event reported):  February 28, 2012</w:t>
      </w:r>
      <w:r>
        <w:rPr/>
        <w:t xml:space="preserve"> </w:t>
      </w:r>
    </w:p>
    <w:p>
      <w:pPr>
        <w:pStyle w:val="TextBody"/>
        <w:spacing w:before="0" w:after="0"/>
        <w:ind w:left="0" w:right="0" w:hanging="0"/>
        <w:jc w:val="center"/>
        <w:rPr/>
      </w:pPr>
      <w:r>
        <w:rPr/>
      </w:r>
    </w:p>
    <w:p>
      <w:pPr>
        <w:pStyle w:val="TextBody"/>
        <w:spacing w:before="0" w:after="0"/>
        <w:ind w:left="0" w:right="0" w:hanging="0"/>
        <w:jc w:val="center"/>
        <w:rPr>
          <w:b/>
          <w:sz w:val="23"/>
        </w:rPr>
      </w:pPr>
      <w:r>
        <w:rPr>
          <w:b/>
          <w:sz w:val="23"/>
        </w:rPr>
        <w:t>IMPRIMIS PHARMACEUTICALS, INC.</w:t>
      </w:r>
    </w:p>
    <w:p>
      <w:pPr>
        <w:pStyle w:val="TextBody"/>
        <w:spacing w:before="0" w:after="0"/>
        <w:ind w:left="0" w:right="0" w:hanging="0"/>
        <w:jc w:val="center"/>
        <w:rPr/>
      </w:pPr>
      <w:r>
        <w:rPr/>
        <w:t>(Exact name of registrant as specified in its charter)</w:t>
      </w:r>
    </w:p>
    <w:p>
      <w:pPr>
        <w:pStyle w:val="TextBody"/>
        <w:spacing w:before="0" w:after="0"/>
        <w:ind w:left="0" w:right="0" w:hanging="0"/>
        <w:jc w:val="center"/>
        <w:rPr/>
      </w:pPr>
      <w:r>
        <w:rPr/>
      </w:r>
    </w:p>
    <w:tbl>
      <w:tblPr>
        <w:tblW w:w="8175" w:type="dxa"/>
        <w:jc w:val="center"/>
        <w:tblInd w:w="0" w:type="dxa"/>
        <w:tblCellMar>
          <w:top w:w="0" w:type="dxa"/>
          <w:left w:w="0" w:type="dxa"/>
          <w:bottom w:w="0" w:type="dxa"/>
          <w:right w:w="0" w:type="dxa"/>
        </w:tblCellMar>
      </w:tblPr>
      <w:tblGrid>
        <w:gridCol w:w="2325"/>
        <w:gridCol w:w="225"/>
        <w:gridCol w:w="2415"/>
        <w:gridCol w:w="225"/>
        <w:gridCol w:w="2985"/>
      </w:tblGrid>
      <w:tr>
        <w:trPr/>
        <w:tc>
          <w:tcPr>
            <w:tcW w:w="23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41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985" w:type="dxa"/>
            <w:tcBorders/>
            <w:shd w:fill="auto" w:val="clear"/>
            <w:vAlign w:val="center"/>
          </w:tcPr>
          <w:p>
            <w:pPr>
              <w:pStyle w:val="TableContents"/>
              <w:spacing w:before="0" w:after="283"/>
              <w:rPr>
                <w:sz w:val="4"/>
                <w:szCs w:val="4"/>
              </w:rPr>
            </w:pPr>
            <w:r>
              <w:rPr>
                <w:sz w:val="4"/>
                <w:szCs w:val="4"/>
              </w:rPr>
            </w:r>
          </w:p>
        </w:tc>
      </w:tr>
      <w:tr>
        <w:trPr/>
        <w:tc>
          <w:tcPr>
            <w:tcW w:w="2325" w:type="dxa"/>
            <w:tcBorders/>
            <w:shd w:fill="auto" w:val="clear"/>
            <w:vAlign w:val="center"/>
          </w:tcPr>
          <w:p>
            <w:pPr>
              <w:pStyle w:val="TableContents"/>
              <w:pBdr/>
              <w:spacing w:before="0" w:after="0"/>
              <w:ind w:left="0" w:right="0" w:hanging="0"/>
              <w:rPr/>
            </w:pPr>
            <w:r>
              <w:rPr/>
              <w:t> </w:t>
            </w:r>
          </w:p>
        </w:tc>
        <w:tc>
          <w:tcPr>
            <w:tcW w:w="225" w:type="dxa"/>
            <w:tcBorders/>
            <w:shd w:fill="auto" w:val="clear"/>
            <w:vAlign w:val="center"/>
          </w:tcPr>
          <w:p>
            <w:pPr>
              <w:pStyle w:val="TableContents"/>
              <w:pBdr/>
              <w:spacing w:before="0" w:after="0"/>
              <w:ind w:left="0" w:right="0" w:hanging="0"/>
              <w:rPr/>
            </w:pPr>
            <w:r>
              <w:rPr/>
              <w:t> </w:t>
            </w:r>
          </w:p>
        </w:tc>
        <w:tc>
          <w:tcPr>
            <w:tcW w:w="2415" w:type="dxa"/>
            <w:tcBorders/>
            <w:shd w:fill="auto" w:val="clear"/>
            <w:vAlign w:val="center"/>
          </w:tcPr>
          <w:p>
            <w:pPr>
              <w:pStyle w:val="TableContents"/>
              <w:pBdr/>
              <w:spacing w:before="0" w:after="0"/>
              <w:ind w:left="0" w:right="0" w:hanging="0"/>
              <w:rPr/>
            </w:pPr>
            <w:r>
              <w:rPr/>
              <w:t> </w:t>
            </w:r>
          </w:p>
        </w:tc>
        <w:tc>
          <w:tcPr>
            <w:tcW w:w="225" w:type="dxa"/>
            <w:tcBorders/>
            <w:shd w:fill="auto" w:val="clear"/>
            <w:vAlign w:val="center"/>
          </w:tcPr>
          <w:p>
            <w:pPr>
              <w:pStyle w:val="TableContents"/>
              <w:pBdr/>
              <w:spacing w:before="0" w:after="0"/>
              <w:ind w:left="0" w:right="0" w:hanging="0"/>
              <w:rPr/>
            </w:pPr>
            <w:r>
              <w:rPr/>
              <w:t> </w:t>
            </w:r>
          </w:p>
        </w:tc>
        <w:tc>
          <w:tcPr>
            <w:tcW w:w="2985" w:type="dxa"/>
            <w:tcBorders/>
            <w:shd w:fill="auto" w:val="clear"/>
            <w:vAlign w:val="center"/>
          </w:tcPr>
          <w:p>
            <w:pPr>
              <w:pStyle w:val="TableContents"/>
              <w:pBdr/>
              <w:spacing w:before="0" w:after="0"/>
              <w:ind w:left="0" w:right="0" w:hanging="0"/>
              <w:rPr/>
            </w:pPr>
            <w:r>
              <w:rPr/>
              <w:t> </w:t>
            </w:r>
          </w:p>
        </w:tc>
      </w:tr>
      <w:tr>
        <w:trPr/>
        <w:tc>
          <w:tcPr>
            <w:tcW w:w="2325" w:type="dxa"/>
            <w:tcBorders>
              <w:bottom w:val="single" w:sz="2" w:space="0" w:color="000000"/>
            </w:tcBorders>
            <w:shd w:fill="auto" w:val="clear"/>
            <w:tcMar>
              <w:bottom w:w="28" w:type="dxa"/>
            </w:tcMar>
          </w:tcPr>
          <w:p>
            <w:pPr>
              <w:pStyle w:val="TableContents"/>
              <w:spacing w:before="0" w:after="0"/>
              <w:ind w:left="0" w:right="0" w:hanging="0"/>
              <w:jc w:val="center"/>
              <w:rPr>
                <w:b/>
              </w:rPr>
            </w:pPr>
            <w:r>
              <w:rPr>
                <w:b/>
              </w:rPr>
              <w:t>Delaware</w:t>
            </w:r>
          </w:p>
        </w:tc>
        <w:tc>
          <w:tcPr>
            <w:tcW w:w="225" w:type="dxa"/>
            <w:tcBorders/>
            <w:shd w:fill="auto" w:val="clear"/>
          </w:tcPr>
          <w:p>
            <w:pPr>
              <w:pStyle w:val="TableContents"/>
              <w:spacing w:before="0" w:after="0"/>
              <w:ind w:left="0" w:right="0" w:hanging="0"/>
              <w:rPr/>
            </w:pPr>
            <w:r>
              <w:rPr/>
              <w:t> </w:t>
            </w:r>
          </w:p>
        </w:tc>
        <w:tc>
          <w:tcPr>
            <w:tcW w:w="2415" w:type="dxa"/>
            <w:tcBorders>
              <w:bottom w:val="single" w:sz="2" w:space="0" w:color="000000"/>
            </w:tcBorders>
            <w:shd w:fill="auto" w:val="clear"/>
            <w:tcMar>
              <w:bottom w:w="28" w:type="dxa"/>
            </w:tcMar>
          </w:tcPr>
          <w:p>
            <w:pPr>
              <w:pStyle w:val="TableContents"/>
              <w:spacing w:before="0" w:after="0"/>
              <w:ind w:left="0" w:right="0" w:hanging="0"/>
              <w:jc w:val="center"/>
              <w:rPr>
                <w:b/>
              </w:rPr>
            </w:pPr>
            <w:r>
              <w:rPr>
                <w:b/>
              </w:rPr>
              <w:t>000-52998</w:t>
            </w:r>
          </w:p>
        </w:tc>
        <w:tc>
          <w:tcPr>
            <w:tcW w:w="225" w:type="dxa"/>
            <w:tcBorders/>
            <w:shd w:fill="auto" w:val="clear"/>
          </w:tcPr>
          <w:p>
            <w:pPr>
              <w:pStyle w:val="TableContents"/>
              <w:spacing w:before="0" w:after="0"/>
              <w:ind w:left="0" w:right="0" w:hanging="0"/>
              <w:rPr/>
            </w:pPr>
            <w:r>
              <w:rPr/>
              <w:t> </w:t>
            </w:r>
          </w:p>
        </w:tc>
        <w:tc>
          <w:tcPr>
            <w:tcW w:w="2985" w:type="dxa"/>
            <w:tcBorders>
              <w:bottom w:val="single" w:sz="2" w:space="0" w:color="000000"/>
            </w:tcBorders>
            <w:shd w:fill="auto" w:val="clear"/>
            <w:tcMar>
              <w:bottom w:w="28" w:type="dxa"/>
            </w:tcMar>
          </w:tcPr>
          <w:p>
            <w:pPr>
              <w:pStyle w:val="TableContents"/>
              <w:spacing w:before="0" w:after="0"/>
              <w:ind w:left="0" w:right="0" w:hanging="0"/>
              <w:jc w:val="center"/>
              <w:rPr>
                <w:b/>
              </w:rPr>
            </w:pPr>
            <w:r>
              <w:rPr>
                <w:b/>
              </w:rPr>
              <w:t>45-0567010</w:t>
            </w:r>
          </w:p>
        </w:tc>
      </w:tr>
      <w:tr>
        <w:trPr/>
        <w:tc>
          <w:tcPr>
            <w:tcW w:w="2325" w:type="dxa"/>
            <w:tcBorders/>
            <w:shd w:fill="auto" w:val="clear"/>
          </w:tcPr>
          <w:p>
            <w:pPr>
              <w:pStyle w:val="TableContents"/>
              <w:spacing w:before="0" w:after="0"/>
              <w:ind w:left="0" w:right="0" w:hanging="0"/>
              <w:jc w:val="center"/>
              <w:rPr/>
            </w:pPr>
            <w:r>
              <w:rPr/>
              <w:t>(State or other jurisdiction</w:t>
            </w:r>
          </w:p>
          <w:p>
            <w:pPr>
              <w:pStyle w:val="TableContents"/>
              <w:spacing w:before="0" w:after="0"/>
              <w:ind w:left="0" w:right="0" w:hanging="0"/>
              <w:jc w:val="center"/>
              <w:rPr/>
            </w:pPr>
            <w:r>
              <w:rPr/>
              <w:t>of incorporation)</w:t>
            </w:r>
          </w:p>
        </w:tc>
        <w:tc>
          <w:tcPr>
            <w:tcW w:w="225" w:type="dxa"/>
            <w:tcBorders/>
            <w:shd w:fill="auto" w:val="clear"/>
          </w:tcPr>
          <w:p>
            <w:pPr>
              <w:pStyle w:val="TableContents"/>
              <w:spacing w:before="0" w:after="0"/>
              <w:ind w:left="0" w:right="0" w:hanging="0"/>
              <w:rPr/>
            </w:pPr>
            <w:r>
              <w:rPr/>
              <w:t> </w:t>
            </w:r>
          </w:p>
        </w:tc>
        <w:tc>
          <w:tcPr>
            <w:tcW w:w="2415" w:type="dxa"/>
            <w:tcBorders/>
            <w:shd w:fill="auto" w:val="clear"/>
          </w:tcPr>
          <w:p>
            <w:pPr>
              <w:pStyle w:val="TableContents"/>
              <w:spacing w:before="0" w:after="0"/>
              <w:ind w:left="0" w:right="0" w:hanging="0"/>
              <w:jc w:val="center"/>
              <w:rPr/>
            </w:pPr>
            <w:r>
              <w:rPr/>
              <w:t>(Commission File Number)</w:t>
            </w:r>
          </w:p>
        </w:tc>
        <w:tc>
          <w:tcPr>
            <w:tcW w:w="225" w:type="dxa"/>
            <w:tcBorders/>
            <w:shd w:fill="auto" w:val="clear"/>
          </w:tcPr>
          <w:p>
            <w:pPr>
              <w:pStyle w:val="TableContents"/>
              <w:spacing w:before="0" w:after="0"/>
              <w:ind w:left="0" w:right="0" w:hanging="0"/>
              <w:rPr/>
            </w:pPr>
            <w:r>
              <w:rPr/>
              <w:t> </w:t>
            </w:r>
          </w:p>
        </w:tc>
        <w:tc>
          <w:tcPr>
            <w:tcW w:w="2985" w:type="dxa"/>
            <w:tcBorders/>
            <w:shd w:fill="auto" w:val="clear"/>
          </w:tcPr>
          <w:p>
            <w:pPr>
              <w:pStyle w:val="TableContents"/>
              <w:spacing w:before="0" w:after="0"/>
              <w:ind w:left="0" w:right="0" w:hanging="0"/>
              <w:jc w:val="center"/>
              <w:rPr/>
            </w:pPr>
            <w:r>
              <w:rPr/>
              <w:t>(IRS Employer Identification No.)</w:t>
            </w:r>
          </w:p>
        </w:tc>
      </w:tr>
    </w:tbl>
    <w:p>
      <w:pPr>
        <w:pStyle w:val="TextBody"/>
        <w:spacing w:before="0" w:after="0"/>
        <w:ind w:left="0" w:right="0" w:hanging="0"/>
        <w:rPr/>
      </w:pPr>
      <w:r>
        <w:rPr/>
      </w:r>
    </w:p>
    <w:tbl>
      <w:tblPr>
        <w:tblW w:w="4740" w:type="dxa"/>
        <w:jc w:val="center"/>
        <w:tblInd w:w="0" w:type="dxa"/>
        <w:tblCellMar>
          <w:top w:w="0" w:type="dxa"/>
          <w:left w:w="0" w:type="dxa"/>
          <w:bottom w:w="0" w:type="dxa"/>
          <w:right w:w="0" w:type="dxa"/>
        </w:tblCellMar>
      </w:tblPr>
      <w:tblGrid>
        <w:gridCol w:w="3405"/>
        <w:gridCol w:w="225"/>
        <w:gridCol w:w="1110"/>
      </w:tblGrid>
      <w:tr>
        <w:trPr/>
        <w:tc>
          <w:tcPr>
            <w:tcW w:w="340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r>
      <w:tr>
        <w:trPr/>
        <w:tc>
          <w:tcPr>
            <w:tcW w:w="3405" w:type="dxa"/>
            <w:tcBorders/>
            <w:shd w:fill="auto" w:val="clear"/>
            <w:vAlign w:val="center"/>
          </w:tcPr>
          <w:p>
            <w:pPr>
              <w:pStyle w:val="TableContents"/>
              <w:pBdr/>
              <w:spacing w:before="0" w:after="0"/>
              <w:ind w:left="0" w:right="0" w:hanging="0"/>
              <w:rPr/>
            </w:pPr>
            <w:r>
              <w:rPr/>
              <w:t> </w:t>
            </w:r>
          </w:p>
        </w:tc>
        <w:tc>
          <w:tcPr>
            <w:tcW w:w="225" w:type="dxa"/>
            <w:tcBorders/>
            <w:shd w:fill="auto" w:val="clear"/>
            <w:vAlign w:val="center"/>
          </w:tcPr>
          <w:p>
            <w:pPr>
              <w:pStyle w:val="TableContents"/>
              <w:pBdr/>
              <w:spacing w:before="0" w:after="0"/>
              <w:ind w:left="0" w:right="0" w:hanging="0"/>
              <w:rPr/>
            </w:pPr>
            <w:r>
              <w:rPr/>
              <w:t> </w:t>
            </w:r>
          </w:p>
        </w:tc>
        <w:tc>
          <w:tcPr>
            <w:tcW w:w="1110" w:type="dxa"/>
            <w:tcBorders/>
            <w:shd w:fill="auto" w:val="clear"/>
            <w:vAlign w:val="center"/>
          </w:tcPr>
          <w:p>
            <w:pPr>
              <w:pStyle w:val="TableContents"/>
              <w:pBdr/>
              <w:spacing w:before="0" w:after="0"/>
              <w:ind w:left="0" w:right="0" w:hanging="0"/>
              <w:rPr/>
            </w:pPr>
            <w:r>
              <w:rPr/>
              <w:t> </w:t>
            </w:r>
          </w:p>
        </w:tc>
      </w:tr>
      <w:tr>
        <w:trPr/>
        <w:tc>
          <w:tcPr>
            <w:tcW w:w="3405" w:type="dxa"/>
            <w:tcBorders/>
            <w:shd w:fill="auto" w:val="clear"/>
          </w:tcPr>
          <w:p>
            <w:pPr>
              <w:pStyle w:val="TableContents"/>
              <w:spacing w:before="0" w:after="0"/>
              <w:ind w:left="0" w:right="0" w:hanging="0"/>
              <w:jc w:val="center"/>
              <w:rPr>
                <w:b/>
              </w:rPr>
            </w:pPr>
            <w:r>
              <w:rPr>
                <w:b/>
              </w:rPr>
              <w:t>437 South Hwy 101, Suite 209</w:t>
            </w:r>
          </w:p>
        </w:tc>
        <w:tc>
          <w:tcPr>
            <w:tcW w:w="225" w:type="dxa"/>
            <w:tcBorders/>
            <w:shd w:fill="auto" w:val="clear"/>
          </w:tcPr>
          <w:p>
            <w:pPr>
              <w:pStyle w:val="TableContents"/>
              <w:spacing w:before="0" w:after="0"/>
              <w:ind w:left="0" w:right="0" w:hanging="0"/>
              <w:rPr/>
            </w:pPr>
            <w:r>
              <w:rPr/>
              <w:t> </w:t>
            </w:r>
          </w:p>
        </w:tc>
        <w:tc>
          <w:tcPr>
            <w:tcW w:w="1110" w:type="dxa"/>
            <w:tcBorders/>
            <w:shd w:fill="auto" w:val="clear"/>
          </w:tcPr>
          <w:p>
            <w:pPr>
              <w:pStyle w:val="TableContents"/>
              <w:spacing w:before="0" w:after="0"/>
              <w:ind w:left="0" w:right="0" w:hanging="0"/>
              <w:rPr/>
            </w:pPr>
            <w:r>
              <w:rPr/>
              <w:t> </w:t>
            </w:r>
          </w:p>
        </w:tc>
      </w:tr>
      <w:tr>
        <w:trPr/>
        <w:tc>
          <w:tcPr>
            <w:tcW w:w="3405" w:type="dxa"/>
            <w:tcBorders>
              <w:bottom w:val="single" w:sz="2" w:space="0" w:color="000000"/>
            </w:tcBorders>
            <w:shd w:fill="auto" w:val="clear"/>
            <w:tcMar>
              <w:bottom w:w="28" w:type="dxa"/>
            </w:tcMar>
          </w:tcPr>
          <w:p>
            <w:pPr>
              <w:pStyle w:val="TableContents"/>
              <w:spacing w:before="0" w:after="0"/>
              <w:ind w:left="0" w:right="0" w:hanging="0"/>
              <w:jc w:val="center"/>
              <w:rPr>
                <w:b/>
              </w:rPr>
            </w:pPr>
            <w:r>
              <w:rPr>
                <w:b/>
              </w:rPr>
              <w:t>Solana Beach, CA</w:t>
            </w:r>
          </w:p>
        </w:tc>
        <w:tc>
          <w:tcPr>
            <w:tcW w:w="225" w:type="dxa"/>
            <w:tcBorders/>
            <w:shd w:fill="auto" w:val="clear"/>
          </w:tcPr>
          <w:p>
            <w:pPr>
              <w:pStyle w:val="TableContents"/>
              <w:spacing w:before="0" w:after="0"/>
              <w:ind w:left="0" w:right="0" w:hanging="0"/>
              <w:rPr/>
            </w:pPr>
            <w:r>
              <w:rPr/>
              <w:t> </w:t>
            </w:r>
          </w:p>
        </w:tc>
        <w:tc>
          <w:tcPr>
            <w:tcW w:w="1110" w:type="dxa"/>
            <w:tcBorders>
              <w:bottom w:val="single" w:sz="2" w:space="0" w:color="000000"/>
            </w:tcBorders>
            <w:shd w:fill="auto" w:val="clear"/>
            <w:tcMar>
              <w:bottom w:w="28" w:type="dxa"/>
            </w:tcMar>
          </w:tcPr>
          <w:p>
            <w:pPr>
              <w:pStyle w:val="TableContents"/>
              <w:spacing w:before="0" w:after="0"/>
              <w:ind w:left="0" w:right="0" w:hanging="0"/>
              <w:jc w:val="center"/>
              <w:rPr>
                <w:b/>
              </w:rPr>
            </w:pPr>
            <w:r>
              <w:rPr>
                <w:b/>
              </w:rPr>
              <w:t>92075</w:t>
            </w:r>
          </w:p>
        </w:tc>
      </w:tr>
      <w:tr>
        <w:trPr/>
        <w:tc>
          <w:tcPr>
            <w:tcW w:w="3405" w:type="dxa"/>
            <w:tcBorders/>
            <w:shd w:fill="auto" w:val="clear"/>
          </w:tcPr>
          <w:p>
            <w:pPr>
              <w:pStyle w:val="TableContents"/>
              <w:spacing w:before="0" w:after="0"/>
              <w:ind w:left="0" w:right="0" w:hanging="0"/>
              <w:jc w:val="center"/>
              <w:rPr/>
            </w:pPr>
            <w:r>
              <w:rPr/>
              <w:t>(Address of principal executive offices)</w:t>
            </w:r>
          </w:p>
        </w:tc>
        <w:tc>
          <w:tcPr>
            <w:tcW w:w="225" w:type="dxa"/>
            <w:tcBorders/>
            <w:shd w:fill="auto" w:val="clear"/>
          </w:tcPr>
          <w:p>
            <w:pPr>
              <w:pStyle w:val="TableContents"/>
              <w:spacing w:before="0" w:after="0"/>
              <w:ind w:left="0" w:right="0" w:hanging="0"/>
              <w:rPr/>
            </w:pPr>
            <w:r>
              <w:rPr/>
              <w:t> </w:t>
            </w:r>
          </w:p>
        </w:tc>
        <w:tc>
          <w:tcPr>
            <w:tcW w:w="1110" w:type="dxa"/>
            <w:tcBorders/>
            <w:shd w:fill="auto" w:val="clear"/>
          </w:tcPr>
          <w:p>
            <w:pPr>
              <w:pStyle w:val="TableContents"/>
              <w:spacing w:before="0" w:after="0"/>
              <w:ind w:left="0" w:right="0" w:hanging="0"/>
              <w:jc w:val="center"/>
              <w:rPr/>
            </w:pPr>
            <w:r>
              <w:rPr/>
              <w:t>(Zip Code)</w:t>
            </w:r>
          </w:p>
        </w:tc>
      </w:tr>
    </w:tbl>
    <w:p>
      <w:pPr>
        <w:pStyle w:val="TextBody"/>
        <w:spacing w:before="0" w:after="0"/>
        <w:ind w:left="0" w:right="0" w:hanging="0"/>
        <w:jc w:val="center"/>
        <w:rPr/>
      </w:pPr>
      <w:r>
        <w:rPr/>
      </w:r>
    </w:p>
    <w:p>
      <w:pPr>
        <w:pStyle w:val="TextBody"/>
        <w:spacing w:before="0" w:after="0"/>
        <w:ind w:left="0" w:right="0" w:hanging="0"/>
        <w:jc w:val="center"/>
        <w:rPr/>
      </w:pPr>
      <w:r>
        <w:rPr/>
        <w:t xml:space="preserve">Registrants telephone number, including area code: </w:t>
      </w:r>
      <w:r>
        <w:rPr>
          <w:b/>
        </w:rPr>
        <w:t>(858) 433-2800</w:t>
      </w:r>
    </w:p>
    <w:p>
      <w:pPr>
        <w:pStyle w:val="TextBody"/>
        <w:spacing w:before="0" w:after="0"/>
        <w:ind w:left="0" w:right="0" w:hanging="0"/>
        <w:jc w:val="center"/>
        <w:rPr/>
      </w:pPr>
      <w:r>
        <w:rPr/>
      </w:r>
    </w:p>
    <w:tbl>
      <w:tblPr>
        <w:tblW w:w="4950" w:type="dxa"/>
        <w:jc w:val="center"/>
        <w:tblInd w:w="0" w:type="dxa"/>
        <w:tblCellMar>
          <w:top w:w="0" w:type="dxa"/>
          <w:left w:w="0" w:type="dxa"/>
          <w:bottom w:w="0" w:type="dxa"/>
          <w:right w:w="0" w:type="dxa"/>
        </w:tblCellMar>
      </w:tblPr>
      <w:tblGrid>
        <w:gridCol w:w="4950"/>
      </w:tblGrid>
      <w:tr>
        <w:trPr/>
        <w:tc>
          <w:tcPr>
            <w:tcW w:w="4950" w:type="dxa"/>
            <w:tcBorders/>
            <w:shd w:fill="auto" w:val="clear"/>
            <w:vAlign w:val="center"/>
          </w:tcPr>
          <w:p>
            <w:pPr>
              <w:pStyle w:val="TableContents"/>
              <w:spacing w:before="0" w:after="283"/>
              <w:rPr>
                <w:sz w:val="4"/>
                <w:szCs w:val="4"/>
              </w:rPr>
            </w:pPr>
            <w:r>
              <w:rPr>
                <w:sz w:val="4"/>
                <w:szCs w:val="4"/>
              </w:rPr>
            </w:r>
          </w:p>
        </w:tc>
      </w:tr>
      <w:tr>
        <w:trPr/>
        <w:tc>
          <w:tcPr>
            <w:tcW w:w="4950" w:type="dxa"/>
            <w:tcBorders/>
            <w:shd w:fill="auto" w:val="clear"/>
            <w:vAlign w:val="center"/>
          </w:tcPr>
          <w:p>
            <w:pPr>
              <w:pStyle w:val="TableContents"/>
              <w:pBdr/>
              <w:spacing w:before="0" w:after="0"/>
              <w:ind w:left="0" w:right="0" w:hanging="0"/>
              <w:rPr/>
            </w:pPr>
            <w:r>
              <w:rPr/>
              <w:t> </w:t>
            </w:r>
          </w:p>
        </w:tc>
      </w:tr>
      <w:tr>
        <w:trPr/>
        <w:tc>
          <w:tcPr>
            <w:tcW w:w="4950" w:type="dxa"/>
            <w:tcBorders>
              <w:bottom w:val="single" w:sz="2" w:space="0" w:color="000000"/>
            </w:tcBorders>
            <w:shd w:fill="auto" w:val="clear"/>
            <w:tcMar>
              <w:bottom w:w="28" w:type="dxa"/>
            </w:tcMar>
            <w:vAlign w:val="center"/>
          </w:tcPr>
          <w:p>
            <w:pPr>
              <w:pStyle w:val="TableContents"/>
              <w:spacing w:before="0" w:after="0"/>
              <w:ind w:left="0" w:right="0" w:hanging="0"/>
              <w:jc w:val="center"/>
              <w:rPr>
                <w:b/>
              </w:rPr>
            </w:pPr>
            <w:r>
              <w:rPr>
                <w:b/>
              </w:rPr>
              <w:t>Transdel Pharmaceuticals, Inc.</w:t>
            </w:r>
          </w:p>
        </w:tc>
      </w:tr>
      <w:tr>
        <w:trPr/>
        <w:tc>
          <w:tcPr>
            <w:tcW w:w="4950" w:type="dxa"/>
            <w:tcBorders/>
            <w:shd w:fill="auto" w:val="clear"/>
            <w:vAlign w:val="center"/>
          </w:tcPr>
          <w:p>
            <w:pPr>
              <w:pStyle w:val="TableContents"/>
              <w:spacing w:before="0" w:after="0"/>
              <w:ind w:left="0" w:right="0" w:hanging="0"/>
              <w:jc w:val="center"/>
              <w:rPr/>
            </w:pPr>
            <w:r>
              <w:rPr/>
              <w:t>(Former name or former address if changed since last report.)</w:t>
            </w:r>
          </w:p>
        </w:tc>
      </w:tr>
    </w:tbl>
    <w:p>
      <w:pPr>
        <w:pStyle w:val="TextBody"/>
        <w:spacing w:before="0" w:after="0"/>
        <w:ind w:left="0" w:right="0" w:hanging="0"/>
        <w:rPr/>
      </w:pPr>
      <w:r>
        <w:rPr/>
      </w:r>
    </w:p>
    <w:p>
      <w:pPr>
        <w:pStyle w:val="TextBody"/>
        <w:spacing w:before="0" w:after="0"/>
        <w:ind w:left="0" w:right="0" w:hanging="0"/>
        <w:rPr/>
      </w:pPr>
      <w:r>
        <w:rPr/>
        <w:t xml:space="preserve">Check the appropriate box below if the Form 8-K filing is intended to simultaneously satisfy the filing obligation of the registrant under any of the following provisions: </w:t>
      </w:r>
    </w:p>
    <w:p>
      <w:pPr>
        <w:pStyle w:val="TextBody"/>
        <w:spacing w:before="0" w:after="0"/>
        <w:ind w:left="0" w:right="0" w:hanging="0"/>
        <w:rPr/>
      </w:pPr>
      <w:r>
        <w:rPr/>
      </w:r>
    </w:p>
    <w:p>
      <w:pPr>
        <w:pStyle w:val="TextBody"/>
        <w:spacing w:before="0" w:after="15"/>
        <w:ind w:left="0" w:right="0" w:hanging="0"/>
        <w:rPr/>
      </w:pPr>
      <w:r>
        <w:rPr/>
        <w:t>  </w:t>
      </w:r>
      <w:r>
        <w:rPr>
          <w:bdr w:val="single" w:sz="2" w:space="1" w:color="000000"/>
        </w:rPr>
        <w:t>     </w:t>
      </w:r>
      <w:r>
        <w:rPr>
          <w:color w:val="FFFFFF"/>
          <w:sz w:val="10"/>
        </w:rPr>
        <w:t xml:space="preserve">. </w:t>
      </w:r>
      <w:r>
        <w:rPr>
          <w:sz w:val="10"/>
        </w:rPr>
        <w:t>  </w:t>
      </w:r>
      <w:r>
        <w:rPr>
          <w:sz w:val="17"/>
        </w:rPr>
        <w:t>Written communications pursuant to Rule 425 under the Securities Act (17 CFR 230.425)</w:t>
      </w:r>
    </w:p>
    <w:p>
      <w:pPr>
        <w:pStyle w:val="TextBody"/>
        <w:spacing w:before="0" w:after="0"/>
        <w:ind w:left="0" w:right="0" w:hanging="0"/>
        <w:rPr/>
      </w:pPr>
      <w:r>
        <w:rPr/>
      </w:r>
    </w:p>
    <w:p>
      <w:pPr>
        <w:pStyle w:val="TextBody"/>
        <w:spacing w:before="0" w:after="15"/>
        <w:ind w:left="0" w:right="0" w:hanging="0"/>
        <w:rPr/>
      </w:pPr>
      <w:r>
        <w:rPr/>
        <w:t>  </w:t>
      </w:r>
      <w:r>
        <w:rPr>
          <w:bdr w:val="single" w:sz="2" w:space="1" w:color="000000"/>
        </w:rPr>
        <w:t>     </w:t>
      </w:r>
      <w:r>
        <w:rPr>
          <w:color w:val="FFFFFF"/>
          <w:sz w:val="10"/>
        </w:rPr>
        <w:t xml:space="preserve">. </w:t>
      </w:r>
      <w:r>
        <w:rPr>
          <w:sz w:val="10"/>
        </w:rPr>
        <w:t>  </w:t>
      </w:r>
      <w:r>
        <w:rPr>
          <w:sz w:val="17"/>
        </w:rPr>
        <w:t>Soliciting material pursuant to Rule 14a-12 under the Exchange Act (17 CFR 240.14a-12)</w:t>
      </w:r>
    </w:p>
    <w:p>
      <w:pPr>
        <w:pStyle w:val="TextBody"/>
        <w:spacing w:before="0" w:after="0"/>
        <w:ind w:left="0" w:right="0" w:hanging="0"/>
        <w:rPr/>
      </w:pPr>
      <w:r>
        <w:rPr/>
      </w:r>
    </w:p>
    <w:p>
      <w:pPr>
        <w:pStyle w:val="TextBody"/>
        <w:spacing w:before="0" w:after="15"/>
        <w:ind w:left="0" w:right="0" w:hanging="0"/>
        <w:rPr/>
      </w:pPr>
      <w:r>
        <w:rPr/>
        <w:t>  </w:t>
      </w:r>
      <w:r>
        <w:rPr>
          <w:bdr w:val="single" w:sz="2" w:space="1" w:color="000000"/>
        </w:rPr>
        <w:t>     </w:t>
      </w:r>
      <w:r>
        <w:rPr>
          <w:color w:val="FFFFFF"/>
          <w:sz w:val="10"/>
        </w:rPr>
        <w:t xml:space="preserve">. </w:t>
      </w:r>
      <w:r>
        <w:rPr>
          <w:sz w:val="10"/>
        </w:rPr>
        <w:t>  </w:t>
      </w:r>
      <w:r>
        <w:rPr>
          <w:sz w:val="17"/>
        </w:rPr>
        <w:t>Pre-commencement communications pursuant to Rule 14d-2(b) under the Exchange Act (17 CFR 240.14d-2(b))</w:t>
      </w:r>
    </w:p>
    <w:p>
      <w:pPr>
        <w:pStyle w:val="TextBody"/>
        <w:spacing w:before="0" w:after="0"/>
        <w:ind w:left="0" w:right="0" w:hanging="0"/>
        <w:rPr/>
      </w:pPr>
      <w:r>
        <w:rPr/>
      </w:r>
    </w:p>
    <w:p>
      <w:pPr>
        <w:pStyle w:val="TextBody"/>
        <w:spacing w:before="0" w:after="15"/>
        <w:ind w:left="0" w:right="0" w:hanging="0"/>
        <w:rPr/>
      </w:pPr>
      <w:r>
        <w:rPr/>
        <w:t>  </w:t>
      </w:r>
      <w:r>
        <w:rPr>
          <w:bdr w:val="single" w:sz="2" w:space="1" w:color="000000"/>
        </w:rPr>
        <w:t>     </w:t>
      </w:r>
      <w:r>
        <w:rPr>
          <w:color w:val="FFFFFF"/>
          <w:sz w:val="10"/>
        </w:rPr>
        <w:t xml:space="preserve">. </w:t>
      </w:r>
      <w:r>
        <w:rPr>
          <w:sz w:val="10"/>
        </w:rPr>
        <w:t>  </w:t>
      </w:r>
      <w:r>
        <w:rPr>
          <w:sz w:val="17"/>
        </w:rPr>
        <w:t>Pre-commencement communications pursuant to Rule 13e-4(c) under the Exchange Act (17 CFR 240.13e-4(c))</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rPr/>
      </w:pPr>
      <w:r>
        <w:rPr/>
      </w:r>
    </w:p>
    <w:p>
      <w:pPr>
        <w:pStyle w:val="TextBody"/>
        <w:spacing w:before="0" w:after="0"/>
        <w:ind w:left="0" w:right="0" w:hanging="0"/>
        <w:jc w:val="both"/>
        <w:rPr>
          <w:b/>
        </w:rPr>
      </w:pPr>
      <w:r>
        <w:rPr>
          <w:b/>
        </w:rPr>
        <w:t>Item 1.01.  Entry Into a Material Definitive Agreement.</w:t>
      </w:r>
    </w:p>
    <w:p>
      <w:pPr>
        <w:pStyle w:val="TextBody"/>
        <w:spacing w:before="0" w:after="0"/>
        <w:ind w:left="0" w:right="0" w:hanging="0"/>
        <w:jc w:val="both"/>
        <w:rPr/>
      </w:pPr>
      <w:r>
        <w:rPr/>
      </w:r>
    </w:p>
    <w:p>
      <w:pPr>
        <w:pStyle w:val="TextBody"/>
        <w:spacing w:before="0" w:after="0"/>
        <w:ind w:left="0" w:right="0" w:hanging="0"/>
        <w:jc w:val="both"/>
        <w:rPr>
          <w:u w:val="single"/>
        </w:rPr>
      </w:pPr>
      <w:r>
        <w:rPr>
          <w:u w:val="single"/>
        </w:rPr>
        <w:t>Private Placement Offering</w:t>
      </w:r>
    </w:p>
    <w:p>
      <w:pPr>
        <w:pStyle w:val="TextBody"/>
        <w:spacing w:before="0" w:after="0"/>
        <w:ind w:left="0" w:right="0" w:hanging="0"/>
        <w:jc w:val="both"/>
        <w:rPr/>
      </w:pPr>
      <w:r>
        <w:rPr/>
      </w:r>
    </w:p>
    <w:p>
      <w:pPr>
        <w:pStyle w:val="TextBody"/>
        <w:spacing w:before="0" w:after="0"/>
        <w:ind w:left="0" w:right="0" w:hanging="0"/>
        <w:jc w:val="both"/>
        <w:rPr/>
      </w:pPr>
      <w:r>
        <w:rPr>
          <w:highlight w:val="white"/>
        </w:rPr>
        <w:t xml:space="preserve">On April 20, 2012, Imprimis Pharmaceuticals, Inc. (the Company) entered into a Securities Purchase Agreement (the Securities Purchase Agreement) with certain accredited investors (the Investors) relating to the sale and issuance of 10,058,455 units (each, a Unit) consisting of one share of the Companys common stock (Common Stock) and a warrant (each, a Warrant) to purchase up to one-fourth of a share of the Companys Common Stock at an exercise price of $1.185 per share, at a price per Unit of $0.79 (the Private Placement).  The Private Placement closed on </w:t>
      </w:r>
      <w:r>
        <w:rPr/>
        <w:t xml:space="preserve">April 25, 2012 (the Closing Date).  In connection with the Private Placement, the Company issued </w:t>
      </w:r>
      <w:r>
        <w:rPr>
          <w:highlight w:val="white"/>
        </w:rPr>
        <w:t>an aggregate of 10,058,455 shares of Common Stock and Warrants to purchase an aggregate of 2,514,642 shares of Common Stock, for aggregate gross proceeds to the Company of approximately $7.95 million.</w:t>
      </w:r>
      <w:r>
        <w:rPr/>
        <w:t xml:space="preserve">  The Investors are not entitled to any registration rights with respect to the Common Stock and Warrants issued in the Private Placement.</w:t>
      </w:r>
    </w:p>
    <w:p>
      <w:pPr>
        <w:pStyle w:val="TextBody"/>
        <w:spacing w:before="0" w:after="0"/>
        <w:ind w:left="0" w:right="0" w:hanging="0"/>
        <w:jc w:val="both"/>
        <w:rPr/>
      </w:pPr>
      <w:r>
        <w:rPr/>
      </w:r>
    </w:p>
    <w:p>
      <w:pPr>
        <w:pStyle w:val="TextBody"/>
        <w:spacing w:before="0" w:after="0"/>
        <w:ind w:left="0" w:right="0" w:hanging="0"/>
        <w:jc w:val="both"/>
        <w:rPr/>
      </w:pPr>
      <w:r>
        <w:rPr>
          <w:highlight w:val="white"/>
        </w:rPr>
        <w:t xml:space="preserve">The Warrants have a term of three years and are exercisable any time after April 25, 2012 (the Initial Exercise Date). </w:t>
      </w:r>
      <w:r>
        <w:rPr/>
        <w:t xml:space="preserve"> The Company may require that the Investors exercise the Warrants in whole, but not in part, at any time within twenty (20) business days after the occurrence of the following: (i) the volume weighted average price of the Companys Common Stock for ten (10) consecutive trading days is equal to or greater than the exercise price of the Warrant; (ii) the Company has received a Filing Review Notification from the U.S. Food and Drug Administration regarding the status of the Company’s Impracor™ topical non-steroidal anti-inflammatory drug; and (iii) sufficient shares of Common Stock are authorized and reserved for issuance upon the full exercise of the Warrant.  </w:t>
      </w:r>
    </w:p>
    <w:p>
      <w:pPr>
        <w:pStyle w:val="TextBody"/>
        <w:spacing w:before="0" w:after="0"/>
        <w:ind w:left="0" w:right="0" w:hanging="0"/>
        <w:jc w:val="both"/>
        <w:rPr/>
      </w:pPr>
      <w:r>
        <w:rPr/>
      </w:r>
    </w:p>
    <w:p>
      <w:pPr>
        <w:pStyle w:val="TextBody"/>
        <w:spacing w:before="0" w:after="0"/>
        <w:ind w:left="0" w:right="0" w:hanging="0"/>
        <w:jc w:val="both"/>
        <w:rPr/>
      </w:pPr>
      <w:r>
        <w:rPr/>
        <w:t>The securities sold in the Private Placement were sold in reliance on the exemption from the registration requirements of the Securities Act of 1933 (the Securities Act) afforded by Section 4(2) thereof and Rule 506 of Regulation D promulgated thereunder. In determining that the issuance of the securities in the Private Placement qualified for an exemption under Section 4(2) and Rule 506 of Regulation D, the Company relied on the following facts: the Company did not use general solicitation or advertising to market the securities; each investor in the Private Placement represented to the Company that it was an accredited investor (as that term is defined in Rule 501 of Regulation D) and that it was purchasing the securities for its own account and not with a view to distribute them; and the securities issued are restricted securities.</w:t>
      </w:r>
    </w:p>
    <w:p>
      <w:pPr>
        <w:pStyle w:val="TextBody"/>
        <w:spacing w:before="0" w:after="0"/>
        <w:ind w:left="0" w:right="0" w:hanging="0"/>
        <w:jc w:val="both"/>
        <w:rPr/>
      </w:pPr>
      <w:r>
        <w:rPr/>
      </w:r>
    </w:p>
    <w:p>
      <w:pPr>
        <w:pStyle w:val="TextBody"/>
        <w:spacing w:before="0" w:after="0"/>
        <w:ind w:left="0" w:right="0" w:hanging="0"/>
        <w:jc w:val="both"/>
        <w:rPr/>
      </w:pPr>
      <w:r>
        <w:rPr/>
        <w:t xml:space="preserve">The Securities Purchase Agreement and related form of Warrant have been attached as Exhibits 10.1 and 10.2 to this Current Report on Form 8-K, respectively, and are incorporated herein by reference. </w:t>
      </w:r>
    </w:p>
    <w:p>
      <w:pPr>
        <w:pStyle w:val="TextBody"/>
        <w:spacing w:before="0" w:after="0"/>
        <w:ind w:left="0" w:right="0" w:hanging="0"/>
        <w:jc w:val="both"/>
        <w:rPr/>
      </w:pPr>
      <w:r>
        <w:rPr/>
      </w:r>
    </w:p>
    <w:p>
      <w:pPr>
        <w:pStyle w:val="TextBody"/>
        <w:spacing w:before="0" w:after="0"/>
        <w:ind w:left="0" w:right="0" w:hanging="0"/>
        <w:jc w:val="both"/>
        <w:rPr>
          <w:u w:val="single"/>
        </w:rPr>
      </w:pPr>
      <w:r>
        <w:rPr>
          <w:u w:val="single"/>
        </w:rPr>
        <w:t>DermaStar Line of Credit Conversion</w:t>
      </w:r>
    </w:p>
    <w:p>
      <w:pPr>
        <w:pStyle w:val="TextBody"/>
        <w:spacing w:before="0" w:after="0"/>
        <w:ind w:left="0" w:right="0" w:hanging="0"/>
        <w:jc w:val="both"/>
        <w:rPr/>
      </w:pPr>
      <w:r>
        <w:rPr/>
      </w:r>
    </w:p>
    <w:p>
      <w:pPr>
        <w:pStyle w:val="TextBody"/>
        <w:spacing w:before="0" w:after="0"/>
        <w:ind w:left="0" w:right="0" w:hanging="0"/>
        <w:jc w:val="both"/>
        <w:rPr/>
      </w:pPr>
      <w:r>
        <w:rPr/>
        <w:t>As originally disclosed in our Form 8-K filed on December 20, 2011, the Company entered into a Secured Line of Credit Letter Agreement (the Line of Credit Agreement) with DermaStar International, LLC (DermaStar) on December 9, 2011.  The Line of Credit Agreement provided for advances to the Company of up to an aggregate of $750,000.  As of April 20, 2012, the aggregate principal balance owing under the Line of Credit was $750,000.  Effective April 20, 2012, the Company and DermaStar entered into a Promissory Note Conversion Agreement (the Conversion Agreement) wherein the parties agreed that the entire outstanding principal balance of the Promissory Notes and all related accrued interest, totaling $762,534, would be converted into Units at a rate of $0.79 per Unit, consistent with the terms of the issuance of the Units in the Private Placement, effective upon the closing of the Private Placement.  On the Closing Date, DermaStar was issued a total of 965,233 shares of Common Stock and a related Warrant</w:t>
      </w:r>
      <w:r>
        <w:rPr>
          <w:highlight w:val="white"/>
        </w:rPr>
        <w:t xml:space="preserve"> to purchase an aggregate of 241,308 shares of Common Stock at an exercise price of $1.185 per share upon conversion of the outstanding principal balance and unpaid interest under the Line of Credit. The warrant issued to DermaStar is substantially the same as the form of Warrant issued in the Private Placement.  The Line of Credit has been terminated.</w:t>
      </w:r>
    </w:p>
    <w:p>
      <w:pPr>
        <w:pStyle w:val="TextBody"/>
        <w:spacing w:before="0" w:after="0"/>
        <w:ind w:left="0" w:right="0" w:hanging="0"/>
        <w:jc w:val="both"/>
        <w:rPr/>
      </w:pPr>
      <w:r>
        <w:rPr/>
      </w:r>
    </w:p>
    <w:p>
      <w:pPr>
        <w:pStyle w:val="TextBody"/>
        <w:spacing w:before="0" w:after="0"/>
        <w:ind w:left="0" w:right="0" w:hanging="0"/>
        <w:jc w:val="both"/>
        <w:rPr/>
      </w:pPr>
      <w:r>
        <w:rPr>
          <w:highlight w:val="white"/>
        </w:rPr>
        <w:t xml:space="preserve">The securities issued upon conversion of the Line of Credit pursuant to the Conversion Agreement were issued </w:t>
      </w:r>
      <w:r>
        <w:rPr/>
        <w:t>in reliance on the exemption from the registration requirements of the Securities Act of 1933 afforded by Section 4(2) thereof. In determining that the issuance of the securities pursuant to the Conversion Agreement qualified for an exemption under Section 4(2), the Company relied on the following facts: DermaStar is an accredited investor and the Companys major stockholder; the Company did not use general solicitation or advertising to market the securities; DermaStar represented that it was purchasing the securities for its own account and not with a view to distribute them; and the securities issued were restricted securities.</w:t>
      </w:r>
    </w:p>
    <w:p>
      <w:pPr>
        <w:pStyle w:val="TextBody"/>
        <w:spacing w:before="0" w:after="0"/>
        <w:ind w:left="0" w:right="0" w:hanging="0"/>
        <w:jc w:val="both"/>
        <w:rPr/>
      </w:pPr>
      <w:r>
        <w:rPr/>
      </w:r>
    </w:p>
    <w:p>
      <w:pPr>
        <w:pStyle w:val="TextBody"/>
        <w:spacing w:before="0" w:after="0"/>
        <w:ind w:left="0" w:right="0" w:hanging="0"/>
        <w:jc w:val="both"/>
        <w:rPr/>
      </w:pPr>
      <w:r>
        <w:rPr/>
        <w:t>Director and Chief Executive Officer Mark L. Baum and the Chairman of our Board of Directors, Robert J. Kammer, are the Managing Members of DermaStar.  The Conversion Agreement was unanimously approved by the Companys disinterested directors, with Mr. Baum and Dr. Kammer abstaining.  </w:t>
      </w:r>
    </w:p>
    <w:p>
      <w:pPr>
        <w:pStyle w:val="TextBody"/>
        <w:spacing w:before="0" w:after="0"/>
        <w:ind w:left="0" w:right="0" w:hanging="0"/>
        <w:jc w:val="both"/>
        <w:rPr/>
      </w:pPr>
      <w:r>
        <w:rPr/>
      </w:r>
    </w:p>
    <w:p>
      <w:pPr>
        <w:pStyle w:val="TextBody"/>
        <w:spacing w:before="0" w:after="0"/>
        <w:ind w:left="0" w:right="0" w:hanging="0"/>
        <w:jc w:val="both"/>
        <w:rPr/>
      </w:pPr>
      <w:r>
        <w:rPr/>
        <w:t xml:space="preserve">The Promissory Note Conversion Agreement is attached as Exhibit 10.3 to this Current Report on Form 8-K and is incorporated herein by reference. The foregoing description of the terms of the Promissory Note Conversion Agreement is qualified in its entirety by reference to such exhibit. </w:t>
      </w:r>
    </w:p>
    <w:p>
      <w:pPr>
        <w:pStyle w:val="TextBody"/>
        <w:spacing w:before="0" w:after="0"/>
        <w:ind w:left="0" w:right="0" w:hanging="0"/>
        <w:jc w:val="both"/>
        <w:rPr/>
      </w:pPr>
      <w:r>
        <w:rPr/>
      </w:r>
    </w:p>
    <w:p>
      <w:pPr>
        <w:pStyle w:val="TextBody"/>
        <w:spacing w:before="0" w:after="0"/>
        <w:ind w:left="0" w:right="0" w:hanging="0"/>
        <w:jc w:val="center"/>
        <w:rPr/>
      </w:pPr>
      <w:r>
        <w:rPr/>
        <w:t>2</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u w:val="single"/>
        </w:rPr>
      </w:pPr>
      <w:r>
        <w:rPr>
          <w:u w:val="single"/>
        </w:rPr>
        <w:t>Advisory Agreement with Dr. Robert Kammer</w:t>
      </w:r>
    </w:p>
    <w:p>
      <w:pPr>
        <w:pStyle w:val="TextBody"/>
        <w:spacing w:before="0" w:after="0"/>
        <w:ind w:left="0" w:right="0" w:hanging="0"/>
        <w:jc w:val="both"/>
        <w:rPr/>
      </w:pPr>
      <w:r>
        <w:rPr/>
      </w:r>
    </w:p>
    <w:p>
      <w:pPr>
        <w:pStyle w:val="TextBody"/>
        <w:spacing w:before="0" w:after="0"/>
        <w:ind w:left="0" w:right="0" w:hanging="0"/>
        <w:jc w:val="both"/>
        <w:rPr/>
      </w:pPr>
      <w:r>
        <w:rPr/>
        <w:t>Effective April 1, 2012, the Company entered into an advisory agreement with director Dr. Robert Kammer (the Advisory Agreement) pursuant to which Dr. Kammer will provide certain services to the Company in addition to his services as a director, including, but not limited to, providing management and advice regarding the operations of the registration clinical trials including start-up and on-going clinical operational and development activities, manufacturing and quality control of the clinical and commercial supplies, project and operational management, assistance in the identification of new drug delivery technologies that may be available for acquisition or license and assistance in the development of the Companys intellectual property. Under the terms of the Advisory Agreement, Dr. Kammer is to be compensated $10,000 per month in the form of Common Stock based on $0.90 price per share being allocated to each dollar of payment due to Dr. Kammer.  Upon the completion of a financing transaction yielding not less than $15,000,000 to the Company, Dr. Kammer may unilaterally choose to be paid in either cash or Common Stock, based on the same $0.90 price per share. The Advisory Agreement has a term of 2 years.</w:t>
      </w:r>
    </w:p>
    <w:p>
      <w:pPr>
        <w:pStyle w:val="TextBody"/>
        <w:spacing w:before="0" w:after="0"/>
        <w:ind w:left="0" w:right="0" w:hanging="0"/>
        <w:jc w:val="both"/>
        <w:rPr/>
      </w:pPr>
      <w:r>
        <w:rPr/>
      </w:r>
    </w:p>
    <w:p>
      <w:pPr>
        <w:pStyle w:val="TextBody"/>
        <w:spacing w:before="0" w:after="0"/>
        <w:ind w:left="0" w:right="0" w:hanging="0"/>
        <w:jc w:val="both"/>
        <w:rPr/>
      </w:pPr>
      <w:r>
        <w:rPr/>
        <w:t>The Advisory Agreement is attached hereto as Exhibit 10.4 and is incorporated by reference herein.  </w:t>
      </w:r>
    </w:p>
    <w:p>
      <w:pPr>
        <w:pStyle w:val="TextBody"/>
        <w:spacing w:before="0" w:after="0"/>
        <w:ind w:left="0" w:right="0" w:hanging="0"/>
        <w:jc w:val="both"/>
        <w:rPr/>
      </w:pPr>
      <w:r>
        <w:rPr/>
      </w:r>
    </w:p>
    <w:p>
      <w:pPr>
        <w:pStyle w:val="TextBody"/>
        <w:spacing w:before="0" w:after="0"/>
        <w:ind w:left="0" w:right="0" w:hanging="0"/>
        <w:jc w:val="both"/>
        <w:rPr>
          <w:u w:val="single"/>
        </w:rPr>
      </w:pPr>
      <w:r>
        <w:rPr>
          <w:u w:val="single"/>
        </w:rPr>
        <w:t>Baum Employment Agreement</w:t>
      </w:r>
    </w:p>
    <w:p>
      <w:pPr>
        <w:pStyle w:val="TextBody"/>
        <w:spacing w:before="0" w:after="0"/>
        <w:ind w:left="0" w:right="0" w:hanging="0"/>
        <w:jc w:val="both"/>
        <w:rPr/>
      </w:pPr>
      <w:r>
        <w:rPr/>
      </w:r>
    </w:p>
    <w:p>
      <w:pPr>
        <w:pStyle w:val="TextBody"/>
        <w:spacing w:before="0" w:after="0"/>
        <w:ind w:left="0" w:right="0" w:hanging="0"/>
        <w:jc w:val="both"/>
        <w:rPr/>
      </w:pPr>
      <w:r>
        <w:rPr/>
        <w:t>The information contained in Item 5.02(e) below is incorporated herein by reference.</w:t>
      </w:r>
    </w:p>
    <w:p>
      <w:pPr>
        <w:pStyle w:val="TextBody"/>
        <w:spacing w:before="0" w:after="0"/>
        <w:ind w:left="0" w:right="0" w:hanging="0"/>
        <w:jc w:val="both"/>
        <w:rPr/>
      </w:pPr>
      <w:r>
        <w:rPr/>
      </w:r>
    </w:p>
    <w:p>
      <w:pPr>
        <w:pStyle w:val="TextBody"/>
        <w:spacing w:before="0" w:after="0"/>
        <w:ind w:left="0" w:right="0" w:hanging="0"/>
        <w:jc w:val="both"/>
        <w:rPr>
          <w:b/>
        </w:rPr>
      </w:pPr>
      <w:r>
        <w:rPr>
          <w:b/>
        </w:rPr>
        <w:t>Item 3.02.   Unregistered Sales of Equity Securities.</w:t>
      </w:r>
    </w:p>
    <w:p>
      <w:pPr>
        <w:pStyle w:val="TextBody"/>
        <w:spacing w:before="0" w:after="0"/>
        <w:ind w:left="0" w:right="0" w:hanging="0"/>
        <w:jc w:val="both"/>
        <w:rPr/>
      </w:pPr>
      <w:r>
        <w:rPr/>
      </w:r>
    </w:p>
    <w:p>
      <w:pPr>
        <w:pStyle w:val="TextBody"/>
        <w:spacing w:before="0" w:after="0"/>
        <w:ind w:left="0" w:right="0" w:hanging="0"/>
        <w:jc w:val="both"/>
        <w:rPr/>
      </w:pPr>
      <w:r>
        <w:rPr/>
        <w:t>The information included in Item 1.01 of this Current Report on Form 8-K relating to the Private Placement and the Conversion Agreement are hereby incorporated by reference into this Item 3.02.</w:t>
      </w:r>
      <w:bookmarkStart w:id="2" w:name="eolPage5"/>
      <w:bookmarkEnd w:id="2"/>
    </w:p>
    <w:p>
      <w:pPr>
        <w:pStyle w:val="TextBody"/>
        <w:spacing w:before="0" w:after="0"/>
        <w:ind w:left="0" w:right="0" w:hanging="0"/>
        <w:jc w:val="both"/>
        <w:rPr/>
      </w:pPr>
      <w:r>
        <w:rPr/>
      </w:r>
    </w:p>
    <w:p>
      <w:pPr>
        <w:pStyle w:val="TextBody"/>
        <w:spacing w:before="0" w:after="0"/>
        <w:ind w:left="0" w:right="0" w:hanging="0"/>
        <w:jc w:val="both"/>
        <w:rPr>
          <w:b/>
        </w:rPr>
      </w:pPr>
      <w:r>
        <w:rPr>
          <w:b/>
        </w:rPr>
        <w:t>Item 5.02.  Departure of Directors or Certain Officers; Election of Directors; Appointment of Certain Officers; Compensatory Arrangements of Certain Officers.</w:t>
      </w:r>
    </w:p>
    <w:p>
      <w:pPr>
        <w:pStyle w:val="TextBody"/>
        <w:spacing w:before="0" w:after="0"/>
        <w:ind w:left="0" w:right="0" w:hanging="0"/>
        <w:jc w:val="both"/>
        <w:rPr/>
      </w:pPr>
      <w:r>
        <w:rPr/>
      </w:r>
    </w:p>
    <w:p>
      <w:pPr>
        <w:pStyle w:val="TextBody"/>
        <w:spacing w:before="0" w:after="0"/>
        <w:ind w:left="0" w:right="0" w:hanging="0"/>
        <w:jc w:val="both"/>
        <w:rPr>
          <w:b/>
        </w:rPr>
      </w:pPr>
      <w:r>
        <w:rPr>
          <w:b/>
        </w:rPr>
        <w:t>(e)</w:t>
      </w:r>
    </w:p>
    <w:p>
      <w:pPr>
        <w:pStyle w:val="TextBody"/>
        <w:spacing w:before="0" w:after="0"/>
        <w:ind w:left="0" w:right="0" w:hanging="0"/>
        <w:jc w:val="both"/>
        <w:rPr/>
      </w:pPr>
      <w:r>
        <w:rPr/>
      </w:r>
    </w:p>
    <w:p>
      <w:pPr>
        <w:pStyle w:val="TextBody"/>
        <w:spacing w:before="0" w:after="0"/>
        <w:ind w:left="0" w:right="0" w:hanging="0"/>
        <w:jc w:val="both"/>
        <w:rPr>
          <w:u w:val="single"/>
        </w:rPr>
      </w:pPr>
      <w:r>
        <w:rPr>
          <w:u w:val="single"/>
        </w:rPr>
        <w:t xml:space="preserve">Employment Agreement of Mark L. Baum, Esq. as Chief Executive Officer </w:t>
      </w:r>
    </w:p>
    <w:p>
      <w:pPr>
        <w:pStyle w:val="TextBody"/>
        <w:spacing w:before="0" w:after="0"/>
        <w:ind w:left="0" w:right="0" w:hanging="0"/>
        <w:jc w:val="both"/>
        <w:rPr/>
      </w:pPr>
      <w:r>
        <w:rPr/>
      </w:r>
    </w:p>
    <w:p>
      <w:pPr>
        <w:pStyle w:val="TextBody"/>
        <w:spacing w:before="0" w:after="0"/>
        <w:ind w:left="0" w:right="0" w:hanging="0"/>
        <w:jc w:val="both"/>
        <w:rPr/>
      </w:pPr>
      <w:r>
        <w:rPr/>
        <w:t>On April 1, 2012, the Companys Board of Directors (the Board) appointed Mr. Mark L. Baum, Esq. as the Companys Chief Executive Officer.  Mr. Baum has served as the Companys Chairman of the Board of Directors and its Principal Executive Officer and Secretary since December 17, 2011.  Concurrently with Mr. Baums appointment to Chief Executive Officer, Mr. Baum resigned from his position as Chairman of the Board.  Mr. Baum will continue to serve as a member of the Companys Board of Directors and as the Companys Secretary.  Concurrent with his appointment as Chief Executive Officer, the Company and Mr. Baum entered into an employment agreement effective as of April 1, 2012 (the Baum Employment Agreement). Under the terms of the Baum Employment Agreement, Mr. Baums initial base annual salary is to be $200,400, with a minimum salary increase of no less than 15% annually, subject to an annual review by the Board. Mr. Baum may be eligible, at the sole discretion of the Board, to receive an annual cash bonus of up to 30% of his annual base salary beginning in the fiscal year ending 2013. Mr. Baum may be terminated by the Company at any time. At the effective date of the Baum Employment Agreement, Mr. Baum and the Company recognize that the Company does not have the financial capacity to offer a full typical Chief Executive Officer severance package.  However, upon the closing of a Qualified Transaction, defined as (i) a debt or equity financing in which gross proceeds to the Company equals or exceeds $10 million; or (ii) completes a corporate partnership transaction that includes gross proceeds to the Company of at least $10 million to support the Companys general and administrative expenses (each a Qualified Transaction), a severance package of at least one years pay and continued Company paid healthcare expenses will automatically be instituted.  </w:t>
      </w:r>
    </w:p>
    <w:p>
      <w:pPr>
        <w:pStyle w:val="TextBody"/>
        <w:spacing w:before="0" w:after="0"/>
        <w:ind w:left="0" w:right="0" w:hanging="0"/>
        <w:jc w:val="both"/>
        <w:rPr/>
      </w:pPr>
      <w:r>
        <w:rPr/>
      </w:r>
    </w:p>
    <w:p>
      <w:pPr>
        <w:pStyle w:val="TextBody"/>
        <w:spacing w:before="0" w:after="0"/>
        <w:ind w:left="0" w:right="0" w:hanging="0"/>
        <w:jc w:val="both"/>
        <w:rPr/>
      </w:pPr>
      <w:r>
        <w:rPr/>
        <w:t xml:space="preserve">Also on April 1, 2012, the Company granted to Mr. Baum an option to purchase up to 300,000 shares of Common Stock at an exercise price of $0.90 per share under the Companys 2007 Incentive Stock and Awards Plan (the 2007 Plan) pursuant to the Companys form of Nonqualified Stock Option Agreement.  The option terminates on March 31, 2017 and vests over a two year period, with 75,000 options vesting immediately upon issuance and an additional 9,375 options vesting monthly for the next twenty four months thereafter. In the event of an involuntary termination of Mr. Baums employment, the options issued pursuant to the Baum Option Agreement will vest immediately upon such termination. </w:t>
      </w:r>
    </w:p>
    <w:p>
      <w:pPr>
        <w:pStyle w:val="TextBody"/>
        <w:spacing w:before="0" w:after="0"/>
        <w:ind w:left="0" w:right="0" w:hanging="0"/>
        <w:jc w:val="both"/>
        <w:rPr/>
      </w:pPr>
      <w:r>
        <w:rPr/>
      </w:r>
    </w:p>
    <w:p>
      <w:pPr>
        <w:pStyle w:val="TextBody"/>
        <w:spacing w:before="0" w:after="0"/>
        <w:ind w:left="0" w:right="0" w:hanging="0"/>
        <w:jc w:val="both"/>
        <w:rPr/>
      </w:pPr>
      <w:r>
        <w:rPr/>
        <w:t xml:space="preserve">The Baum Employment Agreement is attached hereto as Exhibit 10.5 and is incorporated herein by reference. The foregoing description of the terms of the Baum Employment Agreement is qualified by reference to such exhibit. </w:t>
      </w:r>
    </w:p>
    <w:p>
      <w:pPr>
        <w:pStyle w:val="TextBody"/>
        <w:spacing w:before="0" w:after="0"/>
        <w:ind w:left="0" w:right="0" w:hanging="0"/>
        <w:jc w:val="both"/>
        <w:rPr/>
      </w:pPr>
      <w:r>
        <w:rPr/>
      </w:r>
    </w:p>
    <w:p>
      <w:pPr>
        <w:pStyle w:val="TextBody"/>
        <w:spacing w:before="0" w:after="0"/>
        <w:ind w:left="0" w:right="0" w:hanging="0"/>
        <w:jc w:val="center"/>
        <w:rPr/>
      </w:pPr>
      <w:r>
        <w:rPr/>
        <w:t>3</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b/>
          <w:u w:val="single"/>
        </w:rPr>
      </w:pPr>
      <w:r>
        <w:rPr>
          <w:b/>
          <w:u w:val="single"/>
        </w:rPr>
        <w:t>Item 8.01  Other Events.</w:t>
      </w:r>
    </w:p>
    <w:p>
      <w:pPr>
        <w:pStyle w:val="TextBody"/>
        <w:spacing w:before="0" w:after="0"/>
        <w:ind w:left="0" w:right="0" w:hanging="0"/>
        <w:jc w:val="both"/>
        <w:rPr/>
      </w:pPr>
      <w:r>
        <w:rPr/>
      </w:r>
    </w:p>
    <w:p>
      <w:pPr>
        <w:pStyle w:val="TextBody"/>
        <w:spacing w:before="0" w:after="0"/>
        <w:ind w:left="0" w:right="0" w:hanging="0"/>
        <w:jc w:val="both"/>
        <w:rPr>
          <w:u w:val="single"/>
        </w:rPr>
      </w:pPr>
      <w:r>
        <w:rPr>
          <w:u w:val="single"/>
        </w:rPr>
        <w:t>Appointment of Dr. Robert Kammer as Chairman of the Board of Directors</w:t>
      </w:r>
    </w:p>
    <w:p>
      <w:pPr>
        <w:pStyle w:val="TextBody"/>
        <w:spacing w:before="0" w:after="0"/>
        <w:ind w:left="0" w:right="0" w:hanging="0"/>
        <w:jc w:val="both"/>
        <w:rPr/>
      </w:pPr>
      <w:r>
        <w:rPr/>
      </w:r>
    </w:p>
    <w:p>
      <w:pPr>
        <w:pStyle w:val="TextBody"/>
        <w:spacing w:before="0" w:after="0"/>
        <w:ind w:left="0" w:right="0" w:hanging="0"/>
        <w:jc w:val="both"/>
        <w:rPr/>
      </w:pPr>
      <w:r>
        <w:rPr/>
        <w:t>Concurrently with Mr. Baums resignation as Chairman of the Board, on April 1, 2012, the Companys Board appointed current director Dr. Robert Kammer as Chairman of the Board.</w:t>
      </w:r>
    </w:p>
    <w:p>
      <w:pPr>
        <w:pStyle w:val="TextBody"/>
        <w:spacing w:before="0" w:after="0"/>
        <w:ind w:left="0" w:right="0" w:hanging="0"/>
        <w:jc w:val="both"/>
        <w:rPr/>
      </w:pPr>
      <w:r>
        <w:rPr/>
      </w:r>
    </w:p>
    <w:p>
      <w:pPr>
        <w:pStyle w:val="TextBody"/>
        <w:spacing w:before="0" w:after="0"/>
        <w:ind w:left="0" w:right="0" w:hanging="0"/>
        <w:jc w:val="both"/>
        <w:rPr>
          <w:u w:val="single"/>
        </w:rPr>
      </w:pPr>
      <w:r>
        <w:rPr>
          <w:u w:val="single"/>
        </w:rPr>
        <w:t>Director Option Grants</w:t>
      </w:r>
    </w:p>
    <w:p>
      <w:pPr>
        <w:pStyle w:val="TextBody"/>
        <w:spacing w:before="0" w:after="0"/>
        <w:ind w:left="0" w:right="0" w:hanging="0"/>
        <w:jc w:val="both"/>
        <w:rPr/>
      </w:pPr>
      <w:r>
        <w:rPr/>
      </w:r>
    </w:p>
    <w:p>
      <w:pPr>
        <w:pStyle w:val="TextBody"/>
        <w:spacing w:before="0" w:after="0"/>
        <w:ind w:left="0" w:right="0" w:hanging="0"/>
        <w:jc w:val="both"/>
        <w:rPr/>
      </w:pPr>
      <w:r>
        <w:rPr/>
        <w:t xml:space="preserve">On April 1, 2012, the Board of Directors approved the issuance of options to purchase 125,000 shares of Common Stock to each of the Companys directors, including the Companys employee and non-employee directors, under the 2007 Plan pursuant to the Companys form of Nonqualified Stock Option Agreement.  Each of the options has an exercise price of $0.90 per share.  The options have a term of five years and vest quarterly over a one year period, such that options to purchase 31,250 shares vest on each of June 30, 2012, September 30, 2012, December 31, 2012 and March 31, 2013. </w:t>
      </w:r>
    </w:p>
    <w:p>
      <w:pPr>
        <w:pStyle w:val="TextBody"/>
        <w:spacing w:before="0" w:after="0"/>
        <w:ind w:left="0" w:right="0" w:hanging="0"/>
        <w:jc w:val="both"/>
        <w:rPr/>
      </w:pPr>
      <w:r>
        <w:rPr/>
      </w:r>
    </w:p>
    <w:p>
      <w:pPr>
        <w:pStyle w:val="TextBody"/>
        <w:spacing w:before="0" w:after="0"/>
        <w:ind w:left="0" w:right="0" w:hanging="0"/>
        <w:jc w:val="both"/>
        <w:rPr/>
      </w:pPr>
      <w:r>
        <w:rPr/>
        <w:t xml:space="preserve">On April 1, 2012, in connection with his appointment as Chairman, the Company granted to Dr. Kammer an additional option to purchase up to 300,000 shares of Common Stock at an exercise price of $0.90 per share under the 2007 Plan pursuant to the Companys form of Nonqualified Stock Option Agreement.  The option terminates on March 31, 2017 and vests over a two year period, with 75,000 options vesting immediately upon issuance, and an additional 9,375 options vesting monthly for the next twenty four months thereafter. </w:t>
      </w:r>
    </w:p>
    <w:p>
      <w:pPr>
        <w:pStyle w:val="TextBody"/>
        <w:spacing w:before="0" w:after="0"/>
        <w:ind w:left="0" w:right="0" w:hanging="0"/>
        <w:jc w:val="both"/>
        <w:rPr/>
      </w:pPr>
      <w:r>
        <w:rPr/>
      </w:r>
    </w:p>
    <w:p>
      <w:pPr>
        <w:pStyle w:val="TextBody"/>
        <w:spacing w:before="0" w:after="0"/>
        <w:ind w:left="0" w:right="0" w:hanging="0"/>
        <w:jc w:val="both"/>
        <w:rPr/>
      </w:pPr>
      <w:r>
        <w:rPr/>
        <w:t xml:space="preserve">On April 1, 2012, in recognition and consideration for his services as a director to the Company during 2010 and 2011, the Board approved the issuance to Dr. Jeff Abrams of an additional option to purchase 300,000 shares of the Companys common stock with an exercise price of $0.90 per share under the 2007 Plan pursuant to the Companys form of Nonqualified Stock Option Agreement.  The option has a ten year term and vests monthly over a one year period. </w:t>
      </w:r>
    </w:p>
    <w:p>
      <w:pPr>
        <w:pStyle w:val="TextBody"/>
        <w:spacing w:before="0" w:after="0"/>
        <w:ind w:left="0" w:right="0" w:hanging="0"/>
        <w:jc w:val="both"/>
        <w:rPr/>
      </w:pPr>
      <w:r>
        <w:rPr/>
      </w:r>
    </w:p>
    <w:p>
      <w:pPr>
        <w:pStyle w:val="TextBody"/>
        <w:spacing w:before="0" w:after="0"/>
        <w:ind w:left="0" w:right="0" w:hanging="0"/>
        <w:jc w:val="both"/>
        <w:rPr>
          <w:u w:val="single"/>
        </w:rPr>
      </w:pPr>
      <w:r>
        <w:rPr>
          <w:u w:val="single"/>
        </w:rPr>
        <w:t>Conversion of Promissory Note</w:t>
      </w:r>
    </w:p>
    <w:p>
      <w:pPr>
        <w:pStyle w:val="TextBody"/>
        <w:spacing w:before="0" w:after="0"/>
        <w:ind w:left="0" w:right="0" w:hanging="0"/>
        <w:jc w:val="both"/>
        <w:rPr/>
      </w:pPr>
      <w:r>
        <w:rPr/>
      </w:r>
    </w:p>
    <w:p>
      <w:pPr>
        <w:pStyle w:val="TextBody"/>
        <w:spacing w:before="0" w:after="0"/>
        <w:ind w:left="0" w:right="0" w:hanging="0"/>
        <w:jc w:val="both"/>
        <w:rPr/>
      </w:pPr>
      <w:r>
        <w:rPr/>
        <w:t xml:space="preserve">As the Company previously reported on a Form 8-K dated January 25, 2012, effective January 25, 2012 the Company entered into separate waiver and settlement agreements with DermaStar and Alexej Ladonnikov, the two parties holding an aggregate $1,000,000 7.5% convertible promissory note (the Convertible Note) issued by the Company on April 5, 2010. DermaStar had previously acquired eighty percent (80%) of the Convertible Note in a private transaction with Alexej Ladonnikov, the original purchaser of the Convertible Note. </w:t>
      </w:r>
    </w:p>
    <w:p>
      <w:pPr>
        <w:pStyle w:val="TextBody"/>
        <w:spacing w:before="0" w:after="0"/>
        <w:ind w:left="0" w:right="0" w:hanging="0"/>
        <w:jc w:val="both"/>
        <w:rPr/>
      </w:pPr>
      <w:r>
        <w:rPr/>
      </w:r>
    </w:p>
    <w:p>
      <w:pPr>
        <w:pStyle w:val="TextBody"/>
        <w:spacing w:before="0" w:after="0"/>
        <w:ind w:left="0" w:right="0" w:hanging="0"/>
        <w:jc w:val="both"/>
        <w:rPr/>
      </w:pPr>
      <w:r>
        <w:rPr/>
        <w:t>In connection with each of the waiver and settlement agreements, the holders of the Convertible Note each agreed to the mandatory conversion of the entire outstanding principal balance and accrued and unpaid interest under the Convertible Note, and with respect to DermaStar, the mandatory conversion of an additional $56,086.76 in good and valid current accounts payable of the Company held by it, at such time as the Company had a sufficient number of authorized common shares to effect such a conversion.  </w:t>
      </w:r>
    </w:p>
    <w:p>
      <w:pPr>
        <w:pStyle w:val="TextBody"/>
        <w:spacing w:before="0" w:after="0"/>
        <w:ind w:left="0" w:right="0" w:hanging="0"/>
        <w:jc w:val="both"/>
        <w:rPr/>
      </w:pPr>
      <w:r>
        <w:rPr/>
      </w:r>
    </w:p>
    <w:p>
      <w:pPr>
        <w:pStyle w:val="TextBody"/>
        <w:spacing w:before="0" w:after="0"/>
        <w:ind w:left="0" w:right="0" w:hanging="0"/>
        <w:jc w:val="both"/>
        <w:rPr/>
      </w:pPr>
      <w:r>
        <w:rPr/>
        <w:t>On February 28, 2012, the Company affected a 1-for-8 reverse split of its Common Stock and increased its total number of authorized shares of Common Stock to 395,000,000 shares.  On February 28, 2012, pursuant to the terms of each of the waiver and settlement agreements, the portion of the Convertible Note held by Mr. Ladonikov was converted into 1,904,338 shares of Common Stock and the portion of the Convertible Note and aggregate accounts payable held by DermaStar were converted into 7,274,812 shares of Common Stock (on a split-adjusted basis).</w:t>
      </w:r>
    </w:p>
    <w:p>
      <w:pPr>
        <w:pStyle w:val="TextBody"/>
        <w:spacing w:before="0" w:after="0"/>
        <w:ind w:left="0" w:right="0" w:hanging="0"/>
        <w:jc w:val="both"/>
        <w:rPr/>
      </w:pPr>
      <w:r>
        <w:rPr/>
      </w:r>
    </w:p>
    <w:p>
      <w:pPr>
        <w:pStyle w:val="TextBody"/>
        <w:spacing w:before="0" w:after="0"/>
        <w:ind w:left="0" w:right="0" w:hanging="0"/>
        <w:jc w:val="both"/>
        <w:rPr>
          <w:b/>
        </w:rPr>
      </w:pPr>
      <w:r>
        <w:rPr>
          <w:b/>
        </w:rPr>
        <w:t>Item 9.01.  Financial Statements and Exhibits.</w:t>
      </w:r>
    </w:p>
    <w:p>
      <w:pPr>
        <w:pStyle w:val="TextBody"/>
        <w:spacing w:before="0" w:after="0"/>
        <w:ind w:left="0" w:right="0" w:hanging="0"/>
        <w:rPr/>
      </w:pPr>
      <w:r>
        <w:rPr/>
      </w:r>
    </w:p>
    <w:p>
      <w:pPr>
        <w:pStyle w:val="TextBody"/>
        <w:spacing w:before="0" w:after="0"/>
        <w:ind w:left="0" w:right="0" w:firstLine="360"/>
        <w:rPr/>
      </w:pPr>
      <w:r>
        <w:rPr/>
        <w:t xml:space="preserve">(d)  Exhibits. </w:t>
      </w:r>
    </w:p>
    <w:p>
      <w:pPr>
        <w:pStyle w:val="TextBody"/>
        <w:spacing w:before="0" w:after="0"/>
        <w:ind w:left="0" w:right="0" w:hanging="0"/>
        <w:rPr/>
      </w:pPr>
      <w:r>
        <w:rPr/>
      </w:r>
    </w:p>
    <w:tbl>
      <w:tblPr>
        <w:tblW w:w="10205" w:type="dxa"/>
        <w:jc w:val="left"/>
        <w:tblInd w:w="0" w:type="dxa"/>
        <w:tblCellMar>
          <w:top w:w="0" w:type="dxa"/>
          <w:left w:w="0" w:type="dxa"/>
          <w:bottom w:w="0" w:type="dxa"/>
          <w:right w:w="0" w:type="dxa"/>
        </w:tblCellMar>
      </w:tblPr>
      <w:tblGrid>
        <w:gridCol w:w="836"/>
        <w:gridCol w:w="199"/>
        <w:gridCol w:w="9170"/>
      </w:tblGrid>
      <w:tr>
        <w:trPr/>
        <w:tc>
          <w:tcPr>
            <w:tcW w:w="83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9170" w:type="dxa"/>
            <w:tcBorders/>
            <w:shd w:fill="auto" w:val="clear"/>
            <w:vAlign w:val="center"/>
          </w:tcPr>
          <w:p>
            <w:pPr>
              <w:pStyle w:val="TableContents"/>
              <w:spacing w:before="0" w:after="283"/>
              <w:rPr>
                <w:sz w:val="4"/>
                <w:szCs w:val="4"/>
              </w:rPr>
            </w:pPr>
            <w:r>
              <w:rPr>
                <w:sz w:val="4"/>
                <w:szCs w:val="4"/>
              </w:rPr>
            </w:r>
          </w:p>
        </w:tc>
      </w:tr>
      <w:tr>
        <w:trPr/>
        <w:tc>
          <w:tcPr>
            <w:tcW w:w="836" w:type="dxa"/>
            <w:tcBorders/>
            <w:shd w:fill="auto" w:val="clear"/>
            <w:vAlign w:val="center"/>
          </w:tcPr>
          <w:p>
            <w:pPr>
              <w:pStyle w:val="TableContents"/>
              <w:pBdr/>
              <w:spacing w:before="0" w:after="0"/>
              <w:ind w:left="0" w:right="0" w:hanging="0"/>
              <w:rPr/>
            </w:pPr>
            <w:r>
              <w:rPr/>
              <w:t> </w:t>
            </w:r>
          </w:p>
        </w:tc>
        <w:tc>
          <w:tcPr>
            <w:tcW w:w="199" w:type="dxa"/>
            <w:tcBorders/>
            <w:shd w:fill="auto" w:val="clear"/>
            <w:vAlign w:val="center"/>
          </w:tcPr>
          <w:p>
            <w:pPr>
              <w:pStyle w:val="TableContents"/>
              <w:pBdr/>
              <w:spacing w:before="0" w:after="0"/>
              <w:ind w:left="0" w:right="0" w:hanging="0"/>
              <w:rPr/>
            </w:pPr>
            <w:r>
              <w:rPr/>
              <w:t> </w:t>
            </w:r>
          </w:p>
        </w:tc>
        <w:tc>
          <w:tcPr>
            <w:tcW w:w="9170" w:type="dxa"/>
            <w:tcBorders/>
            <w:shd w:fill="auto" w:val="clear"/>
            <w:vAlign w:val="center"/>
          </w:tcPr>
          <w:p>
            <w:pPr>
              <w:pStyle w:val="TableContents"/>
              <w:pBdr/>
              <w:spacing w:before="0" w:after="0"/>
              <w:ind w:left="0" w:right="0" w:hanging="0"/>
              <w:rPr/>
            </w:pPr>
            <w:r>
              <w:rPr/>
              <w:t> </w:t>
            </w:r>
          </w:p>
        </w:tc>
      </w:tr>
      <w:tr>
        <w:trPr/>
        <w:tc>
          <w:tcPr>
            <w:tcW w:w="836" w:type="dxa"/>
            <w:tcBorders>
              <w:bottom w:val="single" w:sz="2" w:space="0" w:color="000000"/>
            </w:tcBorders>
            <w:shd w:fill="auto" w:val="clear"/>
            <w:tcMar>
              <w:bottom w:w="28" w:type="dxa"/>
            </w:tcMar>
          </w:tcPr>
          <w:p>
            <w:pPr>
              <w:pStyle w:val="TableContents"/>
              <w:spacing w:before="0" w:after="0"/>
              <w:ind w:left="0" w:right="0" w:hanging="0"/>
              <w:rPr>
                <w:b/>
              </w:rPr>
            </w:pPr>
            <w:r>
              <w:rPr>
                <w:b/>
              </w:rPr>
              <w:t xml:space="preserve">Exhibit </w:t>
            </w:r>
          </w:p>
          <w:p>
            <w:pPr>
              <w:pStyle w:val="TableContents"/>
              <w:spacing w:before="0" w:after="0"/>
              <w:ind w:left="0" w:right="0" w:hanging="0"/>
              <w:rPr>
                <w:b/>
              </w:rPr>
            </w:pPr>
            <w:r>
              <w:rPr>
                <w:b/>
              </w:rPr>
              <w:t>No.</w:t>
            </w:r>
          </w:p>
        </w:tc>
        <w:tc>
          <w:tcPr>
            <w:tcW w:w="199" w:type="dxa"/>
            <w:tcBorders>
              <w:bottom w:val="single" w:sz="2" w:space="0" w:color="000000"/>
            </w:tcBorders>
            <w:shd w:fill="auto" w:val="clear"/>
            <w:tcMar>
              <w:bottom w:w="28" w:type="dxa"/>
            </w:tcMar>
          </w:tcPr>
          <w:p>
            <w:pPr>
              <w:pStyle w:val="TableContents"/>
              <w:spacing w:before="0" w:after="0"/>
              <w:ind w:left="0" w:right="0" w:hanging="0"/>
              <w:rPr/>
            </w:pPr>
            <w:r>
              <w:rPr/>
              <w:t> </w:t>
            </w:r>
          </w:p>
        </w:tc>
        <w:tc>
          <w:tcPr>
            <w:tcW w:w="9170" w:type="dxa"/>
            <w:tcBorders>
              <w:bottom w:val="single" w:sz="2" w:space="0" w:color="000000"/>
            </w:tcBorders>
            <w:shd w:fill="auto" w:val="clear"/>
            <w:tcMar>
              <w:bottom w:w="28" w:type="dxa"/>
            </w:tcMar>
            <w:vAlign w:val="bottom"/>
          </w:tcPr>
          <w:p>
            <w:pPr>
              <w:pStyle w:val="TableContents"/>
              <w:spacing w:before="0" w:after="0"/>
              <w:ind w:left="0" w:right="0" w:hanging="0"/>
              <w:rPr/>
            </w:pPr>
            <w:r>
              <w:rPr/>
            </w:r>
          </w:p>
          <w:p>
            <w:pPr>
              <w:pStyle w:val="TableContents"/>
              <w:spacing w:before="0" w:after="0"/>
              <w:ind w:left="0" w:right="0" w:hanging="0"/>
              <w:rPr>
                <w:b/>
              </w:rPr>
            </w:pPr>
            <w:r>
              <w:rPr>
                <w:b/>
              </w:rPr>
              <w:t>Description</w:t>
            </w:r>
          </w:p>
        </w:tc>
      </w:tr>
      <w:tr>
        <w:trPr/>
        <w:tc>
          <w:tcPr>
            <w:tcW w:w="836" w:type="dxa"/>
            <w:tcBorders/>
            <w:shd w:fill="auto" w:val="clear"/>
          </w:tcPr>
          <w:p>
            <w:pPr>
              <w:pStyle w:val="TableContents"/>
              <w:spacing w:before="0" w:after="0"/>
              <w:ind w:left="0" w:right="0" w:hanging="0"/>
              <w:rPr/>
            </w:pPr>
            <w:r>
              <w:rPr/>
              <w:t>10.1</w:t>
            </w:r>
          </w:p>
        </w:tc>
        <w:tc>
          <w:tcPr>
            <w:tcW w:w="199" w:type="dxa"/>
            <w:tcBorders/>
            <w:shd w:fill="auto" w:val="clear"/>
          </w:tcPr>
          <w:p>
            <w:pPr>
              <w:pStyle w:val="TableContents"/>
              <w:spacing w:before="0" w:after="0"/>
              <w:ind w:left="0" w:right="0" w:hanging="0"/>
              <w:rPr/>
            </w:pPr>
            <w:r>
              <w:rPr/>
              <w:t> </w:t>
            </w:r>
          </w:p>
        </w:tc>
        <w:tc>
          <w:tcPr>
            <w:tcW w:w="9170" w:type="dxa"/>
            <w:tcBorders/>
            <w:shd w:fill="auto" w:val="clear"/>
            <w:vAlign w:val="bottom"/>
          </w:tcPr>
          <w:p>
            <w:pPr>
              <w:pStyle w:val="TableContents"/>
              <w:spacing w:before="0" w:after="0"/>
              <w:ind w:left="0" w:right="0" w:hanging="0"/>
              <w:rPr/>
            </w:pPr>
            <w:r>
              <w:rPr/>
              <w:t>Securities Purchase Agreement, dated as of April 20, 2012, by and between Imprimis Pharmaceuticals, Inc. and the investors signatory thereto</w:t>
            </w:r>
          </w:p>
        </w:tc>
      </w:tr>
      <w:tr>
        <w:trPr/>
        <w:tc>
          <w:tcPr>
            <w:tcW w:w="836" w:type="dxa"/>
            <w:tcBorders/>
            <w:shd w:fill="auto" w:val="clear"/>
          </w:tcPr>
          <w:p>
            <w:pPr>
              <w:pStyle w:val="TableContents"/>
              <w:spacing w:before="0" w:after="0"/>
              <w:ind w:left="0" w:right="0" w:hanging="0"/>
              <w:rPr/>
            </w:pPr>
            <w:r>
              <w:rPr/>
              <w:t>10.2</w:t>
            </w:r>
          </w:p>
        </w:tc>
        <w:tc>
          <w:tcPr>
            <w:tcW w:w="199" w:type="dxa"/>
            <w:tcBorders/>
            <w:shd w:fill="auto" w:val="clear"/>
          </w:tcPr>
          <w:p>
            <w:pPr>
              <w:pStyle w:val="TableContents"/>
              <w:spacing w:before="0" w:after="0"/>
              <w:ind w:left="0" w:right="0" w:hanging="0"/>
              <w:rPr/>
            </w:pPr>
            <w:r>
              <w:rPr/>
              <w:t> </w:t>
            </w:r>
          </w:p>
        </w:tc>
        <w:tc>
          <w:tcPr>
            <w:tcW w:w="9170" w:type="dxa"/>
            <w:tcBorders/>
            <w:shd w:fill="auto" w:val="clear"/>
            <w:vAlign w:val="bottom"/>
          </w:tcPr>
          <w:p>
            <w:pPr>
              <w:pStyle w:val="TableContents"/>
              <w:spacing w:before="0" w:after="0"/>
              <w:ind w:left="0" w:right="0" w:hanging="0"/>
              <w:rPr/>
            </w:pPr>
            <w:r>
              <w:rPr/>
              <w:t>Form of Warrant dated as of April 25, 2012</w:t>
            </w:r>
          </w:p>
        </w:tc>
      </w:tr>
      <w:tr>
        <w:trPr/>
        <w:tc>
          <w:tcPr>
            <w:tcW w:w="836" w:type="dxa"/>
            <w:tcBorders/>
            <w:shd w:fill="auto" w:val="clear"/>
          </w:tcPr>
          <w:p>
            <w:pPr>
              <w:pStyle w:val="TableContents"/>
              <w:spacing w:before="0" w:after="0"/>
              <w:ind w:left="0" w:right="0" w:hanging="0"/>
              <w:rPr/>
            </w:pPr>
            <w:r>
              <w:rPr/>
              <w:t>10.3</w:t>
            </w:r>
          </w:p>
        </w:tc>
        <w:tc>
          <w:tcPr>
            <w:tcW w:w="199" w:type="dxa"/>
            <w:tcBorders/>
            <w:shd w:fill="auto" w:val="clear"/>
          </w:tcPr>
          <w:p>
            <w:pPr>
              <w:pStyle w:val="TableContents"/>
              <w:spacing w:before="0" w:after="0"/>
              <w:ind w:left="0" w:right="0" w:hanging="0"/>
              <w:rPr/>
            </w:pPr>
            <w:r>
              <w:rPr/>
              <w:t> </w:t>
            </w:r>
          </w:p>
        </w:tc>
        <w:tc>
          <w:tcPr>
            <w:tcW w:w="9170" w:type="dxa"/>
            <w:tcBorders/>
            <w:shd w:fill="auto" w:val="clear"/>
            <w:vAlign w:val="bottom"/>
          </w:tcPr>
          <w:p>
            <w:pPr>
              <w:pStyle w:val="TableContents"/>
              <w:spacing w:before="0" w:after="0"/>
              <w:ind w:left="0" w:right="0" w:hanging="0"/>
              <w:rPr/>
            </w:pPr>
            <w:r>
              <w:rPr/>
              <w:t>Promissory Note Conversion Agreement, dated as of April 20, 2012, by and between Imprimis Pharmaceuticals, Inc. and DermaStar International, LLC</w:t>
            </w:r>
          </w:p>
        </w:tc>
      </w:tr>
      <w:tr>
        <w:trPr/>
        <w:tc>
          <w:tcPr>
            <w:tcW w:w="836" w:type="dxa"/>
            <w:tcBorders/>
            <w:shd w:fill="auto" w:val="clear"/>
          </w:tcPr>
          <w:p>
            <w:pPr>
              <w:pStyle w:val="TableContents"/>
              <w:spacing w:before="0" w:after="0"/>
              <w:ind w:left="0" w:right="0" w:hanging="0"/>
              <w:rPr/>
            </w:pPr>
            <w:r>
              <w:rPr/>
              <w:t>10.4</w:t>
            </w:r>
          </w:p>
        </w:tc>
        <w:tc>
          <w:tcPr>
            <w:tcW w:w="199" w:type="dxa"/>
            <w:tcBorders/>
            <w:shd w:fill="auto" w:val="clear"/>
          </w:tcPr>
          <w:p>
            <w:pPr>
              <w:pStyle w:val="TableContents"/>
              <w:spacing w:before="0" w:after="0"/>
              <w:ind w:left="0" w:right="0" w:hanging="0"/>
              <w:rPr/>
            </w:pPr>
            <w:r>
              <w:rPr/>
              <w:t> </w:t>
            </w:r>
          </w:p>
        </w:tc>
        <w:tc>
          <w:tcPr>
            <w:tcW w:w="9170" w:type="dxa"/>
            <w:tcBorders/>
            <w:shd w:fill="auto" w:val="clear"/>
            <w:vAlign w:val="bottom"/>
          </w:tcPr>
          <w:p>
            <w:pPr>
              <w:pStyle w:val="TableContents"/>
              <w:spacing w:before="0" w:after="0"/>
              <w:ind w:left="0" w:right="0" w:hanging="0"/>
              <w:rPr/>
            </w:pPr>
            <w:r>
              <w:rPr/>
              <w:t>Employment Agreement, dated as of April 1, 2012, by and between Imprimis Pharmaceuticals, Inc. and Dr. Robert Kammer</w:t>
            </w:r>
          </w:p>
        </w:tc>
      </w:tr>
      <w:tr>
        <w:trPr/>
        <w:tc>
          <w:tcPr>
            <w:tcW w:w="836" w:type="dxa"/>
            <w:tcBorders/>
            <w:shd w:fill="auto" w:val="clear"/>
          </w:tcPr>
          <w:p>
            <w:pPr>
              <w:pStyle w:val="TableContents"/>
              <w:spacing w:before="0" w:after="0"/>
              <w:ind w:left="0" w:right="0" w:hanging="0"/>
              <w:rPr/>
            </w:pPr>
            <w:r>
              <w:rPr/>
              <w:t>10.5</w:t>
            </w:r>
          </w:p>
        </w:tc>
        <w:tc>
          <w:tcPr>
            <w:tcW w:w="199" w:type="dxa"/>
            <w:tcBorders/>
            <w:shd w:fill="auto" w:val="clear"/>
          </w:tcPr>
          <w:p>
            <w:pPr>
              <w:pStyle w:val="TableContents"/>
              <w:spacing w:before="0" w:after="0"/>
              <w:ind w:left="0" w:right="0" w:hanging="0"/>
              <w:rPr/>
            </w:pPr>
            <w:r>
              <w:rPr/>
              <w:t> </w:t>
            </w:r>
          </w:p>
        </w:tc>
        <w:tc>
          <w:tcPr>
            <w:tcW w:w="9170" w:type="dxa"/>
            <w:tcBorders/>
            <w:shd w:fill="auto" w:val="clear"/>
            <w:vAlign w:val="bottom"/>
          </w:tcPr>
          <w:p>
            <w:pPr>
              <w:pStyle w:val="TableContents"/>
              <w:spacing w:before="0" w:after="0"/>
              <w:ind w:left="0" w:right="0" w:hanging="0"/>
              <w:rPr/>
            </w:pPr>
            <w:r>
              <w:rPr/>
              <w:t>Advisory Agreement, dated as of April 1, 2012, by and between Imprimis Pharmaceuticals, Inc. and Mark L. Baum, Esq.</w:t>
            </w:r>
          </w:p>
        </w:tc>
      </w:tr>
      <w:tr>
        <w:trPr/>
        <w:tc>
          <w:tcPr>
            <w:tcW w:w="836" w:type="dxa"/>
            <w:tcBorders/>
            <w:shd w:fill="auto" w:val="clear"/>
          </w:tcPr>
          <w:p>
            <w:pPr>
              <w:pStyle w:val="TableContents"/>
              <w:spacing w:before="0" w:after="0"/>
              <w:ind w:left="0" w:right="0" w:hanging="0"/>
              <w:rPr/>
            </w:pPr>
            <w:r>
              <w:rPr/>
              <w:t>99.1</w:t>
            </w:r>
          </w:p>
        </w:tc>
        <w:tc>
          <w:tcPr>
            <w:tcW w:w="199" w:type="dxa"/>
            <w:tcBorders/>
            <w:shd w:fill="auto" w:val="clear"/>
          </w:tcPr>
          <w:p>
            <w:pPr>
              <w:pStyle w:val="TableContents"/>
              <w:spacing w:before="0" w:after="0"/>
              <w:ind w:left="0" w:right="0" w:hanging="0"/>
              <w:rPr/>
            </w:pPr>
            <w:r>
              <w:rPr/>
              <w:t> </w:t>
            </w:r>
          </w:p>
        </w:tc>
        <w:tc>
          <w:tcPr>
            <w:tcW w:w="9170" w:type="dxa"/>
            <w:tcBorders/>
            <w:shd w:fill="auto" w:val="clear"/>
            <w:vAlign w:val="bottom"/>
          </w:tcPr>
          <w:p>
            <w:pPr>
              <w:pStyle w:val="TableContents"/>
              <w:spacing w:before="0" w:after="0"/>
              <w:ind w:left="0" w:right="0" w:hanging="0"/>
              <w:rPr/>
            </w:pPr>
            <w:r>
              <w:rPr/>
              <w:t xml:space="preserve">Press release dated April 27, 2012 </w:t>
            </w:r>
          </w:p>
        </w:tc>
      </w:tr>
    </w:tbl>
    <w:p>
      <w:pPr>
        <w:pStyle w:val="TextBody"/>
        <w:spacing w:before="0" w:after="0"/>
        <w:ind w:left="0" w:right="0" w:hanging="0"/>
        <w:jc w:val="center"/>
        <w:rPr/>
      </w:pPr>
      <w:r>
        <w:rPr/>
      </w:r>
    </w:p>
    <w:p>
      <w:pPr>
        <w:pStyle w:val="TextBody"/>
        <w:spacing w:before="0" w:after="0"/>
        <w:ind w:left="0" w:right="0" w:hanging="0"/>
        <w:jc w:val="center"/>
        <w:rPr/>
      </w:pPr>
      <w:r>
        <w:rPr/>
        <w:t>4</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center"/>
        <w:rPr/>
      </w:pPr>
      <w:r>
        <w:rPr/>
      </w:r>
    </w:p>
    <w:p>
      <w:pPr>
        <w:pStyle w:val="TextBody"/>
        <w:spacing w:before="0" w:after="0"/>
        <w:ind w:left="0" w:right="0" w:hanging="0"/>
        <w:jc w:val="center"/>
        <w:rPr>
          <w:b/>
        </w:rPr>
      </w:pPr>
      <w:r>
        <w:rPr>
          <w:b/>
        </w:rPr>
        <w:t>SIGNATURES</w:t>
      </w:r>
    </w:p>
    <w:p>
      <w:pPr>
        <w:pStyle w:val="TextBody"/>
        <w:spacing w:before="0" w:after="0"/>
        <w:ind w:left="0" w:right="0" w:hanging="0"/>
        <w:rPr/>
      </w:pPr>
      <w:r>
        <w:rPr/>
      </w:r>
    </w:p>
    <w:p>
      <w:pPr>
        <w:pStyle w:val="TextBody"/>
        <w:spacing w:before="0" w:after="0"/>
        <w:ind w:left="0" w:right="0" w:firstLine="360"/>
        <w:jc w:val="both"/>
        <w:rPr/>
      </w:pPr>
      <w:r>
        <w:rPr/>
        <w:t xml:space="preserve">Pursuant to the requirements of the Securities Exchange Act of 1934, the registrant has duly caused this report to be signed on its behalf by the undersigned hereunto duly authorized.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5040"/>
        <w:rPr>
          <w:b/>
        </w:rPr>
      </w:pPr>
      <w:r>
        <w:rPr>
          <w:b/>
        </w:rPr>
        <w:t>IMPRIMIS PHARMACEUTICALS, INC.</w:t>
      </w:r>
    </w:p>
    <w:p>
      <w:pPr>
        <w:pStyle w:val="TextBody"/>
        <w:spacing w:before="0" w:after="0"/>
        <w:ind w:left="0" w:right="0" w:hanging="0"/>
        <w:rPr/>
      </w:pPr>
      <w:r>
        <w:rPr/>
      </w:r>
    </w:p>
    <w:p>
      <w:pPr>
        <w:pStyle w:val="TextBody"/>
        <w:spacing w:before="0" w:after="0"/>
        <w:ind w:left="0" w:right="0" w:hanging="30"/>
        <w:rPr/>
      </w:pPr>
      <w:r>
        <w:rPr/>
        <w:t xml:space="preserve">By: </w:t>
      </w:r>
      <w:r>
        <w:rPr>
          <w:i/>
          <w:u w:val="single"/>
        </w:rPr>
        <w:t>/s/ Mark L. Baum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200400" cy="175260"/>
                <wp:effectExtent l="0" t="0" r="0" b="0"/>
                <wp:wrapSquare wrapText="largest"/>
                <wp:docPr id="1" name="Frame1"/>
                <a:graphic xmlns:a="http://schemas.openxmlformats.org/drawingml/2006/main">
                  <a:graphicData uri="http://schemas.microsoft.com/office/word/2010/wordprocessingShape">
                    <wps:wsp>
                      <wps:cNvSpPr txBox="1"/>
                      <wps:spPr>
                        <a:xfrm>
                          <a:off x="0" y="0"/>
                          <a:ext cx="3200400" cy="175260"/>
                        </a:xfrm>
                        <a:prstGeom prst="rect"/>
                      </wps:spPr>
                      <wps:txbx>
                        <w:txbxContent>
                          <w:p>
                            <w:pPr>
                              <w:pStyle w:val="TextBody"/>
                              <w:spacing w:before="0" w:after="283"/>
                              <w:rPr/>
                            </w:pPr>
                            <w:r>
                              <w:rPr/>
                              <w:t>Dated:  April 27, 2012</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Dated:  April 27, 2012</w:t>
                      </w:r>
                    </w:p>
                  </w:txbxContent>
                </v:textbox>
                <w10:wrap type="square" side="right"/>
              </v:rect>
            </w:pict>
          </mc:Fallback>
        </mc:AlternateContent>
      </w:r>
    </w:p>
    <w:p>
      <w:pPr>
        <w:pStyle w:val="TextBody"/>
        <w:spacing w:before="0" w:after="0"/>
        <w:ind w:left="0" w:right="0" w:firstLine="5040"/>
        <w:rPr/>
      </w:pPr>
      <w:r>
        <w:rPr/>
        <w:t>Name: Mark L. Baum</w:t>
      </w:r>
    </w:p>
    <w:p>
      <w:pPr>
        <w:pStyle w:val="TextBody"/>
        <w:spacing w:before="0" w:after="0"/>
        <w:ind w:left="0" w:right="0" w:firstLine="5040"/>
        <w:rPr/>
      </w:pPr>
      <w:r>
        <w:rPr/>
        <w:t xml:space="preserve">Title: Chief Executive Officer </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b/>
        </w:rPr>
      </w:pPr>
      <w:r>
        <w:rPr>
          <w:b/>
        </w:rPr>
        <w:t>EXHIBIT INDEX</w:t>
      </w:r>
    </w:p>
    <w:p>
      <w:pPr>
        <w:pStyle w:val="TextBody"/>
        <w:spacing w:before="0" w:after="0"/>
        <w:ind w:left="0" w:right="0" w:hanging="0"/>
        <w:jc w:val="center"/>
        <w:rPr/>
      </w:pPr>
      <w:r>
        <w:rPr/>
      </w:r>
    </w:p>
    <w:tbl>
      <w:tblPr>
        <w:tblW w:w="10205" w:type="dxa"/>
        <w:jc w:val="left"/>
        <w:tblInd w:w="0" w:type="dxa"/>
        <w:tblCellMar>
          <w:top w:w="0" w:type="dxa"/>
          <w:left w:w="0" w:type="dxa"/>
          <w:bottom w:w="0" w:type="dxa"/>
          <w:right w:w="0" w:type="dxa"/>
        </w:tblCellMar>
      </w:tblPr>
      <w:tblGrid>
        <w:gridCol w:w="836"/>
        <w:gridCol w:w="199"/>
        <w:gridCol w:w="9170"/>
      </w:tblGrid>
      <w:tr>
        <w:trPr/>
        <w:tc>
          <w:tcPr>
            <w:tcW w:w="83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9170" w:type="dxa"/>
            <w:tcBorders/>
            <w:shd w:fill="auto" w:val="clear"/>
            <w:vAlign w:val="center"/>
          </w:tcPr>
          <w:p>
            <w:pPr>
              <w:pStyle w:val="TableContents"/>
              <w:spacing w:before="0" w:after="283"/>
              <w:rPr>
                <w:sz w:val="4"/>
                <w:szCs w:val="4"/>
              </w:rPr>
            </w:pPr>
            <w:r>
              <w:rPr>
                <w:sz w:val="4"/>
                <w:szCs w:val="4"/>
              </w:rPr>
            </w:r>
          </w:p>
        </w:tc>
      </w:tr>
      <w:tr>
        <w:trPr/>
        <w:tc>
          <w:tcPr>
            <w:tcW w:w="836" w:type="dxa"/>
            <w:tcBorders/>
            <w:shd w:fill="auto" w:val="clear"/>
            <w:vAlign w:val="center"/>
          </w:tcPr>
          <w:p>
            <w:pPr>
              <w:pStyle w:val="TableContents"/>
              <w:pBdr/>
              <w:spacing w:before="0" w:after="0"/>
              <w:ind w:left="0" w:right="0" w:hanging="0"/>
              <w:rPr/>
            </w:pPr>
            <w:r>
              <w:rPr/>
              <w:t> </w:t>
            </w:r>
          </w:p>
        </w:tc>
        <w:tc>
          <w:tcPr>
            <w:tcW w:w="199" w:type="dxa"/>
            <w:tcBorders/>
            <w:shd w:fill="auto" w:val="clear"/>
            <w:vAlign w:val="center"/>
          </w:tcPr>
          <w:p>
            <w:pPr>
              <w:pStyle w:val="TableContents"/>
              <w:pBdr/>
              <w:spacing w:before="0" w:after="0"/>
              <w:ind w:left="0" w:right="0" w:hanging="0"/>
              <w:rPr/>
            </w:pPr>
            <w:r>
              <w:rPr/>
              <w:t> </w:t>
            </w:r>
          </w:p>
        </w:tc>
        <w:tc>
          <w:tcPr>
            <w:tcW w:w="9170" w:type="dxa"/>
            <w:tcBorders/>
            <w:shd w:fill="auto" w:val="clear"/>
            <w:vAlign w:val="center"/>
          </w:tcPr>
          <w:p>
            <w:pPr>
              <w:pStyle w:val="TableContents"/>
              <w:pBdr/>
              <w:spacing w:before="0" w:after="0"/>
              <w:ind w:left="0" w:right="0" w:hanging="0"/>
              <w:rPr/>
            </w:pPr>
            <w:r>
              <w:rPr/>
              <w:t> </w:t>
            </w:r>
          </w:p>
        </w:tc>
      </w:tr>
      <w:tr>
        <w:trPr/>
        <w:tc>
          <w:tcPr>
            <w:tcW w:w="836" w:type="dxa"/>
            <w:tcBorders>
              <w:bottom w:val="single" w:sz="2" w:space="0" w:color="000000"/>
            </w:tcBorders>
            <w:shd w:fill="auto" w:val="clear"/>
            <w:tcMar>
              <w:bottom w:w="28" w:type="dxa"/>
            </w:tcMar>
          </w:tcPr>
          <w:p>
            <w:pPr>
              <w:pStyle w:val="TableContents"/>
              <w:spacing w:before="0" w:after="0"/>
              <w:ind w:left="0" w:right="0" w:hanging="0"/>
              <w:rPr>
                <w:b/>
              </w:rPr>
            </w:pPr>
            <w:r>
              <w:rPr>
                <w:b/>
              </w:rPr>
              <w:t xml:space="preserve">Exhibit </w:t>
            </w:r>
          </w:p>
          <w:p>
            <w:pPr>
              <w:pStyle w:val="TableContents"/>
              <w:spacing w:before="0" w:after="0"/>
              <w:ind w:left="0" w:right="0" w:hanging="0"/>
              <w:rPr>
                <w:b/>
              </w:rPr>
            </w:pPr>
            <w:r>
              <w:rPr>
                <w:b/>
              </w:rPr>
              <w:t>No.</w:t>
            </w:r>
          </w:p>
        </w:tc>
        <w:tc>
          <w:tcPr>
            <w:tcW w:w="199" w:type="dxa"/>
            <w:tcBorders>
              <w:bottom w:val="single" w:sz="2" w:space="0" w:color="000000"/>
            </w:tcBorders>
            <w:shd w:fill="auto" w:val="clear"/>
            <w:tcMar>
              <w:bottom w:w="28" w:type="dxa"/>
            </w:tcMar>
          </w:tcPr>
          <w:p>
            <w:pPr>
              <w:pStyle w:val="TableContents"/>
              <w:spacing w:before="0" w:after="0"/>
              <w:ind w:left="0" w:right="0" w:hanging="0"/>
              <w:rPr/>
            </w:pPr>
            <w:r>
              <w:rPr/>
              <w:t> </w:t>
            </w:r>
          </w:p>
        </w:tc>
        <w:tc>
          <w:tcPr>
            <w:tcW w:w="9170" w:type="dxa"/>
            <w:tcBorders>
              <w:bottom w:val="single" w:sz="2" w:space="0" w:color="000000"/>
            </w:tcBorders>
            <w:shd w:fill="auto" w:val="clear"/>
            <w:tcMar>
              <w:bottom w:w="28" w:type="dxa"/>
            </w:tcMar>
            <w:vAlign w:val="bottom"/>
          </w:tcPr>
          <w:p>
            <w:pPr>
              <w:pStyle w:val="TableContents"/>
              <w:spacing w:before="0" w:after="0"/>
              <w:ind w:left="0" w:right="0" w:hanging="0"/>
              <w:rPr/>
            </w:pPr>
            <w:r>
              <w:rPr/>
            </w:r>
          </w:p>
          <w:p>
            <w:pPr>
              <w:pStyle w:val="TableContents"/>
              <w:spacing w:before="0" w:after="0"/>
              <w:ind w:left="0" w:right="0" w:hanging="0"/>
              <w:rPr>
                <w:b/>
              </w:rPr>
            </w:pPr>
            <w:r>
              <w:rPr>
                <w:b/>
              </w:rPr>
              <w:t>Description</w:t>
            </w:r>
          </w:p>
        </w:tc>
      </w:tr>
      <w:tr>
        <w:trPr/>
        <w:tc>
          <w:tcPr>
            <w:tcW w:w="836" w:type="dxa"/>
            <w:tcBorders/>
            <w:shd w:fill="auto" w:val="clear"/>
          </w:tcPr>
          <w:p>
            <w:pPr>
              <w:pStyle w:val="TableContents"/>
              <w:spacing w:before="0" w:after="0"/>
              <w:ind w:left="0" w:right="0" w:hanging="0"/>
              <w:rPr/>
            </w:pPr>
            <w:r>
              <w:rPr/>
              <w:t>10.1</w:t>
            </w:r>
          </w:p>
        </w:tc>
        <w:tc>
          <w:tcPr>
            <w:tcW w:w="199" w:type="dxa"/>
            <w:tcBorders/>
            <w:shd w:fill="auto" w:val="clear"/>
          </w:tcPr>
          <w:p>
            <w:pPr>
              <w:pStyle w:val="TableContents"/>
              <w:spacing w:before="0" w:after="0"/>
              <w:ind w:left="0" w:right="0" w:hanging="0"/>
              <w:rPr/>
            </w:pPr>
            <w:r>
              <w:rPr/>
              <w:t> </w:t>
            </w:r>
          </w:p>
        </w:tc>
        <w:tc>
          <w:tcPr>
            <w:tcW w:w="9170" w:type="dxa"/>
            <w:tcBorders/>
            <w:shd w:fill="auto" w:val="clear"/>
            <w:vAlign w:val="bottom"/>
          </w:tcPr>
          <w:p>
            <w:pPr>
              <w:pStyle w:val="TableContents"/>
              <w:spacing w:before="0" w:after="0"/>
              <w:ind w:left="0" w:right="0" w:hanging="0"/>
              <w:rPr/>
            </w:pPr>
            <w:r>
              <w:rPr/>
              <w:t>Securities Purchase Agreement, dated as of April 20, 2012, by and between Imprimis Pharmaceuticals, Inc. and the investors signatory thereto</w:t>
            </w:r>
          </w:p>
        </w:tc>
      </w:tr>
      <w:tr>
        <w:trPr/>
        <w:tc>
          <w:tcPr>
            <w:tcW w:w="836" w:type="dxa"/>
            <w:tcBorders/>
            <w:shd w:fill="auto" w:val="clear"/>
          </w:tcPr>
          <w:p>
            <w:pPr>
              <w:pStyle w:val="TableContents"/>
              <w:spacing w:before="0" w:after="0"/>
              <w:ind w:left="0" w:right="0" w:hanging="0"/>
              <w:rPr/>
            </w:pPr>
            <w:r>
              <w:rPr/>
              <w:t>10.2</w:t>
            </w:r>
          </w:p>
        </w:tc>
        <w:tc>
          <w:tcPr>
            <w:tcW w:w="199" w:type="dxa"/>
            <w:tcBorders/>
            <w:shd w:fill="auto" w:val="clear"/>
          </w:tcPr>
          <w:p>
            <w:pPr>
              <w:pStyle w:val="TableContents"/>
              <w:spacing w:before="0" w:after="0"/>
              <w:ind w:left="0" w:right="0" w:hanging="0"/>
              <w:rPr/>
            </w:pPr>
            <w:r>
              <w:rPr/>
              <w:t> </w:t>
            </w:r>
          </w:p>
        </w:tc>
        <w:tc>
          <w:tcPr>
            <w:tcW w:w="9170" w:type="dxa"/>
            <w:tcBorders/>
            <w:shd w:fill="auto" w:val="clear"/>
            <w:vAlign w:val="bottom"/>
          </w:tcPr>
          <w:p>
            <w:pPr>
              <w:pStyle w:val="TableContents"/>
              <w:spacing w:before="0" w:after="0"/>
              <w:ind w:left="0" w:right="0" w:hanging="0"/>
              <w:rPr/>
            </w:pPr>
            <w:r>
              <w:rPr/>
              <w:t>Form of Warrant dated as of April 25, 2012</w:t>
            </w:r>
          </w:p>
        </w:tc>
      </w:tr>
      <w:tr>
        <w:trPr/>
        <w:tc>
          <w:tcPr>
            <w:tcW w:w="836" w:type="dxa"/>
            <w:tcBorders/>
            <w:shd w:fill="auto" w:val="clear"/>
          </w:tcPr>
          <w:p>
            <w:pPr>
              <w:pStyle w:val="TableContents"/>
              <w:spacing w:before="0" w:after="0"/>
              <w:ind w:left="0" w:right="0" w:hanging="0"/>
              <w:rPr/>
            </w:pPr>
            <w:r>
              <w:rPr/>
              <w:t>10.3</w:t>
            </w:r>
          </w:p>
        </w:tc>
        <w:tc>
          <w:tcPr>
            <w:tcW w:w="199" w:type="dxa"/>
            <w:tcBorders/>
            <w:shd w:fill="auto" w:val="clear"/>
          </w:tcPr>
          <w:p>
            <w:pPr>
              <w:pStyle w:val="TableContents"/>
              <w:spacing w:before="0" w:after="0"/>
              <w:ind w:left="0" w:right="0" w:hanging="0"/>
              <w:rPr/>
            </w:pPr>
            <w:r>
              <w:rPr/>
              <w:t> </w:t>
            </w:r>
          </w:p>
        </w:tc>
        <w:tc>
          <w:tcPr>
            <w:tcW w:w="9170" w:type="dxa"/>
            <w:tcBorders/>
            <w:shd w:fill="auto" w:val="clear"/>
            <w:vAlign w:val="bottom"/>
          </w:tcPr>
          <w:p>
            <w:pPr>
              <w:pStyle w:val="TableContents"/>
              <w:spacing w:before="0" w:after="0"/>
              <w:ind w:left="0" w:right="0" w:hanging="0"/>
              <w:rPr/>
            </w:pPr>
            <w:r>
              <w:rPr/>
              <w:t>Promissory Note Conversion Agreement, dated as of April 20, 2012, by and between Imprimis Pharmaceuticals, Inc. and DermaStar International, LLC</w:t>
            </w:r>
          </w:p>
        </w:tc>
      </w:tr>
      <w:tr>
        <w:trPr/>
        <w:tc>
          <w:tcPr>
            <w:tcW w:w="836" w:type="dxa"/>
            <w:tcBorders/>
            <w:shd w:fill="auto" w:val="clear"/>
          </w:tcPr>
          <w:p>
            <w:pPr>
              <w:pStyle w:val="TableContents"/>
              <w:spacing w:before="0" w:after="0"/>
              <w:ind w:left="0" w:right="0" w:hanging="0"/>
              <w:rPr/>
            </w:pPr>
            <w:r>
              <w:rPr/>
              <w:t>10.4</w:t>
            </w:r>
          </w:p>
        </w:tc>
        <w:tc>
          <w:tcPr>
            <w:tcW w:w="199" w:type="dxa"/>
            <w:tcBorders/>
            <w:shd w:fill="auto" w:val="clear"/>
          </w:tcPr>
          <w:p>
            <w:pPr>
              <w:pStyle w:val="TableContents"/>
              <w:spacing w:before="0" w:after="0"/>
              <w:ind w:left="0" w:right="0" w:hanging="0"/>
              <w:rPr/>
            </w:pPr>
            <w:r>
              <w:rPr/>
              <w:t> </w:t>
            </w:r>
          </w:p>
        </w:tc>
        <w:tc>
          <w:tcPr>
            <w:tcW w:w="9170" w:type="dxa"/>
            <w:tcBorders/>
            <w:shd w:fill="auto" w:val="clear"/>
            <w:vAlign w:val="bottom"/>
          </w:tcPr>
          <w:p>
            <w:pPr>
              <w:pStyle w:val="TableContents"/>
              <w:spacing w:before="0" w:after="0"/>
              <w:ind w:left="0" w:right="0" w:hanging="0"/>
              <w:rPr/>
            </w:pPr>
            <w:r>
              <w:rPr/>
              <w:t>Employment Agreement, dated as of April 1, 2012, by and between Imprimis Pharmaceuticals, Inc. and Dr. Robert Kammer</w:t>
            </w:r>
          </w:p>
        </w:tc>
      </w:tr>
      <w:tr>
        <w:trPr/>
        <w:tc>
          <w:tcPr>
            <w:tcW w:w="836" w:type="dxa"/>
            <w:tcBorders/>
            <w:shd w:fill="auto" w:val="clear"/>
          </w:tcPr>
          <w:p>
            <w:pPr>
              <w:pStyle w:val="TableContents"/>
              <w:spacing w:before="0" w:after="0"/>
              <w:ind w:left="0" w:right="0" w:hanging="0"/>
              <w:rPr/>
            </w:pPr>
            <w:r>
              <w:rPr/>
              <w:t>10.5</w:t>
            </w:r>
          </w:p>
        </w:tc>
        <w:tc>
          <w:tcPr>
            <w:tcW w:w="199" w:type="dxa"/>
            <w:tcBorders/>
            <w:shd w:fill="auto" w:val="clear"/>
          </w:tcPr>
          <w:p>
            <w:pPr>
              <w:pStyle w:val="TableContents"/>
              <w:spacing w:before="0" w:after="0"/>
              <w:ind w:left="0" w:right="0" w:hanging="0"/>
              <w:rPr/>
            </w:pPr>
            <w:r>
              <w:rPr/>
              <w:t> </w:t>
            </w:r>
          </w:p>
        </w:tc>
        <w:tc>
          <w:tcPr>
            <w:tcW w:w="9170" w:type="dxa"/>
            <w:tcBorders/>
            <w:shd w:fill="auto" w:val="clear"/>
            <w:vAlign w:val="bottom"/>
          </w:tcPr>
          <w:p>
            <w:pPr>
              <w:pStyle w:val="TableContents"/>
              <w:spacing w:before="0" w:after="0"/>
              <w:ind w:left="0" w:right="0" w:hanging="0"/>
              <w:rPr/>
            </w:pPr>
            <w:r>
              <w:rPr/>
              <w:t>Advisory Agreement, dated as of April 1, 2012, by and between Imprimis Pharmaceuticals, Inc. and Mark L. Baum, Esq.</w:t>
            </w:r>
          </w:p>
        </w:tc>
      </w:tr>
      <w:tr>
        <w:trPr/>
        <w:tc>
          <w:tcPr>
            <w:tcW w:w="836" w:type="dxa"/>
            <w:tcBorders/>
            <w:shd w:fill="auto" w:val="clear"/>
          </w:tcPr>
          <w:p>
            <w:pPr>
              <w:pStyle w:val="TableContents"/>
              <w:spacing w:before="0" w:after="0"/>
              <w:ind w:left="0" w:right="0" w:hanging="0"/>
              <w:rPr/>
            </w:pPr>
            <w:r>
              <w:rPr/>
              <w:t>99.1</w:t>
            </w:r>
          </w:p>
        </w:tc>
        <w:tc>
          <w:tcPr>
            <w:tcW w:w="199" w:type="dxa"/>
            <w:tcBorders/>
            <w:shd w:fill="auto" w:val="clear"/>
          </w:tcPr>
          <w:p>
            <w:pPr>
              <w:pStyle w:val="TableContents"/>
              <w:spacing w:before="0" w:after="0"/>
              <w:ind w:left="0" w:right="0" w:hanging="0"/>
              <w:rPr/>
            </w:pPr>
            <w:r>
              <w:rPr/>
              <w:t> </w:t>
            </w:r>
          </w:p>
        </w:tc>
        <w:tc>
          <w:tcPr>
            <w:tcW w:w="9170" w:type="dxa"/>
            <w:tcBorders/>
            <w:shd w:fill="auto" w:val="clear"/>
            <w:vAlign w:val="bottom"/>
          </w:tcPr>
          <w:p>
            <w:pPr>
              <w:pStyle w:val="TableContents"/>
              <w:spacing w:before="0" w:after="0"/>
              <w:ind w:left="0" w:right="0" w:hanging="0"/>
              <w:rPr/>
            </w:pPr>
            <w:r>
              <w:rPr/>
              <w:t xml:space="preserve">Press release dated April 27, 2012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pPr>
      <w:r>
        <w:rPr/>
        <w:t>5</w:t>
      </w:r>
    </w:p>
    <w:p>
      <w:pPr>
        <w:pStyle w:val="TextBody"/>
        <w:spacing w:before="0" w:after="0"/>
        <w:ind w:left="0" w:right="0" w:hanging="0"/>
        <w:rPr/>
      </w:pPr>
      <w:r>
        <w:rPr/>
      </w:r>
      <w:r>
        <w:br w:type="page"/>
      </w:r>
    </w:p>
    <w:p>
      <w:pPr>
        <w:pStyle w:val="TextBody"/>
        <w:spacing w:before="0" w:after="0"/>
        <w:ind w:left="0" w:right="0" w:hanging="0"/>
        <w:jc w:val="center"/>
        <w:rPr>
          <w:b/>
        </w:rPr>
      </w:pPr>
      <w:bookmarkStart w:id="3" w:name="f8k042712_ex10z1.htm"/>
      <w:bookmarkStart w:id="4" w:name="ksf8k042712_ex10z1"/>
      <w:bookmarkEnd w:id="3"/>
      <w:bookmarkEnd w:id="4"/>
      <w:r>
        <w:rPr>
          <w:b/>
        </w:rPr>
        <w:commentReference w:id="0"/>
      </w:r>
      <w:r>
        <w:rPr>
          <w:b/>
        </w:rPr>
        <w:t>EXHIBIT 10.1</w:t>
      </w:r>
    </w:p>
    <w:p>
      <w:pPr>
        <w:pStyle w:val="TextBody"/>
        <w:spacing w:before="0" w:after="0"/>
        <w:ind w:left="0" w:right="0" w:hanging="0"/>
        <w:jc w:val="center"/>
        <w:rPr/>
      </w:pPr>
      <w:r>
        <w:rPr/>
      </w:r>
    </w:p>
    <w:p>
      <w:pPr>
        <w:pStyle w:val="TextBody"/>
        <w:spacing w:before="0" w:after="0"/>
        <w:ind w:left="0" w:right="0" w:hanging="0"/>
        <w:jc w:val="center"/>
        <w:rPr>
          <w:b/>
        </w:rPr>
      </w:pPr>
      <w:r>
        <w:rPr>
          <w:b/>
        </w:rPr>
        <w:t>SECURITIES PURCHASE AGREEMENT</w:t>
      </w:r>
    </w:p>
    <w:p>
      <w:pPr>
        <w:pStyle w:val="TextBody"/>
        <w:spacing w:before="0" w:after="0"/>
        <w:ind w:left="0" w:right="0" w:hanging="0"/>
        <w:jc w:val="center"/>
        <w:rPr/>
      </w:pPr>
      <w:r>
        <w:rPr/>
      </w:r>
    </w:p>
    <w:p>
      <w:pPr>
        <w:pStyle w:val="TextBody"/>
        <w:spacing w:before="0" w:after="0"/>
        <w:ind w:left="0" w:right="0" w:firstLine="720"/>
        <w:jc w:val="both"/>
        <w:rPr/>
      </w:pPr>
      <w:r>
        <w:rPr/>
        <w:t>This Securities Purchase Agreement (this </w:t>
      </w:r>
      <w:r>
        <w:rPr>
          <w:u w:val="single"/>
        </w:rPr>
        <w:t>Agreement</w:t>
      </w:r>
      <w:r>
        <w:rPr/>
        <w:t>) is dated as of the Effective Date, between Imprimis Pharmaceuticals Inc., a Delaware corporation (the </w:t>
      </w:r>
      <w:r>
        <w:rPr>
          <w:u w:val="single"/>
        </w:rPr>
        <w:t>Company</w:t>
      </w:r>
      <w:r>
        <w:rPr/>
        <w:t>), and each purchaser identified on the signature pages hereto (each, including its successors and assigns, a </w:t>
      </w:r>
      <w:r>
        <w:rPr>
          <w:u w:val="single"/>
        </w:rPr>
        <w:t>Purchaser</w:t>
      </w:r>
      <w:r>
        <w:rPr/>
        <w:t> and collectively, the </w:t>
      </w:r>
      <w:r>
        <w:rPr>
          <w:u w:val="single"/>
        </w:rPr>
        <w:t>Purchasers</w:t>
      </w:r>
      <w:r>
        <w:rPr/>
        <w:t>).</w:t>
      </w:r>
    </w:p>
    <w:p>
      <w:pPr>
        <w:pStyle w:val="TextBody"/>
        <w:spacing w:before="0" w:after="0"/>
        <w:ind w:left="0" w:right="0" w:hanging="0"/>
        <w:jc w:val="both"/>
        <w:rPr/>
      </w:pPr>
      <w:r>
        <w:rPr/>
      </w:r>
    </w:p>
    <w:p>
      <w:pPr>
        <w:pStyle w:val="TextBody"/>
        <w:spacing w:before="0" w:after="0"/>
        <w:ind w:left="0" w:right="0" w:firstLine="720"/>
        <w:jc w:val="both"/>
        <w:rPr/>
      </w:pPr>
      <w:r>
        <w:rPr/>
        <w:t>WHEREAS, subject to the terms and conditions set forth in this Agreement and pursuant to Section 4(2) of the Securities Act of 1933, as amended (the </w:t>
      </w:r>
      <w:r>
        <w:rPr>
          <w:u w:val="single"/>
        </w:rPr>
        <w:t>Securities Act</w:t>
      </w:r>
      <w:r>
        <w:rPr/>
        <w:t>), and Rule 506 promulgated thereunder, the Company desires to issue and sell to each Purchaser, and each Purchaser, severally and not jointly, desires to purchase from the Company, securities of the Company as more fully described in this Agreement.</w:t>
      </w:r>
    </w:p>
    <w:p>
      <w:pPr>
        <w:pStyle w:val="TextBody"/>
        <w:spacing w:before="0" w:after="0"/>
        <w:ind w:left="0" w:right="0" w:hanging="0"/>
        <w:jc w:val="both"/>
        <w:rPr/>
      </w:pPr>
      <w:r>
        <w:rPr/>
      </w:r>
    </w:p>
    <w:p>
      <w:pPr>
        <w:pStyle w:val="TextBody"/>
        <w:spacing w:before="0" w:after="0"/>
        <w:ind w:left="0" w:right="0" w:firstLine="720"/>
        <w:jc w:val="both"/>
        <w:rPr/>
      </w:pPr>
      <w:r>
        <w:rPr/>
        <w:t>NOW, THEREFORE, IN CONSIDERATION of the mutual covenants contained in this Agreement, and for other good and valuable consideration, the receipt and adequacy of which are hereby acknowledged, the Company and each Purchaser agree as follows:</w:t>
      </w:r>
    </w:p>
    <w:p>
      <w:pPr>
        <w:pStyle w:val="TextBody"/>
        <w:spacing w:before="0" w:after="0"/>
        <w:ind w:left="0" w:right="0" w:hanging="0"/>
        <w:rPr/>
      </w:pPr>
      <w:r>
        <w:rPr/>
      </w:r>
    </w:p>
    <w:p>
      <w:pPr>
        <w:pStyle w:val="TextBody"/>
        <w:spacing w:before="0" w:after="0"/>
        <w:ind w:left="0" w:right="0" w:hanging="0"/>
        <w:jc w:val="center"/>
        <w:rPr>
          <w:b/>
        </w:rPr>
      </w:pPr>
      <w:r>
        <w:rPr>
          <w:b/>
        </w:rPr>
        <w:t>ARTICLE I.</w:t>
      </w:r>
    </w:p>
    <w:p>
      <w:pPr>
        <w:pStyle w:val="TextBody"/>
        <w:spacing w:before="0" w:after="0"/>
        <w:ind w:left="0" w:right="0" w:hanging="0"/>
        <w:jc w:val="center"/>
        <w:rPr/>
      </w:pPr>
      <w:r>
        <w:rPr/>
      </w:r>
    </w:p>
    <w:p>
      <w:pPr>
        <w:pStyle w:val="TextBody"/>
        <w:spacing w:before="0" w:after="0"/>
        <w:ind w:left="0" w:right="0" w:hanging="0"/>
        <w:jc w:val="center"/>
        <w:rPr>
          <w:b/>
        </w:rPr>
      </w:pPr>
      <w:r>
        <w:rPr>
          <w:b/>
        </w:rPr>
        <w:t>DEFINITIONS</w:t>
      </w:r>
    </w:p>
    <w:p>
      <w:pPr>
        <w:pStyle w:val="TextBody"/>
        <w:spacing w:before="0" w:after="0"/>
        <w:ind w:left="0" w:right="0" w:hanging="0"/>
        <w:jc w:val="center"/>
        <w:rPr/>
      </w:pPr>
      <w:r>
        <w:rPr/>
      </w:r>
    </w:p>
    <w:p>
      <w:pPr>
        <w:pStyle w:val="TextBody"/>
        <w:spacing w:before="0" w:after="0"/>
        <w:ind w:left="0" w:right="0" w:hanging="30"/>
        <w:jc w:val="both"/>
        <w:rPr/>
      </w:pPr>
      <w:r>
        <w:rPr>
          <w:u w:val="single"/>
        </w:rPr>
        <w:t>Definitions</w:t>
      </w:r>
      <w:r>
        <w:rPr/>
        <w:t>. In addition to the terms defined elsewhere in this Agreement, for all purposes of this Agreement, the following terms have the meanings set forth in this Section 1.1:</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914400" cy="175260"/>
                <wp:effectExtent l="0" t="0" r="0" b="0"/>
                <wp:wrapSquare wrapText="largest"/>
                <wp:docPr id="2" name="Frame2"/>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1.1</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1.1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Acquiring Person</w:t>
      </w:r>
      <w:r>
        <w:rPr/>
        <w:t> shall have the meaning ascribed to such term in Section 4.5.</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Action</w:t>
      </w:r>
      <w:r>
        <w:rPr/>
        <w:t> shall have the meaning ascribed to such term in Section 3.1(j).</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Affiliate</w:t>
      </w:r>
      <w:r>
        <w:rPr/>
        <w:t> means any Person that, directly or indirectly through one or more intermediaries, controls or is controlled by or is under common control with a Person, as such terms are used in and construed under Rule 405 under the Securities Act.  </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Board of Directors</w:t>
      </w:r>
      <w:r>
        <w:rPr/>
        <w:t> means the board of directors of the Company.</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Business Day</w:t>
      </w:r>
      <w:r>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Closing</w:t>
      </w:r>
      <w:r>
        <w:rPr/>
        <w:t> means the closing of the purchase and sale of the Securities pursuant to Section 2.1.</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Closing Date</w:t>
      </w:r>
      <w:r>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third Trading Day following the date hereof.</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Commission</w:t>
      </w:r>
      <w:r>
        <w:rPr/>
        <w:t> means the United States Securities and Exchange Commission.</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Common Stock</w:t>
      </w:r>
      <w:r>
        <w:rPr/>
        <w:t xml:space="preserve"> means the common stock of the Company, par value $0.0001 per share, and any other class of securities into which such securities may hereafter be reclassified or changed. </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Common Stock Equivalents</w:t>
      </w:r>
      <w:r>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Company Counsel</w:t>
      </w:r>
      <w:r>
        <w:rPr/>
        <w:t xml:space="preserve"> means Morrison &amp; Foerster LLP, with offices located at 12531 High Bluff Drive, San Diego, CA 92130. </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Disclosure Schedules</w:t>
      </w:r>
      <w:r>
        <w:rPr/>
        <w:t> shall have the meaning ascribed to such term in Section 3.1.</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Effective Date</w:t>
      </w:r>
      <w:r>
        <w:rPr/>
        <w:t> shall mean the date on which (a) this Agreement is fully executed and delivered by each party hereto and (b) the Company accepts all subscriptions for Shares to be sold pursuant to this Agreement, which date shall be specified by the Company in a written notice provided to each Purchaser and is expected to be on or about April 20, 2012.  Each reference in this Agreement to the date hereof, the date of this Agreement or the date first indicated above shall refer to the Effective Date.</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Evaluation Date</w:t>
      </w:r>
      <w:r>
        <w:rPr/>
        <w:t xml:space="preserve"> shall have the meaning ascribed to such term in Section 3.1(r). </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Exchange Act</w:t>
      </w:r>
      <w:r>
        <w:rPr/>
        <w:t> means the Securities Exchange Act of 1934, as amended, and the rules and regulations promulgated thereunder.</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FCPA</w:t>
      </w:r>
      <w:r>
        <w:rPr/>
        <w:t> means the Foreign Corrupt Practices Act of 1977, as amended.</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FDA</w:t>
      </w:r>
      <w:r>
        <w:rPr/>
        <w:t> shall have the meaning ascribed to such term in Section 3.1(ii).</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GAAP</w:t>
      </w:r>
      <w:r>
        <w:rPr/>
        <w:t> shall have the meaning ascribed to such term in Section 3.1(h).</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Indebtedness</w:t>
      </w:r>
      <w:r>
        <w:rPr/>
        <w:t> shall have the meaning ascribed to such term in Section 3.1(aa).</w:t>
      </w:r>
    </w:p>
    <w:p>
      <w:pPr>
        <w:pStyle w:val="TextBody"/>
        <w:spacing w:before="0" w:after="0"/>
        <w:ind w:left="0" w:right="0" w:hanging="0"/>
        <w:jc w:val="both"/>
        <w:rPr/>
      </w:pPr>
      <w:r>
        <w:rPr/>
      </w:r>
    </w:p>
    <w:p>
      <w:pPr>
        <w:pStyle w:val="TextBody"/>
        <w:spacing w:before="0" w:after="0"/>
        <w:ind w:left="0" w:right="0" w:firstLine="720"/>
        <w:jc w:val="both"/>
        <w:rPr/>
      </w:pPr>
      <w:r>
        <w:rPr/>
        <w:t> </w:t>
      </w:r>
      <w:r>
        <w:rPr/>
        <w:t></w:t>
      </w:r>
      <w:r>
        <w:rPr>
          <w:u w:val="single"/>
        </w:rPr>
        <w:t>Intellectual Property Rights</w:t>
      </w:r>
      <w:r>
        <w:rPr/>
        <w:t> shall have the meaning ascribed to such term in Section 3.1(o).</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Legend Removal Date</w:t>
      </w:r>
      <w:r>
        <w:rPr/>
        <w:t xml:space="preserve"> shall have the meaning ascribed to such term in Section 4.1(c). </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Liens</w:t>
      </w:r>
      <w:r>
        <w:rPr/>
        <w:t> means a material lien, charge pledge, security interest, encumbrance, right of first refusal, preemptive right or other restriction.</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Material Adverse Effect</w:t>
      </w:r>
      <w:r>
        <w:rPr/>
        <w:t> shall have the meaning assigned to such term in Section 3.1(b).</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Material Permits</w:t>
      </w:r>
      <w:r>
        <w:rPr/>
        <w:t> shall have the meaning ascribed to such term in Section 3.1(m).</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Per Share Purchase Price</w:t>
      </w:r>
      <w:r>
        <w:rPr/>
        <w:t> equals $0.79 subject to adjustment for reverse and forward stock splits, stock dividends, stock combinations and other similar transactions of the Common Stock that occur after the date of this Agreement.</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Person</w:t>
      </w:r>
      <w:r>
        <w:rPr/>
        <w:t> means an individual or corporation, partnership, trust, incorporated or unincorporated association, joint venture, limited liability company, joint stock company, government (or an agency or subdivision thereof) or other entity of any kind.</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Proceeding</w:t>
      </w:r>
      <w:r>
        <w:rPr/>
        <w:t> means an action, claim, suit, investigation or proceeding (including, without limitation, an informal investigation or partial proceeding, such as a deposition), whether commenced or threatened.</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Public Information Failure</w:t>
      </w:r>
      <w:r>
        <w:rPr/>
        <w:t> shall have the meaning ascribed to such term in Section 4.2(b).</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Public Information Failure Payments</w:t>
      </w:r>
      <w:r>
        <w:rPr/>
        <w:t> shall have the meaning ascribed to such term in Section 4.2(b).</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Required Approvals</w:t>
      </w:r>
      <w:r>
        <w:rPr/>
        <w:t> shall have the meaning ascribed to such term in Section 3.1(e).</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Rule 144</w:t>
      </w:r>
      <w:r>
        <w:rPr/>
        <w:t xml:space="preserve"> means Rule 144 promulgated by the Commission pursuant to the Securities Act, as such Rule may be amended or interpreted from time to time, or any similar rule or regulation hereafter adopted by the Commission having substantially the same purpose and effect as such Rule. </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SEC Reports</w:t>
      </w:r>
      <w:r>
        <w:rPr/>
        <w:t> shall have the meaning ascribed to such term in Section 3.1(h).</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Securities</w:t>
      </w:r>
      <w:r>
        <w:rPr/>
        <w:t> means the Shares, the Warrants and the Warrant Shares.</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Securities Act</w:t>
      </w:r>
      <w:r>
        <w:rPr/>
        <w:t> means the Securities Act of 1933, as amended, and the rules and regulations promulgated thereunder.</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Shares</w:t>
      </w:r>
      <w:r>
        <w:rPr/>
        <w:t> means the shares of Common Stock issued or issuable to each Purchaser pursuant to this Agreement.</w:t>
      </w:r>
    </w:p>
    <w:p>
      <w:pPr>
        <w:pStyle w:val="TextBody"/>
        <w:spacing w:before="0" w:after="0"/>
        <w:ind w:left="0" w:right="0" w:hanging="0"/>
        <w:jc w:val="both"/>
        <w:rPr/>
      </w:pPr>
      <w:r>
        <w:rPr/>
      </w:r>
    </w:p>
    <w:p>
      <w:pPr>
        <w:pStyle w:val="TextBody"/>
        <w:spacing w:before="0" w:after="0"/>
        <w:ind w:left="0" w:right="0" w:hanging="0"/>
        <w:jc w:val="center"/>
        <w:rPr/>
      </w:pPr>
      <w:r>
        <w:rPr/>
        <w:t>2</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Short Sales</w:t>
      </w:r>
      <w:r>
        <w:rPr/>
        <w:t> means all short sales as defined in Rule 200 of Regulation SHO under the Exchange Act (but shall not be deemed to include the location and/or reservation of borrowable shares of Common Stock). </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Subscription Amount</w:t>
      </w:r>
      <w:r>
        <w:rPr/>
        <w:t> means, as to each Purchaser, the aggregate amount to be paid for Shares and Warrants purchased hereunder as specified below such Purchasers name on the signature page of this Agreement and next to the heading Subscription Amount, in United States dollars and in immediately available funds.</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Subsidiary</w:t>
      </w:r>
      <w:r>
        <w:rPr/>
        <w:t xml:space="preserve"> means any subsidiary of the Company as set forth on </w:t>
      </w:r>
      <w:r>
        <w:rPr>
          <w:u w:val="single"/>
        </w:rPr>
        <w:t>Schedule 3.1(a)</w:t>
      </w:r>
      <w:r>
        <w:rPr/>
        <w:t xml:space="preserve"> and shall, where applicable, also include any direct or indirect subsidiary of the Company formed or acquired after the date hereof.</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Trading Day</w:t>
      </w:r>
      <w:r>
        <w:rPr/>
        <w:t> means a day on which the principal Trading Market is open for trading.</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Trading Market</w:t>
      </w:r>
      <w:r>
        <w:rPr/>
        <w:t> means any of the following markets or exchanges on which the Common Stock is listed or quoted for trading on the date in question: the NYSE AMEX, the Nasdaq Capital Market, the Nasdaq Global Market, the Nasdaq Global Select Market, the New York Stock Exchange, the OTC Bulletin Board or the Pink Sheets (or any successors to any of the foregoing).</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Transaction Documents</w:t>
      </w:r>
      <w:r>
        <w:rPr/>
        <w:t> means this Agreement, the Warrants, all exhibits and schedules thereto and hereto and any other documents or agreements executed in connection with the transactions contemplated hereunder.</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Transfer Agent</w:t>
      </w:r>
      <w:r>
        <w:rPr/>
        <w:t> means Continental Stock Transfer &amp; Trust Company, the current transfer agent of the Company, with a mailing address of 17 Battery Place, 8</w:t>
      </w:r>
      <w:r>
        <w:rPr>
          <w:position w:val="8"/>
          <w:sz w:val="19"/>
        </w:rPr>
        <w:t>th</w:t>
      </w:r>
      <w:r>
        <w:rPr/>
        <w:t xml:space="preserve"> Floor, New York, New York 10004 and a facsimile number of 212-509-5150, and any successor transfer agent of the Company.</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VWAP</w:t>
      </w:r>
      <w:r>
        <w:rPr/>
        <w:t xml:space="preserve">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OTC Bulletin Board is not a Trading Market, the volume weighted average price of the Common Stock for such date (or the nearest preceding date) on the OTC Bulletin Board, (c) if the Common Stock is not then listed or quoted for trading on the OTC Bulletin Board and if prices for the Common Stock are then reported in the Pink Sheets published by Pink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Shares then outstanding and reasonably acceptable to the Company, the fees and expenses of which shall be paid by the Company. </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Warrants</w:t>
      </w:r>
      <w:r>
        <w:rPr/>
        <w:t xml:space="preserve"> means, collectively, the Common Stock purchase warrants delivered to the Purchasers at the Closing in accordance with Section 2.2(a) hereof, which Warrants shall be exercisable immediately and have a term of exercise equal to 3 years, in the form of </w:t>
      </w:r>
      <w:r>
        <w:rPr>
          <w:u w:val="single"/>
        </w:rPr>
        <w:t>Exhibit B</w:t>
      </w:r>
      <w:r>
        <w:rPr/>
        <w:t xml:space="preserve"> attached hereto.</w: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Warrant Shares</w:t>
      </w:r>
      <w:r>
        <w:rPr/>
        <w:t> means the shares of Common Stock issuable upon exercise of the Warrants.</w:t>
      </w:r>
    </w:p>
    <w:p>
      <w:pPr>
        <w:pStyle w:val="TextBody"/>
        <w:spacing w:before="0" w:after="0"/>
        <w:ind w:left="0" w:right="0" w:hanging="0"/>
        <w:rPr/>
      </w:pPr>
      <w:r>
        <w:rPr/>
      </w:r>
    </w:p>
    <w:p>
      <w:pPr>
        <w:pStyle w:val="TextBody"/>
        <w:spacing w:before="0" w:after="0"/>
        <w:ind w:left="0" w:right="0" w:hanging="0"/>
        <w:jc w:val="center"/>
        <w:rPr>
          <w:b/>
        </w:rPr>
      </w:pPr>
      <w:r>
        <w:rPr>
          <w:b/>
        </w:rPr>
        <w:t>ARTICLE 11.</w:t>
      </w:r>
    </w:p>
    <w:p>
      <w:pPr>
        <w:pStyle w:val="TextBody"/>
        <w:spacing w:before="0" w:after="0"/>
        <w:ind w:left="0" w:right="0" w:hanging="0"/>
        <w:jc w:val="center"/>
        <w:rPr/>
      </w:pPr>
      <w:r>
        <w:rPr/>
      </w:r>
    </w:p>
    <w:p>
      <w:pPr>
        <w:pStyle w:val="TextBody"/>
        <w:spacing w:before="0" w:after="0"/>
        <w:ind w:left="0" w:right="0" w:hanging="0"/>
        <w:jc w:val="center"/>
        <w:rPr>
          <w:b/>
        </w:rPr>
      </w:pPr>
      <w:r>
        <w:rPr>
          <w:b/>
        </w:rPr>
        <w:t>PURCHASE AND SALE</w:t>
      </w:r>
    </w:p>
    <w:p>
      <w:pPr>
        <w:pStyle w:val="TextBody"/>
        <w:spacing w:before="0" w:after="0"/>
        <w:ind w:left="0" w:right="0" w:hanging="0"/>
        <w:jc w:val="center"/>
        <w:rPr/>
      </w:pPr>
      <w:r>
        <w:rPr/>
      </w:r>
    </w:p>
    <w:p>
      <w:pPr>
        <w:pStyle w:val="TextBody"/>
        <w:spacing w:before="0" w:after="0"/>
        <w:ind w:left="0" w:right="0" w:hanging="30"/>
        <w:jc w:val="both"/>
        <w:rPr/>
      </w:pPr>
      <w:r>
        <w:rPr>
          <w:u w:val="single"/>
        </w:rPr>
        <w:t>Closing</w:t>
      </w:r>
      <w:r>
        <w:rPr/>
        <w:t>.  On the Closing Date, upon the terms and subject to the conditions set forth herein, substantially concurrent with the execution and delivery of this Agreement by the parties hereto, the Company agrees to sell, and the Purchasers, severally and not jointly,  agree to purchase, up to an aggregate of $_______ of Shares and Warrants.  Each Purchaser shall deliver to the Company, via wire transfer or a certified check, immediately available funds equal to such Purchasers Subscription Amount as set forth on the signature page hereto executed by such Purchaser, and the Company shall deliver to each Purchaser its respective Shares and a Warrant, as determined pursuant to Section 2.2(a), and the Company and each Purchaser shall deliver the other items set forth in Section 2.2 deliverable at the Closing.  Upon satisfaction of the covenants and conditions set forth in Sections 2.2 and 2.3, the Closing shall occur at Solana Beach, CA or such other location as the parties shall mutually agree.</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914400" cy="175260"/>
                <wp:effectExtent l="0" t="0" r="0" b="0"/>
                <wp:wrapSquare wrapText="largest"/>
                <wp:docPr id="3" name="Frame3"/>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2.1</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2.1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Deliveries</w:t>
      </w:r>
      <w:r>
        <w:rPr/>
        <w:t>.</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914400" cy="175260"/>
                <wp:effectExtent l="0" t="0" r="0" b="0"/>
                <wp:wrapSquare wrapText="largest"/>
                <wp:docPr id="4" name="Frame4"/>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2.2</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2.2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On or prior to the Closing Date, the Company shall deliver or cause to be delivered to each Purchaser the following:</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371600" cy="175260"/>
                <wp:effectExtent l="0" t="0" r="0" b="0"/>
                <wp:wrapSquare wrapText="largest"/>
                <wp:docPr id="5" name="Frame5"/>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pPr>
      <w:r>
        <w:rPr/>
        <w:t>3</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30"/>
        <w:jc w:val="both"/>
        <w:rPr/>
      </w:pPr>
      <w:r>
        <w:rPr/>
        <w:t>this Agreement duly executed by the Company;</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828800" cy="175260"/>
                <wp:effectExtent l="0" t="0" r="0" b="0"/>
                <wp:wrapSquare wrapText="largest"/>
                <wp:docPr id="6" name="Frame6"/>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(i)</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(i)</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a copy of the irrevocable instructions to the Transfer Agent instructing the Transfer Agent to deliver, on an expedited basis, a certificate evidencing a number of Shares equal to such Purchasers Subscription Amount divided by the Per Share Purchase Price, registered in the name of such Purchaser; and</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828800" cy="175260"/>
                <wp:effectExtent l="0" t="0" r="0" b="0"/>
                <wp:wrapSquare wrapText="largest"/>
                <wp:docPr id="7" name="Frame7"/>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(ii)</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(ii)</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a Warrant registered in the name of such Purchaser to purchase up to a number of shares of Common Stock equal to 25% of such Purchasers Shares, with an exercise price equal to $1.185 subject to adjustment therein (such Warrant certificate may be delivered within three Trading Days of the Closing Date).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1828800" cy="175260"/>
                <wp:effectExtent l="0" t="0" r="0" b="0"/>
                <wp:wrapSquare wrapText="largest"/>
                <wp:docPr id="8" name="Frame8"/>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(iii)</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(iii)</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On or prior to the Closing Date, each Purchaser shall deliver or cause to be delivered to the Company the following:</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1371600" cy="175260"/>
                <wp:effectExtent l="0" t="0" r="0" b="0"/>
                <wp:wrapSquare wrapText="largest"/>
                <wp:docPr id="9" name="Frame9"/>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this Agreement duly executed by such Purchaser; and</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1828800" cy="175260"/>
                <wp:effectExtent l="0" t="0" r="0" b="0"/>
                <wp:wrapSquare wrapText="largest"/>
                <wp:docPr id="10" name="Frame10"/>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(i)</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(i)</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such Purchasers Subscription Amount by wire transfer.</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1828800" cy="175260"/>
                <wp:effectExtent l="0" t="0" r="0" b="0"/>
                <wp:wrapSquare wrapText="largest"/>
                <wp:docPr id="11" name="Frame11"/>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(ii)</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(ii)</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Closing Conditions</w:t>
      </w:r>
      <w:r>
        <w:rPr/>
        <w:t>.</w:t>
      </w:r>
      <w:r>
        <w:rPr>
          <w:u w:val="single"/>
        </w:rPr>
        <w:t xml:space="preserve">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914400" cy="175260"/>
                <wp:effectExtent l="0" t="0" r="0" b="0"/>
                <wp:wrapSquare wrapText="largest"/>
                <wp:docPr id="12" name="Frame12"/>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2.3</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2.3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The obligations of the Company hereunder in connection with the Closing are subject to the following conditions being met:</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1371600" cy="175260"/>
                <wp:effectExtent l="0" t="0" r="0" b="0"/>
                <wp:wrapSquare wrapText="largest"/>
                <wp:docPr id="13" name="Frame13"/>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 xml:space="preserve">the accuracy in all material respects on the Closing Date of the representations and warranties of the Purchasers contained herein (unless as of a specific date therein in which case they shall be accurate as of such date);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1828800" cy="175260"/>
                <wp:effectExtent l="0" t="0" r="0" b="0"/>
                <wp:wrapSquare wrapText="largest"/>
                <wp:docPr id="14" name="Frame14"/>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(i)</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(i)</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all obligations, covenants and agreements of each Purchaser required to be performed at or prior to the Closing Date shall have been performed; and</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1828800" cy="175260"/>
                <wp:effectExtent l="0" t="0" r="0" b="0"/>
                <wp:wrapSquare wrapText="largest"/>
                <wp:docPr id="15" name="Frame15"/>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(ii)</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(ii)</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the delivery by each Purchaser of the items set forth in Section 2.2(b) of this Agreement.</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1828800" cy="175260"/>
                <wp:effectExtent l="0" t="0" r="0" b="0"/>
                <wp:wrapSquare wrapText="largest"/>
                <wp:docPr id="16" name="Frame16"/>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(iii)</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(iii)</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The respective obligations of the Purchasers hereunder in connection with the Closing are subject to the following conditions being met:</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1371600" cy="175260"/>
                <wp:effectExtent l="0" t="0" r="0" b="0"/>
                <wp:wrapSquare wrapText="largest"/>
                <wp:docPr id="17" name="Frame17"/>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the accuracy in all material respects when made and on the Closing Date of the representations and warranties of the Company contained herein (unless as of a specific date therein);</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1828800" cy="175260"/>
                <wp:effectExtent l="0" t="0" r="0" b="0"/>
                <wp:wrapSquare wrapText="largest"/>
                <wp:docPr id="18" name="Frame18"/>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(i)</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(i)</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 xml:space="preserve">all obligations, covenants and agreements of the Company required to be performed at or prior to the Closing Date shall have been performed; </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1828800" cy="175260"/>
                <wp:effectExtent l="0" t="0" r="0" b="0"/>
                <wp:wrapSquare wrapText="largest"/>
                <wp:docPr id="19" name="Frame19"/>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(ii)</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(ii)</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 xml:space="preserve">the delivery by the Company of the items set forth in Section 2.2(a) of this Agreement;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1828800" cy="175260"/>
                <wp:effectExtent l="0" t="0" r="0" b="0"/>
                <wp:wrapSquare wrapText="largest"/>
                <wp:docPr id="20" name="Frame20"/>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(ii)</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(ii)</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there shall have been no Material Adverse Effect with respect to the Company since the date hereof; and</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1828800" cy="175260"/>
                <wp:effectExtent l="0" t="0" r="0" b="0"/>
                <wp:wrapSquare wrapText="largest"/>
                <wp:docPr id="21" name="Frame21"/>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(iv)</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(iv)</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1828800" cy="175260"/>
                <wp:effectExtent l="0" t="0" r="0" b="0"/>
                <wp:wrapSquare wrapText="largest"/>
                <wp:docPr id="22" name="Frame22"/>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(v)</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(v)</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0"/>
        <w:jc w:val="center"/>
        <w:rPr/>
      </w:pPr>
      <w:r>
        <w:rPr/>
        <w:t>4</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rPr/>
      </w:pPr>
      <w:r>
        <w:rPr/>
      </w:r>
    </w:p>
    <w:p>
      <w:pPr>
        <w:pStyle w:val="TextBody"/>
        <w:spacing w:before="0" w:after="0"/>
        <w:ind w:left="0" w:right="0" w:hanging="0"/>
        <w:jc w:val="center"/>
        <w:rPr>
          <w:b/>
        </w:rPr>
      </w:pPr>
      <w:r>
        <w:rPr>
          <w:b/>
        </w:rPr>
        <w:t>ARTICLE III.</w:t>
      </w:r>
    </w:p>
    <w:p>
      <w:pPr>
        <w:pStyle w:val="TextBody"/>
        <w:spacing w:before="0" w:after="0"/>
        <w:ind w:left="0" w:right="0" w:hanging="0"/>
        <w:jc w:val="center"/>
        <w:rPr/>
      </w:pPr>
      <w:r>
        <w:rPr/>
      </w:r>
    </w:p>
    <w:p>
      <w:pPr>
        <w:pStyle w:val="TextBody"/>
        <w:spacing w:before="0" w:after="0"/>
        <w:ind w:left="0" w:right="0" w:hanging="0"/>
        <w:jc w:val="center"/>
        <w:rPr>
          <w:b/>
        </w:rPr>
      </w:pPr>
      <w:r>
        <w:rPr>
          <w:b/>
        </w:rPr>
        <w:t>REPRESENTATIONS AND WARRANTIES</w:t>
      </w:r>
    </w:p>
    <w:p>
      <w:pPr>
        <w:pStyle w:val="TextBody"/>
        <w:spacing w:before="0" w:after="0"/>
        <w:ind w:left="0" w:right="0" w:hanging="0"/>
        <w:jc w:val="both"/>
        <w:rPr/>
      </w:pPr>
      <w:r>
        <w:rPr/>
      </w:r>
    </w:p>
    <w:p>
      <w:pPr>
        <w:pStyle w:val="TextBody"/>
        <w:spacing w:before="0" w:after="0"/>
        <w:ind w:left="0" w:right="0" w:hanging="30"/>
        <w:jc w:val="both"/>
        <w:rPr/>
      </w:pPr>
      <w:r>
        <w:rPr>
          <w:u w:val="single"/>
        </w:rPr>
        <w:t>Representations and Warranties of the Company</w:t>
      </w:r>
      <w:r>
        <w:rPr/>
        <w:t>. Except as set forth in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each Purchaser:</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914400" cy="175260"/>
                <wp:effectExtent l="0" t="0" r="0" b="0"/>
                <wp:wrapSquare wrapText="largest"/>
                <wp:docPr id="23" name="Frame23"/>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3.1</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3.1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Subsidiaries</w:t>
      </w:r>
      <w:r>
        <w:rPr/>
        <w:t xml:space="preserve">.  All of the direct and indirect subsidiaries of the Company are set forth on </w:t>
      </w:r>
      <w:r>
        <w:rPr>
          <w:u w:val="single"/>
        </w:rPr>
        <w:t>Schedule 3.1(a)</w:t>
      </w:r>
      <w:r>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1371600" cy="175260"/>
                <wp:effectExtent l="0" t="0" r="0" b="0"/>
                <wp:wrapSquare wrapText="largest"/>
                <wp:docPr id="24" name="Frame24"/>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Organization and Qualification</w:t>
      </w:r>
      <w:r>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u w:val="single"/>
        </w:rPr>
        <w:t>Material Adverse Effect</w:t>
      </w:r>
      <w:r>
        <w:rPr/>
        <w:t>) and no Proceeding has been instituted in any such jurisdiction revoking, limiting or curtailing or seeking to revoke, limit or curtail such power and authority or qualification.</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1371600" cy="175260"/>
                <wp:effectExtent l="0" t="0" r="0" b="0"/>
                <wp:wrapSquare wrapText="largest"/>
                <wp:docPr id="25" name="Frame25"/>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Authorization; Enforcement</w:t>
      </w:r>
      <w:r>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each of this Agreement and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1371600" cy="175260"/>
                <wp:effectExtent l="0" t="0" r="0" b="0"/>
                <wp:wrapSquare wrapText="largest"/>
                <wp:docPr id="26" name="Frame26"/>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(c)</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(c)</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No Conflicts</w:t>
      </w:r>
      <w:r>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1371600" cy="175260"/>
                <wp:effectExtent l="0" t="0" r="0" b="0"/>
                <wp:wrapSquare wrapText="largest"/>
                <wp:docPr id="27" name="Frame27"/>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(d)</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center"/>
        <w:rPr/>
      </w:pPr>
      <w:r>
        <w:rPr/>
        <w:t>5</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30"/>
        <w:jc w:val="both"/>
        <w:rPr/>
      </w:pPr>
      <w:r>
        <w:rPr>
          <w:u w:val="single"/>
        </w:rPr>
        <w:t>Filings, Consents and Approvals</w:t>
      </w:r>
      <w:r>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notice and/or application(s) to each applicable Trading Market for the issuance and sale of the Securities and the listing of the Shares and Warrant Shares for trading thereon in the time and manner required thereby and (iii) the filing of Form D with the Commission and such filings as are required to be made under applicable state securities laws (collectively, the </w:t>
      </w:r>
      <w:r>
        <w:rPr>
          <w:u w:val="single"/>
        </w:rPr>
        <w:t>Required Approvals</w:t>
      </w:r>
      <w:r>
        <w:rPr/>
        <w:t>).</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1371600" cy="175260"/>
                <wp:effectExtent l="0" t="0" r="0" b="0"/>
                <wp:wrapSquare wrapText="largest"/>
                <wp:docPr id="28" name="Frame28"/>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(e)</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(e)</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Issuance of the Securities</w:t>
      </w:r>
      <w:r>
        <w:rPr/>
        <w:t>.  The Securities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The Warrant Shares, when issued in accordance with the terms of the Transaction Documents, will be validly issued, fully paid and nonassessable, free and clear of all Liens imposed by the Company other than restrictions on transfer provided for in the Transaction Documents.  The Company has reserved from its duly authorized capital stock the maximum number of shares of Common Stock issuable pursuant to this Agreement and the Warrants.</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1371600" cy="175260"/>
                <wp:effectExtent l="0" t="0" r="0" b="0"/>
                <wp:wrapSquare wrapText="largest"/>
                <wp:docPr id="29" name="Frame29"/>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(f)</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(f)</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Capitalization</w:t>
      </w:r>
      <w:r>
        <w:rPr/>
        <w:t xml:space="preserve">.  The capitalization of the Company is as set forth on </w:t>
      </w:r>
      <w:r>
        <w:rPr>
          <w:u w:val="single"/>
        </w:rPr>
        <w:t>Schedule 3.1(g)</w:t>
      </w:r>
      <w:r>
        <w:rPr/>
        <w:t xml:space="preserve">, which </w:t>
      </w:r>
      <w:r>
        <w:rPr>
          <w:u w:val="single"/>
        </w:rPr>
        <w:t>Schedule 3.1(g)</w:t>
      </w:r>
      <w:r>
        <w:rPr/>
        <w:t xml:space="preserve"> shall also include the number of shares of Common Stock owned beneficially, and of record, by Affiliates of the Company as of the date hereof. The Company has not issued any capital stock since its most recently filed current report or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current report or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contracts, commitments, understandings or arrangements by which the Company or any Subsidiary is or may become bound to issue additional shares of Common Stock or Common Stock Equivalents.  The issuance and sale of the Securities will not obligate the Company to issue shares of Common Stock or other securities to any Person (other than the Purchasers) and will not result in a right of any holder of Company securities to adjust the exercise, conversion, exchange or reset price under any of such securities.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1371600" cy="175260"/>
                <wp:effectExtent l="0" t="0" r="0" b="0"/>
                <wp:wrapSquare wrapText="largest"/>
                <wp:docPr id="30" name="Frame30"/>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(g)</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(g)</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SEC Reports; Financial Statements</w:t>
      </w:r>
      <w:r>
        <w:rPr/>
        <w:t xml:space="preserve">.  Except as set forth on </w:t>
      </w:r>
      <w:r>
        <w:rPr>
          <w:u w:val="single"/>
        </w:rPr>
        <w:t>Schedule 3.1(h)</w:t>
      </w:r>
      <w:r>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u w:val="single"/>
        </w:rPr>
        <w:t>SEC Reports</w:t>
      </w:r>
      <w:r>
        <w:rPr/>
        <w: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u w:val="single"/>
        </w:rPr>
        <w:t>GAAP</w:t>
      </w:r>
      <w:r>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1371600" cy="175260"/>
                <wp:effectExtent l="0" t="0" r="0" b="0"/>
                <wp:wrapSquare wrapText="largest"/>
                <wp:docPr id="31" name="Frame31"/>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(h)</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(h)</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center"/>
        <w:rPr/>
      </w:pPr>
      <w:r>
        <w:rPr/>
        <w:t>6</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30"/>
        <w:jc w:val="both"/>
        <w:rPr/>
      </w:pPr>
      <w:r>
        <w:rPr>
          <w:u w:val="single"/>
        </w:rPr>
        <w:t>Material Changes; Undisclosed Events, Liabilities or Developments</w:t>
      </w:r>
      <w:r>
        <w:rPr/>
        <w:t xml:space="preserve">.  Since the date of the latest audited financial statements included within the SEC Reports, except as specifically disclosed in a subsequent SEC Report filed prior to the date hereof: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Except for the issuance of the Securities contemplated by this Agreement or as set forth on </w:t>
      </w:r>
      <w:r>
        <w:rPr>
          <w:u w:val="single"/>
        </w:rPr>
        <w:t>Schedule 3.1(i)</w:t>
      </w:r>
      <w:r>
        <w:rPr/>
        <w:t>, no event, liability, fact, circumstance, occurrence or development has occurred or exists, or is reasonably expected to occur or exist, with respect to the Company or its Subsidiaries or their respective businesses,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1371600" cy="175260"/>
                <wp:effectExtent l="0" t="0" r="0" b="0"/>
                <wp:wrapSquare wrapText="largest"/>
                <wp:docPr id="32" name="Frame32"/>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(i)</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(i)</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Litigation</w:t>
      </w:r>
      <w:r>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u w:val="single"/>
        </w:rPr>
        <w:t>Action</w:t>
      </w:r>
      <w:r>
        <w:rPr/>
        <w:t>) which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  </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1371600" cy="175260"/>
                <wp:effectExtent l="0" t="0" r="0" b="0"/>
                <wp:wrapSquare wrapText="largest"/>
                <wp:docPr id="33" name="Frame33"/>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(j)</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(j)</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Labor Relations</w:t>
      </w:r>
      <w:r>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1371600" cy="175260"/>
                <wp:effectExtent l="0" t="0" r="0" b="0"/>
                <wp:wrapSquare wrapText="largest"/>
                <wp:docPr id="34" name="Frame34"/>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(k)</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(k)</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Compliance</w:t>
      </w:r>
      <w:r>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1371600" cy="175260"/>
                <wp:effectExtent l="0" t="0" r="0" b="0"/>
                <wp:wrapSquare wrapText="largest"/>
                <wp:docPr id="35" name="Frame35"/>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(l)</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(l)</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Regulatory Permits</w:t>
      </w:r>
      <w:r>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u w:val="single"/>
        </w:rPr>
        <w:t>Material Permits</w:t>
      </w:r>
      <w:r>
        <w:rPr/>
        <w:t>), and neither the Company nor any Subsidiary has received any notice of proceedings relating to the revocation or modification of any Material Permit.</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1371600" cy="175260"/>
                <wp:effectExtent l="0" t="0" r="0" b="0"/>
                <wp:wrapSquare wrapText="largest"/>
                <wp:docPr id="36" name="Frame36"/>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(m)</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(m)</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pPr>
      <w:r>
        <w:rPr/>
        <w:t>7</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30"/>
        <w:jc w:val="both"/>
        <w:rPr/>
      </w:pPr>
      <w:r>
        <w:rPr>
          <w:u w:val="single"/>
        </w:rPr>
        <w:t>Title to Assets</w:t>
      </w:r>
      <w:r>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1371600" cy="175260"/>
                <wp:effectExtent l="0" t="0" r="0" b="0"/>
                <wp:wrapSquare wrapText="largest"/>
                <wp:docPr id="37" name="Frame37"/>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(n)</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(n)</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Intellectual Property</w:t>
      </w:r>
      <w:r>
        <w:rPr/>
        <w:t>.  The Company and the Subsidiaries have, or have rights to use, all patents, patent applications, trademarks, trademark applications, service marks, trade names, trade secrets, inventions, copyrights, licenses and other intellectual property rights and similar rights as described in the SEC Reports as necessary or required for use in connection with their respective businesses and which the failure to so have could have a Material Adverse Effect (collectively, the </w:t>
      </w:r>
      <w:r>
        <w:rPr>
          <w:u w:val="single"/>
        </w:rPr>
        <w:t>Intellectual Property Rights</w:t>
      </w:r>
      <w:r>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1371600" cy="175260"/>
                <wp:effectExtent l="0" t="0" r="0" b="0"/>
                <wp:wrapSquare wrapText="largest"/>
                <wp:docPr id="38" name="Frame38"/>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(o)</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(o)</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Insurance</w:t>
      </w:r>
      <w:r>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1371600" cy="175260"/>
                <wp:effectExtent l="0" t="0" r="0" b="0"/>
                <wp:wrapSquare wrapText="largest"/>
                <wp:docPr id="39" name="Frame39"/>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(p)</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(p)</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Transactions With Affiliates and Employees</w:t>
      </w:r>
      <w:r>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1371600" cy="175260"/>
                <wp:effectExtent l="0" t="0" r="0" b="0"/>
                <wp:wrapSquare wrapText="largest"/>
                <wp:docPr id="40" name="Frame40"/>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(q)</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(q)</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Sarbanes-Oxley; Internal Accounting Controls</w:t>
      </w:r>
      <w:r>
        <w:rPr/>
        <w:t>.  The Company and the Subsidiaries are in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Companys certifying officers have evaluated the effectiveness of the disclosure controls and procedures of the Company and the Subsidiaries as of the end of the period covered by the most recently filed periodic report under the Exchange Act (such date, the </w:t>
      </w:r>
      <w:r>
        <w:rPr>
          <w:u w:val="single"/>
        </w:rPr>
        <w:t>Evaluation Date</w:t>
      </w:r>
      <w:r>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adversely materially affected, or are reasonably likely to adversely materially affect, the internal control over financial reporting of the Company or its Subsidiaries.</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1371600" cy="175260"/>
                <wp:effectExtent l="0" t="0" r="0" b="0"/>
                <wp:wrapSquare wrapText="largest"/>
                <wp:docPr id="41" name="Frame41"/>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(r)</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(r)</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center"/>
        <w:rPr/>
      </w:pPr>
      <w:r>
        <w:rPr/>
        <w:t>8</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30"/>
        <w:jc w:val="both"/>
        <w:rPr/>
      </w:pPr>
      <w:r>
        <w:rPr>
          <w:u w:val="single"/>
        </w:rPr>
        <w:t>Certain Fees</w:t>
      </w:r>
      <w:r>
        <w:rPr/>
        <w:t>.  Except for those fees that are payable to MDB Capital Group in connection with the transactions contemplated by this Agreement,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1371600" cy="175260"/>
                <wp:effectExtent l="0" t="0" r="0" b="0"/>
                <wp:wrapSquare wrapText="largest"/>
                <wp:docPr id="42" name="Frame42"/>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(s)</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(s)</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Private Placement</w:t>
      </w:r>
      <w:r>
        <w:rPr/>
        <w:t>. Assuming the accuracy of the Purchasers representations and warranties set forth in Section 3.2, no registration under the Securities Act is required for the offer and sale of the Securities by the Company to the Purchasers as contemplated hereby. The issuance and sale of the Securities hereunder does not contravene the rules and regulations of the Trading Market.</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1371600" cy="175260"/>
                <wp:effectExtent l="0" t="0" r="0" b="0"/>
                <wp:wrapSquare wrapText="largest"/>
                <wp:docPr id="43" name="Frame43"/>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(t)</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(t)</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Investment Company</w:t>
      </w:r>
      <w:r>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1371600" cy="175260"/>
                <wp:effectExtent l="0" t="0" r="0" b="0"/>
                <wp:wrapSquare wrapText="largest"/>
                <wp:docPr id="44" name="Frame44"/>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(u)</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(u)</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Registration Rights</w:t>
      </w:r>
      <w:r>
        <w:rPr/>
        <w:t>.  No Person has any right to cause the Company to effect the registration under the Securities Act of any securities of the Company or any Subsidiary.</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1371600" cy="175260"/>
                <wp:effectExtent l="0" t="0" r="0" b="0"/>
                <wp:wrapSquare wrapText="largest"/>
                <wp:docPr id="45" name="Frame45"/>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(v)</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(v)</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Listing and Maintenance Requirements</w:t>
      </w:r>
      <w:r>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Other than as disclosed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1371600" cy="175260"/>
                <wp:effectExtent l="0" t="0" r="0" b="0"/>
                <wp:wrapSquare wrapText="largest"/>
                <wp:docPr id="46" name="Frame46"/>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(w)</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(w)</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Application of Takeover Protections</w:t>
      </w:r>
      <w:r>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1371600" cy="175260"/>
                <wp:effectExtent l="0" t="0" r="0" b="0"/>
                <wp:wrapSquare wrapText="largest"/>
                <wp:docPr id="47" name="Frame47"/>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(x)</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(x)</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Disclosure</w:t>
      </w:r>
      <w:r>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and does not contain any untrue statement of a material fact or omit to state any material fact necessary in order to make the statements made therein, in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1371600" cy="175260"/>
                <wp:effectExtent l="0" t="0" r="0" b="0"/>
                <wp:wrapSquare wrapText="largest"/>
                <wp:docPr id="48" name="Frame48"/>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(y)</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(y)</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bookmarkStart w:id="5" w:name="_Toc449254780"/>
      <w:bookmarkStart w:id="6" w:name="_Toc430524909"/>
      <w:bookmarkEnd w:id="5"/>
      <w:bookmarkEnd w:id="6"/>
      <w:r>
        <w:rPr>
          <w:u w:val="single"/>
        </w:rPr>
        <w:t>No Integrated Offering</w:t>
      </w:r>
      <w:r>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w:t>
      </w:r>
      <w:r>
        <w:rPr>
          <w:u w:val="single"/>
        </w:rPr>
        <w:t xml:space="preserve"> </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1371600" cy="175260"/>
                <wp:effectExtent l="0" t="0" r="0" b="0"/>
                <wp:wrapSquare wrapText="largest"/>
                <wp:docPr id="49" name="Frame49"/>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(z)</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(z)</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center"/>
        <w:rPr/>
      </w:pPr>
      <w:r>
        <w:rPr/>
        <w:t>9</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30"/>
        <w:jc w:val="both"/>
        <w:rPr/>
      </w:pPr>
      <w:bookmarkStart w:id="7" w:name="_DV_C40"/>
      <w:bookmarkEnd w:id="7"/>
      <w:r>
        <w:rPr>
          <w:u w:val="single"/>
        </w:rPr>
        <w:t>Tax Status</w:t>
      </w:r>
      <w:r>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1371600" cy="175260"/>
                <wp:effectExtent l="0" t="0" r="0" b="0"/>
                <wp:wrapSquare wrapText="largest"/>
                <wp:docPr id="50" name="Frame50"/>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(aa)</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No General Solicitation</w:t>
      </w:r>
      <w:r>
        <w:rPr/>
        <w:t>.  Neither the Company nor any person acting on behalf of the Company has offered or sold any of the Securities by any form of general solicitation or general advertising.  The Company has offered the Securities for sale only to the Purchasers and certain other accredited investors within the meaning of Rule 501 under the Securities Act.</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1371600" cy="175260"/>
                <wp:effectExtent l="0" t="0" r="0" b="0"/>
                <wp:wrapSquare wrapText="largest"/>
                <wp:docPr id="51" name="Frame51"/>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(bb)</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Foreign Corrupt Practices.</w:t>
      </w:r>
      <w:r>
        <w:rPr/>
        <w:t xml:space="preserve">  Neither the Company nor any Subsidiary,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1371600" cy="175260"/>
                <wp:effectExtent l="0" t="0" r="0" b="0"/>
                <wp:wrapSquare wrapText="largest"/>
                <wp:docPr id="52" name="Frame52"/>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(cc)</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(cc)</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Accountants</w:t>
      </w:r>
      <w:r>
        <w:rPr/>
        <w:t xml:space="preserve">.  The Companys accounting firm is set forth on </w:t>
      </w:r>
      <w:r>
        <w:rPr>
          <w:u w:val="single"/>
        </w:rPr>
        <w:t>Schedule 3.1(dd)</w:t>
      </w:r>
      <w:r>
        <w:rPr/>
        <w:t xml:space="preserve"> of the Disclosure Schedules.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2012.</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1371600" cy="175260"/>
                <wp:effectExtent l="0" t="0" r="0" b="0"/>
                <wp:wrapSquare wrapText="largest"/>
                <wp:docPr id="53" name="Frame53"/>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(dd)</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(dd)</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u w:val="single"/>
        </w:rPr>
      </w:pPr>
      <w:r>
        <w:rPr>
          <w:u w:val="single"/>
        </w:rPr>
        <w:t>No Disagreements with Accountants and Lawyers.</w: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1371600" cy="175260"/>
                <wp:effectExtent l="0" t="0" r="0" b="0"/>
                <wp:wrapSquare wrapText="largest"/>
                <wp:docPr id="54" name="Frame54"/>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(ee)</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(ee)</w:t>
                      </w:r>
                    </w:p>
                  </w:txbxContent>
                </v:textbox>
                <w10:wrap type="square" side="right"/>
              </v:rect>
            </w:pict>
          </mc:Fallback>
        </mc:AlternateContent>
      </w:r>
    </w:p>
    <w:p>
      <w:pPr>
        <w:pStyle w:val="TextBody"/>
        <w:spacing w:before="0" w:after="0"/>
        <w:ind w:left="0" w:right="0" w:hanging="30"/>
        <w:jc w:val="both"/>
        <w:rPr/>
      </w:pPr>
      <w:r>
        <w:rPr/>
        <w:t xml:space="preserve">There are no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 </w:t>
      </w:r>
    </w:p>
    <w:p>
      <w:pPr>
        <w:pStyle w:val="TextBody"/>
        <w:spacing w:before="0" w:after="0"/>
        <w:ind w:left="0" w:right="0" w:hanging="0"/>
        <w:jc w:val="both"/>
        <w:rPr/>
      </w:pPr>
      <w:r>
        <w:rPr/>
      </w:r>
    </w:p>
    <w:p>
      <w:pPr>
        <w:pStyle w:val="TextBody"/>
        <w:spacing w:before="0" w:after="0"/>
        <w:ind w:left="0" w:right="0" w:hanging="30"/>
        <w:jc w:val="both"/>
        <w:rPr/>
      </w:pPr>
      <w:r>
        <w:rPr>
          <w:u w:val="single"/>
        </w:rPr>
        <w:t>Acknowledgment Regarding Purchasers Purchase of Securities</w:t>
      </w:r>
      <w:r>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1371600" cy="175260"/>
                <wp:effectExtent l="0" t="0" r="0" b="0"/>
                <wp:wrapSquare wrapText="largest"/>
                <wp:docPr id="55" name="Frame55"/>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(ff)</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(ff)</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 xml:space="preserve">Acknowledgment Regarding Purchasers Trading Activity. </w:t>
      </w:r>
      <w:r>
        <w:rPr/>
        <w:t> Anything in this Agreement or elsewhere herein to the contrary notwithstanding (except for Sections 3.2(f)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may presently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1371600" cy="175260"/>
                <wp:effectExtent l="0" t="0" r="0" b="0"/>
                <wp:wrapSquare wrapText="largest"/>
                <wp:docPr id="56" name="Frame56"/>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(gg)</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(gg)</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center"/>
        <w:rPr/>
      </w:pPr>
      <w:r>
        <w:rPr/>
        <w:t>10</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30"/>
        <w:jc w:val="both"/>
        <w:rPr/>
      </w:pPr>
      <w:r>
        <w:rPr>
          <w:u w:val="single"/>
        </w:rPr>
        <w:t>Regulation M Compliance.</w:t>
      </w:r>
      <w:r>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Companys placement agent in connection with the placement of the Securities.</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1371600" cy="175260"/>
                <wp:effectExtent l="0" t="0" r="0" b="0"/>
                <wp:wrapSquare wrapText="largest"/>
                <wp:docPr id="57" name="Frame57"/>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(hh)</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(hh)</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FDA</w:t>
      </w:r>
      <w:r>
        <w:rPr/>
        <w: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U.S. Food and Drug Administration (FDA) or any other governmental entity, which (i) imposes a clinical hold on any clinical investigation by the Company or any of its Subsidiaries, (ii) enters or proposes to enter into a consent decree of permanent injunction with the Company or any of its Subsidiaries, or (iii)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r>
        <mc:AlternateContent>
          <mc:Choice Requires="wps">
            <w:drawing>
              <wp:anchor behindDoc="0" distT="0" distB="0" distL="0" distR="0" simplePos="0" locked="0" layoutInCell="1" allowOverlap="1" relativeHeight="59">
                <wp:simplePos x="0" y="0"/>
                <wp:positionH relativeFrom="column">
                  <wp:align>left</wp:align>
                </wp:positionH>
                <wp:positionV relativeFrom="line">
                  <wp:posOffset>635</wp:posOffset>
                </wp:positionV>
                <wp:extent cx="1371600" cy="175260"/>
                <wp:effectExtent l="0" t="0" r="0" b="0"/>
                <wp:wrapSquare wrapText="largest"/>
                <wp:docPr id="58" name="Frame58"/>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(ii)</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(ii)</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Stock Option Plans</w:t>
      </w:r>
      <w:r>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1371600" cy="175260"/>
                <wp:effectExtent l="0" t="0" r="0" b="0"/>
                <wp:wrapSquare wrapText="largest"/>
                <wp:docPr id="59" name="Frame59"/>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(jj)</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(jj)</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firstLine="1440"/>
        <w:jc w:val="both"/>
        <w:rPr/>
      </w:pPr>
      <w:r>
        <w:rPr/>
        <w:t>(kk)</w:t>
      </w:r>
    </w:p>
    <w:p>
      <w:pPr>
        <w:pStyle w:val="TextBody"/>
        <w:spacing w:before="0" w:after="0"/>
        <w:ind w:left="0" w:right="0" w:hanging="30"/>
        <w:jc w:val="both"/>
        <w:rPr/>
      </w:pPr>
      <w:r>
        <w:rPr>
          <w:u w:val="single"/>
        </w:rPr>
        <w:t>Money Laundering</w:t>
      </w:r>
      <w:r>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u w:val="single"/>
        </w:rPr>
        <w:t>Money Laundering Laws</w:t>
      </w:r>
      <w:r>
        <w:rPr/>
        <w:t>), and no action, suit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spacing w:before="0" w:after="0"/>
        <w:ind w:left="0" w:right="0" w:hanging="0"/>
        <w:jc w:val="both"/>
        <w:rPr/>
      </w:pPr>
      <w:r>
        <w:rPr/>
      </w:r>
    </w:p>
    <w:p>
      <w:pPr>
        <w:pStyle w:val="TextBody"/>
        <w:spacing w:before="0" w:after="0"/>
        <w:ind w:left="0" w:right="0" w:hanging="30"/>
        <w:jc w:val="both"/>
        <w:rPr/>
      </w:pPr>
      <w:r>
        <w:rPr>
          <w:u w:val="single"/>
        </w:rPr>
        <w:t>Representations and Warranties of the Purchasers</w:t>
      </w:r>
      <w:r>
        <w:rPr/>
        <w:t>.  Each Purchaser, for itself and for no other Purchaser, hereby represents and warrants as of the date hereof and as of the Closing Date to the Company as follows (unless as of a specific date therein):</w: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914400" cy="175260"/>
                <wp:effectExtent l="0" t="0" r="0" b="0"/>
                <wp:wrapSquare wrapText="largest"/>
                <wp:docPr id="60" name="Frame60"/>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3.2</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3.2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Organization; Authority</w:t>
      </w:r>
      <w:r>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1371600" cy="175260"/>
                <wp:effectExtent l="0" t="0" r="0" b="0"/>
                <wp:wrapSquare wrapText="largest"/>
                <wp:docPr id="61" name="Frame61"/>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center"/>
        <w:rPr/>
      </w:pPr>
      <w:r>
        <w:rPr/>
        <w:t>11</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30"/>
        <w:jc w:val="both"/>
        <w:rPr/>
      </w:pPr>
      <w:r>
        <w:rPr>
          <w:u w:val="single"/>
        </w:rPr>
        <w:t>Own Account</w:t>
      </w:r>
      <w:r>
        <w:rPr/>
        <w:t>.  Such Purchaser understands that the Securities are restricted securities and have not been registered under the Securities Act or any applicable state securities law and is acquiring the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r>
        <mc:AlternateContent>
          <mc:Choice Requires="wps">
            <w:drawing>
              <wp:anchor behindDoc="0" distT="0" distB="0" distL="0" distR="0" simplePos="0" locked="0" layoutInCell="1" allowOverlap="1" relativeHeight="63">
                <wp:simplePos x="0" y="0"/>
                <wp:positionH relativeFrom="column">
                  <wp:align>left</wp:align>
                </wp:positionH>
                <wp:positionV relativeFrom="line">
                  <wp:posOffset>635</wp:posOffset>
                </wp:positionV>
                <wp:extent cx="1371600" cy="175260"/>
                <wp:effectExtent l="0" t="0" r="0" b="0"/>
                <wp:wrapSquare wrapText="largest"/>
                <wp:docPr id="62" name="Frame62"/>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Purchaser Status</w:t>
      </w:r>
      <w:r>
        <w:rPr/>
        <w:t>.  At the time such Purchaser was offered the Securities, it was, and as of the date hereof it is, and on each date on which it exercises any Warrants, it will be either: (i) an accredited investor as defined in Rule 501(a)(1), (a)(2), (a)(3), (a)(7) or (a)(8) under the Securities Act or (ii) a qualified institutional buyer as defined in Rule 144A(a) under the Securities Act.  Such Purchaser is not required to be registered as a broker-dealer under Section 15 of the Exchange Act.  </w: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1371600" cy="175260"/>
                <wp:effectExtent l="0" t="0" r="0" b="0"/>
                <wp:wrapSquare wrapText="largest"/>
                <wp:docPr id="63" name="Frame63"/>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(c)</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(c)</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Experience of Such Purchaser</w:t>
      </w:r>
      <w:r>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1371600" cy="175260"/>
                <wp:effectExtent l="0" t="0" r="0" b="0"/>
                <wp:wrapSquare wrapText="largest"/>
                <wp:docPr id="64" name="Frame64"/>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(d)</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General Solicitation</w:t>
      </w:r>
      <w:r>
        <w:rPr/>
        <w:t>.  Such Purchaser is not purchasing the Securities as a result of any advertisement, article, notice or other communication regarding the Securities published in any newspaper, magazine or similar media or broadcast over television or radio or presented at any seminar or any other general solicitation or general advertisement.</w:t>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1371600" cy="175260"/>
                <wp:effectExtent l="0" t="0" r="0" b="0"/>
                <wp:wrapSquare wrapText="largest"/>
                <wp:docPr id="65" name="Frame65"/>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(e)</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(e)</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bookmarkStart w:id="8" w:name="_DV_C18"/>
      <w:bookmarkEnd w:id="8"/>
      <w:r>
        <w:rPr>
          <w:u w:val="single"/>
        </w:rPr>
        <w:t>Certain Transactions and Confidentiality</w:t>
      </w:r>
      <w:r>
        <w:rPr/>
        <w:t>.  Other than consummating the transactions contemplated hereunder, such Purchaser has not directly or indirectly, nor has any Person acting on behalf of or pursuant to any understanding with such Purchaser,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w:t>
      </w:r>
      <w:bookmarkStart w:id="9" w:name="_DV_M122"/>
      <w:bookmarkEnd w:id="9"/>
      <w:r>
        <w:rPr/>
        <w:t>.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such Purchaser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r>
        <mc:AlternateContent>
          <mc:Choice Requires="wps">
            <w:drawing>
              <wp:anchor behindDoc="0" distT="0" distB="0" distL="0" distR="0" simplePos="0" locked="0" layoutInCell="1" allowOverlap="1" relativeHeight="67">
                <wp:simplePos x="0" y="0"/>
                <wp:positionH relativeFrom="column">
                  <wp:align>left</wp:align>
                </wp:positionH>
                <wp:positionV relativeFrom="line">
                  <wp:posOffset>635</wp:posOffset>
                </wp:positionV>
                <wp:extent cx="1371600" cy="175260"/>
                <wp:effectExtent l="0" t="0" r="0" b="0"/>
                <wp:wrapSquare wrapText="largest"/>
                <wp:docPr id="66" name="Frame66"/>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(f)</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(f)</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firstLine="2160"/>
        <w:jc w:val="both"/>
        <w:rPr/>
      </w:pPr>
      <w:r>
        <w:rPr/>
        <w:t>The Company acknowledges and agrees that the representations contained in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 contemplated hereby.</w:t>
      </w:r>
    </w:p>
    <w:p>
      <w:pPr>
        <w:pStyle w:val="TextBody"/>
        <w:spacing w:before="0" w:after="0"/>
        <w:ind w:left="0" w:right="0" w:hanging="0"/>
        <w:rPr/>
      </w:pPr>
      <w:r>
        <w:rPr/>
      </w:r>
    </w:p>
    <w:p>
      <w:pPr>
        <w:pStyle w:val="TextBody"/>
        <w:spacing w:before="0" w:after="0"/>
        <w:ind w:left="0" w:right="0" w:hanging="0"/>
        <w:jc w:val="center"/>
        <w:rPr>
          <w:b/>
        </w:rPr>
      </w:pPr>
      <w:r>
        <w:rPr>
          <w:b/>
        </w:rPr>
        <w:t>ARTICLE IV.</w:t>
      </w:r>
    </w:p>
    <w:p>
      <w:pPr>
        <w:pStyle w:val="TextBody"/>
        <w:spacing w:before="0" w:after="0"/>
        <w:ind w:left="0" w:right="0" w:hanging="0"/>
        <w:jc w:val="center"/>
        <w:rPr/>
      </w:pPr>
      <w:r>
        <w:rPr/>
      </w:r>
    </w:p>
    <w:p>
      <w:pPr>
        <w:pStyle w:val="TextBody"/>
        <w:spacing w:before="0" w:after="0"/>
        <w:ind w:left="0" w:right="0" w:hanging="0"/>
        <w:jc w:val="center"/>
        <w:rPr>
          <w:b/>
        </w:rPr>
      </w:pPr>
      <w:r>
        <w:rPr>
          <w:b/>
        </w:rPr>
        <w:t>OTHER AGREEMENTS OF THE PARTIES</w:t>
      </w:r>
    </w:p>
    <w:p>
      <w:pPr>
        <w:pStyle w:val="TextBody"/>
        <w:spacing w:before="0" w:after="0"/>
        <w:ind w:left="0" w:right="0" w:hanging="0"/>
        <w:jc w:val="center"/>
        <w:rPr/>
      </w:pPr>
      <w:r>
        <w:rPr/>
      </w:r>
    </w:p>
    <w:p>
      <w:pPr>
        <w:pStyle w:val="TextBody"/>
        <w:spacing w:before="0" w:after="0"/>
        <w:ind w:left="0" w:right="0" w:hanging="30"/>
        <w:jc w:val="both"/>
        <w:rPr/>
      </w:pPr>
      <w:r>
        <w:rPr>
          <w:u w:val="single"/>
        </w:rPr>
        <w:t>Transfer Restrictions</w:t>
      </w:r>
      <w:r>
        <w:rPr/>
        <w:t>.  </w:t>
      </w:r>
      <w:r>
        <mc:AlternateContent>
          <mc:Choice Requires="wps">
            <w:drawing>
              <wp:anchor behindDoc="0" distT="0" distB="0" distL="0" distR="0" simplePos="0" locked="0" layoutInCell="1" allowOverlap="1" relativeHeight="68">
                <wp:simplePos x="0" y="0"/>
                <wp:positionH relativeFrom="column">
                  <wp:align>left</wp:align>
                </wp:positionH>
                <wp:positionV relativeFrom="line">
                  <wp:posOffset>635</wp:posOffset>
                </wp:positionV>
                <wp:extent cx="914400" cy="175260"/>
                <wp:effectExtent l="0" t="0" r="0" b="0"/>
                <wp:wrapSquare wrapText="largest"/>
                <wp:docPr id="67" name="Frame67"/>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4.1</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4.1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 xml:space="preserve">The Securities may only be disposed of in compliance with state and federal securities laws.  In connection with any transfer of Securities,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shall have the rights and obligations of a Purchaser under this Agreement. </w:t>
      </w:r>
      <w:r>
        <mc:AlternateContent>
          <mc:Choice Requires="wps">
            <w:drawing>
              <wp:anchor behindDoc="0" distT="0" distB="0" distL="0" distR="0" simplePos="0" locked="0" layoutInCell="1" allowOverlap="1" relativeHeight="69">
                <wp:simplePos x="0" y="0"/>
                <wp:positionH relativeFrom="column">
                  <wp:align>left</wp:align>
                </wp:positionH>
                <wp:positionV relativeFrom="line">
                  <wp:posOffset>635</wp:posOffset>
                </wp:positionV>
                <wp:extent cx="1371600" cy="175260"/>
                <wp:effectExtent l="0" t="0" r="0" b="0"/>
                <wp:wrapSquare wrapText="largest"/>
                <wp:docPr id="68" name="Frame68"/>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center"/>
        <w:rPr/>
      </w:pPr>
      <w:r>
        <w:rPr/>
        <w:t>12</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30"/>
        <w:jc w:val="both"/>
        <w:rPr/>
      </w:pPr>
      <w:r>
        <w:rPr/>
        <w:t>The Purchasers agree to the imprinting, so long as is required by this Section 4.1, of a legend on any of the Securities in the following form:</w:t>
      </w:r>
      <w:r>
        <mc:AlternateContent>
          <mc:Choice Requires="wps">
            <w:drawing>
              <wp:anchor behindDoc="0" distT="0" distB="0" distL="0" distR="0" simplePos="0" locked="0" layoutInCell="1" allowOverlap="1" relativeHeight="70">
                <wp:simplePos x="0" y="0"/>
                <wp:positionH relativeFrom="column">
                  <wp:align>left</wp:align>
                </wp:positionH>
                <wp:positionV relativeFrom="line">
                  <wp:posOffset>635</wp:posOffset>
                </wp:positionV>
                <wp:extent cx="1371600" cy="175260"/>
                <wp:effectExtent l="0" t="0" r="0" b="0"/>
                <wp:wrapSquare wrapText="largest"/>
                <wp:docPr id="69" name="Frame69"/>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firstLine="720"/>
        <w:jc w:val="both"/>
        <w:rPr/>
      </w:pPr>
      <w:r>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w:t>
      </w:r>
    </w:p>
    <w:p>
      <w:pPr>
        <w:pStyle w:val="TextBody"/>
        <w:spacing w:before="0" w:after="0"/>
        <w:ind w:left="0" w:right="0" w:hanging="0"/>
        <w:jc w:val="both"/>
        <w:rPr/>
      </w:pPr>
      <w:r>
        <w:rPr/>
      </w:r>
    </w:p>
    <w:p>
      <w:pPr>
        <w:pStyle w:val="TextBody"/>
        <w:spacing w:before="0" w:after="0"/>
        <w:ind w:left="0" w:right="0" w:firstLine="720"/>
        <w:jc w:val="both"/>
        <w:rPr/>
      </w:pPr>
      <w:r>
        <w:rPr/>
        <w:t>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who agrees to be bound by the provisions of this Agreement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w:t>
      </w:r>
    </w:p>
    <w:p>
      <w:pPr>
        <w:pStyle w:val="TextBody"/>
        <w:spacing w:before="0" w:after="0"/>
        <w:ind w:left="0" w:right="0" w:hanging="0"/>
        <w:jc w:val="both"/>
        <w:rPr/>
      </w:pPr>
      <w:r>
        <w:rPr/>
      </w:r>
    </w:p>
    <w:p>
      <w:pPr>
        <w:pStyle w:val="TextBody"/>
        <w:spacing w:before="0" w:after="0"/>
        <w:ind w:left="0" w:right="0" w:hanging="30"/>
        <w:jc w:val="both"/>
        <w:rPr/>
      </w:pPr>
      <w:r>
        <w:rPr/>
        <w:t>Certificates evidencing the Shares and Warrant Shares shall not contain any legend (including the legend set forth in Section 4.1(b) hereof), (i) following any sale of such Shares or Warrant Shares pursuant to Rule 144, (ii) if such Shares or Warrant Shares are eligible for sale under Rule 144, without the requirement for the Company to be in compliance with the current public information required under Rule 144 as to such Shares and Warrant Shares and without volume or manner-of-sale restrictions, or (iii) if such legend is not required under applicable requirements of the Securities Act (including judicial interpretations and pronouncements issued by the staff of the Commission).  If such Shares or Warrant Shares may be sold under Rule 144 and the Company is then in compliance with the current public information required under Rule 144, or if the Shares or Warrant Shares may be sold under Rule 144 without the requirement for the Company to be in compliance with the current public information required under Rule 144 as to such Shares or Warrant Shares or if such legend is not otherwise required under applicable requirements of the Securities Act (including judicial interpretations and pronouncements issued by the staff of the Commission) then such Warrant Shares shall be issued free of all legends. The Company agrees that at such time as such legend is no longer required under this Section 4.1(c), it will, no later than three Trading Days following the delivery by a Purchaser to the Company or notice of the delivery by a purchaser to the Transfer Agent of a certificate representing Shares or Warrant Shares, as the case may be, issued with a restrictive legend (such third Trading Day, the </w:t>
      </w:r>
      <w:r>
        <w:rPr>
          <w:u w:val="single"/>
        </w:rPr>
        <w:t>Legend Removal Date</w:t>
      </w:r>
      <w:r>
        <w:rPr/>
        <w:t>), together with any customary and reasonable documentation as the Company and/or the Transfer Agent may reasonably require,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Section 4.  Certificates for Securities subject to legend removal hereunder shall be transmitted by the Transfer Agent to the Purchaser by crediting the account of the Purchasers prime broker with the Depository Trust Company System as directed by such Purchaser.</w:t>
      </w:r>
      <w:r>
        <mc:AlternateContent>
          <mc:Choice Requires="wps">
            <w:drawing>
              <wp:anchor behindDoc="0" distT="0" distB="0" distL="0" distR="0" simplePos="0" locked="0" layoutInCell="1" allowOverlap="1" relativeHeight="71">
                <wp:simplePos x="0" y="0"/>
                <wp:positionH relativeFrom="column">
                  <wp:align>left</wp:align>
                </wp:positionH>
                <wp:positionV relativeFrom="line">
                  <wp:posOffset>635</wp:posOffset>
                </wp:positionV>
                <wp:extent cx="1371600" cy="175260"/>
                <wp:effectExtent l="0" t="0" r="0" b="0"/>
                <wp:wrapSquare wrapText="largest"/>
                <wp:docPr id="70" name="Frame70"/>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(c)</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(c)</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Each Purchaser, severally and not jointly with the other Purchasers, agrees with the Company that such Purchaser will sell any Securities pursuant to either the registration requirements of the Securities Act, including any applicable prospectus delivery requirements, or an exemption therefrom, and acknowledges that the removal of the restrictive legend from certificates representing Securities as set forth in this Section 4.1 is predicated upon the Companys reliance upon this understanding.</w:t>
      </w:r>
      <w:r>
        <mc:AlternateContent>
          <mc:Choice Requires="wps">
            <w:drawing>
              <wp:anchor behindDoc="0" distT="0" distB="0" distL="0" distR="0" simplePos="0" locked="0" layoutInCell="1" allowOverlap="1" relativeHeight="72">
                <wp:simplePos x="0" y="0"/>
                <wp:positionH relativeFrom="column">
                  <wp:align>left</wp:align>
                </wp:positionH>
                <wp:positionV relativeFrom="line">
                  <wp:posOffset>635</wp:posOffset>
                </wp:positionV>
                <wp:extent cx="1371600" cy="175260"/>
                <wp:effectExtent l="0" t="0" r="0" b="0"/>
                <wp:wrapSquare wrapText="largest"/>
                <wp:docPr id="71" name="Frame71"/>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(d)</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Furnishing of Information; Public Information</w:t>
      </w:r>
      <w:r>
        <w:rPr/>
        <w:t>.  </w:t>
      </w:r>
      <w:r>
        <mc:AlternateContent>
          <mc:Choice Requires="wps">
            <w:drawing>
              <wp:anchor behindDoc="0" distT="0" distB="0" distL="0" distR="0" simplePos="0" locked="0" layoutInCell="1" allowOverlap="1" relativeHeight="73">
                <wp:simplePos x="0" y="0"/>
                <wp:positionH relativeFrom="column">
                  <wp:align>left</wp:align>
                </wp:positionH>
                <wp:positionV relativeFrom="line">
                  <wp:posOffset>635</wp:posOffset>
                </wp:positionV>
                <wp:extent cx="914400" cy="175260"/>
                <wp:effectExtent l="0" t="0" r="0" b="0"/>
                <wp:wrapSquare wrapText="largest"/>
                <wp:docPr id="72" name="Frame72"/>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4.2</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4.2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If the Common Stock is not registered under Section 12(b) or 12(g) of the Exchange Act on the date hereof, the Company agrees to cause the Common Stock to be registered under Section 12(g) of the Exchange Act on or before the 60</w:t>
      </w:r>
      <w:r>
        <w:rPr>
          <w:position w:val="8"/>
          <w:sz w:val="19"/>
        </w:rPr>
        <w:t>th</w:t>
      </w:r>
      <w:r>
        <w:rPr/>
        <w:t xml:space="preserve"> calendar day following the date hereof. Until the earliest of the time that (i) no Purchaser owns Securities or (ii) the Warrants have expired, the Company covenants to maintain the registration of the Common Stock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r>
        <mc:AlternateContent>
          <mc:Choice Requires="wps">
            <w:drawing>
              <wp:anchor behindDoc="0" distT="0" distB="0" distL="0" distR="0" simplePos="0" locked="0" layoutInCell="1" allowOverlap="1" relativeHeight="74">
                <wp:simplePos x="0" y="0"/>
                <wp:positionH relativeFrom="column">
                  <wp:align>left</wp:align>
                </wp:positionH>
                <wp:positionV relativeFrom="line">
                  <wp:posOffset>635</wp:posOffset>
                </wp:positionV>
                <wp:extent cx="1371600" cy="175260"/>
                <wp:effectExtent l="0" t="0" r="0" b="0"/>
                <wp:wrapSquare wrapText="largest"/>
                <wp:docPr id="73" name="Frame73"/>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center"/>
        <w:rPr/>
      </w:pPr>
      <w:r>
        <w:rPr/>
        <w:t>13</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30"/>
        <w:jc w:val="both"/>
        <w:rPr/>
      </w:pPr>
      <w:r>
        <w:rPr/>
        <w:t>At any time during the period commencing from the six (6) month anniversary of the date hereof and ending at such time that all of the Securities may be sold without the requirement for the Company to be in compliance with Rule 144(c)(1) and otherwise without restriction or limitation pursuant to Rule 144, if the Company shall fail for any reason to satisfy the current public information requirement under Rule 144(c) (a </w:t>
      </w:r>
      <w:r>
        <w:rPr>
          <w:u w:val="single"/>
        </w:rPr>
        <w:t>Public Information Failure</w:t>
      </w:r>
      <w:r>
        <w:rPr/>
        <w:t>) then, in addition to such Purchasers other available remedies, the Company shall, upon notice from Purchaser pay to a Purchaser, in cash, as partial liquidated damages and not as a penalty, by reason of any such delay in or reduction of its ability to sell the Securities, an amount in cash equal to one percent (1.0%) of the aggregate Subscription Amount of such Purchasers Securities then held by Purchaser on the day of a Public Information Failure and on every thirtieth (30</w:t>
      </w:r>
      <w:r>
        <w:rPr>
          <w:position w:val="8"/>
          <w:sz w:val="19"/>
        </w:rPr>
        <w:t>th</w:t>
      </w:r>
      <w:r>
        <w:rPr/>
        <w:t>) day (pro rated for periods totaling less than thirty days) thereafter until the earlier of (a) the date such Public Information Failure is cured and (b) such time that such public information is no longer required  for the Purchasers to transfer the Shares and Warrant Shares pursuant to Rule 144.  The payments to which a Purchaser shall be entitled pursuant to this Section 4.2(b) are referred to herein as </w:t>
      </w:r>
      <w:r>
        <w:rPr>
          <w:u w:val="single"/>
        </w:rPr>
        <w:t>Public Information Failure Payments</w:t>
      </w:r>
      <w:r>
        <w:rPr/>
        <w:t>.  Public Information Failure Payments shall be paid on the earlier of (i) the last day of the calendar month during which such Public Information Failure Payments are incurred and (ii) the third (3</w:t>
      </w:r>
      <w:r>
        <w:rPr>
          <w:position w:val="8"/>
          <w:sz w:val="19"/>
        </w:rPr>
        <w:t>rd</w:t>
      </w:r>
      <w:r>
        <w:rPr/>
        <w:t>) Business Day after the event or failure giving rise to the Public Information Failure Payments is cured.  In the event the Company fails to make Public Information Failure Payments in a timely manner, such Public Information Failure Payments shall bear interest at the rate of 1.0%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r>
        <mc:AlternateContent>
          <mc:Choice Requires="wps">
            <w:drawing>
              <wp:anchor behindDoc="0" distT="0" distB="0" distL="0" distR="0" simplePos="0" locked="0" layoutInCell="1" allowOverlap="1" relativeHeight="75">
                <wp:simplePos x="0" y="0"/>
                <wp:positionH relativeFrom="column">
                  <wp:align>left</wp:align>
                </wp:positionH>
                <wp:positionV relativeFrom="line">
                  <wp:posOffset>635</wp:posOffset>
                </wp:positionV>
                <wp:extent cx="1371600" cy="175260"/>
                <wp:effectExtent l="0" t="0" r="0" b="0"/>
                <wp:wrapSquare wrapText="largest"/>
                <wp:docPr id="74" name="Frame74"/>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Integration</w:t>
      </w:r>
      <w:r>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r>
        <w:rPr>
          <w:u w:val="single"/>
        </w:rPr>
        <w:t xml:space="preserve"> </w:t>
      </w:r>
      <w:r>
        <mc:AlternateContent>
          <mc:Choice Requires="wps">
            <w:drawing>
              <wp:anchor behindDoc="0" distT="0" distB="0" distL="0" distR="0" simplePos="0" locked="0" layoutInCell="1" allowOverlap="1" relativeHeight="76">
                <wp:simplePos x="0" y="0"/>
                <wp:positionH relativeFrom="column">
                  <wp:align>left</wp:align>
                </wp:positionH>
                <wp:positionV relativeFrom="line">
                  <wp:posOffset>635</wp:posOffset>
                </wp:positionV>
                <wp:extent cx="914400" cy="175260"/>
                <wp:effectExtent l="0" t="0" r="0" b="0"/>
                <wp:wrapSquare wrapText="largest"/>
                <wp:docPr id="75" name="Frame75"/>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4.3</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4.3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Securities Laws Disclosure; Publicity</w:t>
      </w:r>
      <w:r>
        <w:rPr/>
        <w:t>.  The Company shall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 connection with the transactions contemplated by the Transaction Documents.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(including signature pages thereto) and (b) to the extent such disclosure is required by law or Trading Market regulations, in which case the Company shall provide the Purchasers with prior notice of such disclosure permitted under this clause (b).</w: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914400" cy="175260"/>
                <wp:effectExtent l="0" t="0" r="0" b="0"/>
                <wp:wrapSquare wrapText="largest"/>
                <wp:docPr id="76" name="Frame76"/>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4.4</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4.4</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Shareholder Rights Plan</w:t>
      </w:r>
      <w:r>
        <w:rPr/>
        <w:t>.  No claim will be made or enforced by the Company or, with the consent of the Company, any other Person, that any Purchaser is an Acquiring Person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r>
        <mc:AlternateContent>
          <mc:Choice Requires="wps">
            <w:drawing>
              <wp:anchor behindDoc="0" distT="0" distB="0" distL="0" distR="0" simplePos="0" locked="0" layoutInCell="1" allowOverlap="1" relativeHeight="78">
                <wp:simplePos x="0" y="0"/>
                <wp:positionH relativeFrom="column">
                  <wp:align>left</wp:align>
                </wp:positionH>
                <wp:positionV relativeFrom="line">
                  <wp:posOffset>635</wp:posOffset>
                </wp:positionV>
                <wp:extent cx="914400" cy="175260"/>
                <wp:effectExtent l="0" t="0" r="0" b="0"/>
                <wp:wrapSquare wrapText="largest"/>
                <wp:docPr id="77" name="Frame77"/>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4.5</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4.5</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Non-Public Information</w:t>
      </w:r>
      <w:r>
        <w:rPr/>
        <w:t>.  Except with respect to the material terms and conditions of the transactions contemplated by the Transaction Documents, the Company covenants and agrees that neither it, nor any other Person acting on its behalf, will provide any Purchaser or its agents or counsel with any information that the Company believes constitutes material non-public information, unless prior thereto such Purchaser shall have entered into a written agreement with the Company regarding the confidentiality and use of such information.  The Company understands and confirms that each Purchaser shall be relying on the foregoing covenant in effecting transactions in securities of the Company.</w:t>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914400" cy="175260"/>
                <wp:effectExtent l="0" t="0" r="0" b="0"/>
                <wp:wrapSquare wrapText="largest"/>
                <wp:docPr id="78" name="Frame78"/>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4.6</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4.6</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Use of Proceeds</w:t>
      </w:r>
      <w:r>
        <w:rPr/>
        <w:t>.  The Company shall use the net proceeds from the sale of the Securities hereunder for general corporate purposes.</w:t>
      </w:r>
      <w:r>
        <mc:AlternateContent>
          <mc:Choice Requires="wps">
            <w:drawing>
              <wp:anchor behindDoc="0" distT="0" distB="0" distL="0" distR="0" simplePos="0" locked="0" layoutInCell="1" allowOverlap="1" relativeHeight="80">
                <wp:simplePos x="0" y="0"/>
                <wp:positionH relativeFrom="column">
                  <wp:align>left</wp:align>
                </wp:positionH>
                <wp:positionV relativeFrom="line">
                  <wp:posOffset>635</wp:posOffset>
                </wp:positionV>
                <wp:extent cx="914400" cy="175260"/>
                <wp:effectExtent l="0" t="0" r="0" b="0"/>
                <wp:wrapSquare wrapText="largest"/>
                <wp:docPr id="79" name="Frame79"/>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4.7</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4.7</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center"/>
        <w:rPr/>
      </w:pPr>
      <w:r>
        <w:rPr/>
        <w:t>14</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30"/>
        <w:jc w:val="both"/>
        <w:rPr/>
      </w:pPr>
      <w:r>
        <w:rPr>
          <w:u w:val="single"/>
        </w:rPr>
        <w:t>Indemnification of Purchasers</w:t>
      </w:r>
      <w:r>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u w:val="single"/>
        </w:rPr>
        <w:t>Purchaser Party</w:t>
      </w:r>
      <w:r>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Parties, with respect to any of the transactions contemplated by the Transaction Documents (unless such action is based upon a breach of such Purchaser Partys representations, warranties or covenants under the Transaction Documents or any agreements or understandings such Purchaser Parties may have with any such stockholder or any violations by such Purchaser Parties of state or federal securities laws or any conduct by such Purchaser Parties which constitutes fraud, gross negligence, willful misconduct or malfeasance).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w:t>
      </w:r>
      <w:bookmarkStart w:id="10" w:name="_Toc449254796"/>
      <w:bookmarkStart w:id="11" w:name="_Toc430524929"/>
      <w:bookmarkEnd w:id="10"/>
      <w:bookmarkEnd w:id="11"/>
      <w:r>
        <w:rPr/>
        <w:t xml:space="preserve">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r>
        <mc:AlternateContent>
          <mc:Choice Requires="wps">
            <w:drawing>
              <wp:anchor behindDoc="0" distT="0" distB="0" distL="0" distR="0" simplePos="0" locked="0" layoutInCell="1" allowOverlap="1" relativeHeight="81">
                <wp:simplePos x="0" y="0"/>
                <wp:positionH relativeFrom="column">
                  <wp:align>left</wp:align>
                </wp:positionH>
                <wp:positionV relativeFrom="line">
                  <wp:posOffset>635</wp:posOffset>
                </wp:positionV>
                <wp:extent cx="914400" cy="175260"/>
                <wp:effectExtent l="0" t="0" r="0" b="0"/>
                <wp:wrapSquare wrapText="largest"/>
                <wp:docPr id="80" name="Frame80"/>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4.8</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4.8</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Reservation of Common Stock</w:t>
      </w:r>
      <w:r>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r>
        <mc:AlternateContent>
          <mc:Choice Requires="wps">
            <w:drawing>
              <wp:anchor behindDoc="0" distT="0" distB="0" distL="0" distR="0" simplePos="0" locked="0" layoutInCell="1" allowOverlap="1" relativeHeight="82">
                <wp:simplePos x="0" y="0"/>
                <wp:positionH relativeFrom="column">
                  <wp:align>left</wp:align>
                </wp:positionH>
                <wp:positionV relativeFrom="line">
                  <wp:posOffset>635</wp:posOffset>
                </wp:positionV>
                <wp:extent cx="914400" cy="175260"/>
                <wp:effectExtent l="0" t="0" r="0" b="0"/>
                <wp:wrapSquare wrapText="largest"/>
                <wp:docPr id="81" name="Frame81"/>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4.9</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4.9</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L</w:t>
      </w:r>
      <w:bookmarkStart w:id="12" w:name="_Toc449254797"/>
      <w:bookmarkStart w:id="13" w:name="_Toc430524930"/>
      <w:bookmarkEnd w:id="12"/>
      <w:bookmarkEnd w:id="13"/>
      <w:r>
        <w:rPr>
          <w:u w:val="single"/>
        </w:rPr>
        <w:t>isting of Common Stock</w:t>
      </w:r>
      <w:r>
        <w:rPr/>
        <w:t>. The Company hereby agrees to use best efforts to maintain the listing or quotation of the Common Stock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or quotation and trading of its Common Stock on a Trading Market and will comply in all respects with the Companys reporting, filing and other obligations under the bylaws or rules of the Trading Market.</w:t>
      </w:r>
      <w:r>
        <mc:AlternateContent>
          <mc:Choice Requires="wps">
            <w:drawing>
              <wp:anchor behindDoc="0" distT="0" distB="0" distL="0" distR="0" simplePos="0" locked="0" layoutInCell="1" allowOverlap="1" relativeHeight="83">
                <wp:simplePos x="0" y="0"/>
                <wp:positionH relativeFrom="column">
                  <wp:align>left</wp:align>
                </wp:positionH>
                <wp:positionV relativeFrom="line">
                  <wp:posOffset>635</wp:posOffset>
                </wp:positionV>
                <wp:extent cx="914400" cy="175260"/>
                <wp:effectExtent l="0" t="0" r="0" b="0"/>
                <wp:wrapSquare wrapText="largest"/>
                <wp:docPr id="82" name="Frame82"/>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4.10</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4.10</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u w:val="single"/>
        </w:rPr>
      </w:pPr>
      <w:r>
        <w:rPr>
          <w:u w:val="single"/>
        </w:rPr>
        <w:t>[Intentionally omitted]  </w:t>
      </w:r>
      <w:r>
        <mc:AlternateContent>
          <mc:Choice Requires="wps">
            <w:drawing>
              <wp:anchor behindDoc="0" distT="0" distB="0" distL="0" distR="0" simplePos="0" locked="0" layoutInCell="1" allowOverlap="1" relativeHeight="84">
                <wp:simplePos x="0" y="0"/>
                <wp:positionH relativeFrom="column">
                  <wp:align>left</wp:align>
                </wp:positionH>
                <wp:positionV relativeFrom="line">
                  <wp:posOffset>635</wp:posOffset>
                </wp:positionV>
                <wp:extent cx="914400" cy="175260"/>
                <wp:effectExtent l="0" t="0" r="0" b="0"/>
                <wp:wrapSquare wrapText="largest"/>
                <wp:docPr id="83" name="Frame83"/>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4.11</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4.11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Equal Treatment of Purchasers</w:t>
      </w:r>
      <w:r>
        <w:rPr/>
        <w:t>.  No consideration (including any modification of any Transaction Document) shall be offered or paid to any Person to amend or consent to a waiver or modification of any provision of any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r>
        <mc:AlternateContent>
          <mc:Choice Requires="wps">
            <w:drawing>
              <wp:anchor behindDoc="0" distT="0" distB="0" distL="0" distR="0" simplePos="0" locked="0" layoutInCell="1" allowOverlap="1" relativeHeight="85">
                <wp:simplePos x="0" y="0"/>
                <wp:positionH relativeFrom="column">
                  <wp:align>left</wp:align>
                </wp:positionH>
                <wp:positionV relativeFrom="line">
                  <wp:posOffset>635</wp:posOffset>
                </wp:positionV>
                <wp:extent cx="914400" cy="175260"/>
                <wp:effectExtent l="0" t="0" r="0" b="0"/>
                <wp:wrapSquare wrapText="largest"/>
                <wp:docPr id="84" name="Frame84"/>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4.12</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4.12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center"/>
        <w:rPr/>
      </w:pPr>
      <w:r>
        <w:rPr/>
        <w:t>15</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30"/>
        <w:jc w:val="both"/>
        <w:rPr/>
      </w:pPr>
      <w:r>
        <w:rPr>
          <w:u w:val="single"/>
        </w:rPr>
        <w:t>Certain Transactions and Confidentiality</w:t>
      </w:r>
      <w:r>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Transaction Documents and the Disclosure Schedules.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to the Company or its Subsidiaries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r>
        <mc:AlternateContent>
          <mc:Choice Requires="wps">
            <w:drawing>
              <wp:anchor behindDoc="0" distT="0" distB="0" distL="0" distR="0" simplePos="0" locked="0" layoutInCell="1" allowOverlap="1" relativeHeight="86">
                <wp:simplePos x="0" y="0"/>
                <wp:positionH relativeFrom="column">
                  <wp:align>left</wp:align>
                </wp:positionH>
                <wp:positionV relativeFrom="line">
                  <wp:posOffset>635</wp:posOffset>
                </wp:positionV>
                <wp:extent cx="914400" cy="175260"/>
                <wp:effectExtent l="0" t="0" r="0" b="0"/>
                <wp:wrapSquare wrapText="largest"/>
                <wp:docPr id="85" name="Frame85"/>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4.13</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4.13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Form D; Blue Sky Filings</w:t>
      </w:r>
      <w:r>
        <w:rPr/>
        <w:t>.  The Company agrees to timely file a Form D with respect to the Securities as required under Regulation D and to provide a copy thereof, promptly upon request of any Purchaser. The Company shall take such action as the Company shall reasonably determine is necessary in order to obtain an exemption for, or to qualify the Securities for, sale to the Purchasers at the Closing under applicable securities or Blue Sky laws of the states of the United States, and shall provide evidence of such actions promptly upon request of any Purchaser.</w:t>
      </w:r>
      <w:r>
        <mc:AlternateContent>
          <mc:Choice Requires="wps">
            <w:drawing>
              <wp:anchor behindDoc="0" distT="0" distB="0" distL="0" distR="0" simplePos="0" locked="0" layoutInCell="1" allowOverlap="1" relativeHeight="87">
                <wp:simplePos x="0" y="0"/>
                <wp:positionH relativeFrom="column">
                  <wp:align>left</wp:align>
                </wp:positionH>
                <wp:positionV relativeFrom="line">
                  <wp:posOffset>635</wp:posOffset>
                </wp:positionV>
                <wp:extent cx="914400" cy="175260"/>
                <wp:effectExtent l="0" t="0" r="0" b="0"/>
                <wp:wrapSquare wrapText="largest"/>
                <wp:docPr id="86" name="Frame86"/>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4.14</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4.14</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Capital Changes</w:t>
      </w:r>
      <w:r>
        <w:rPr/>
        <w:t>.  Until the one year anniversary of the Effective Date, the Company shall not undertake a reverse or forward stock split or reclassification of the Common Stock without the prior written consent of the Purchasers holding a majority in interest of the Shares; provided however, that the Company may undertake a reverse split of the Common Stock at any time in order to satisfy the minimum market price requirement of a national securities market or exchange on which it intends to pursue listing.</w:t>
      </w:r>
      <w:r>
        <mc:AlternateContent>
          <mc:Choice Requires="wps">
            <w:drawing>
              <wp:anchor behindDoc="0" distT="0" distB="0" distL="0" distR="0" simplePos="0" locked="0" layoutInCell="1" allowOverlap="1" relativeHeight="88">
                <wp:simplePos x="0" y="0"/>
                <wp:positionH relativeFrom="column">
                  <wp:align>left</wp:align>
                </wp:positionH>
                <wp:positionV relativeFrom="line">
                  <wp:posOffset>635</wp:posOffset>
                </wp:positionV>
                <wp:extent cx="914400" cy="175260"/>
                <wp:effectExtent l="0" t="0" r="0" b="0"/>
                <wp:wrapSquare wrapText="largest"/>
                <wp:docPr id="87" name="Frame87"/>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4.15</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4.15</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Acknowledgment of Dilution</w:t>
      </w:r>
      <w:r>
        <w:rPr/>
        <w:t>.  The Company acknowledges that the issuance of the Securities may result in dilution of the outstanding shares of Common Stock, which dilution may be substantial under certain market conditions.  The Company further acknowledges that its obligations under the Transaction Documents, including, without limitation, its obligation to issue the Shares and Warrant Shares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w:t>
      </w:r>
      <w:r>
        <mc:AlternateContent>
          <mc:Choice Requires="wps">
            <w:drawing>
              <wp:anchor behindDoc="0" distT="0" distB="0" distL="0" distR="0" simplePos="0" locked="0" layoutInCell="1" allowOverlap="1" relativeHeight="89">
                <wp:simplePos x="0" y="0"/>
                <wp:positionH relativeFrom="column">
                  <wp:align>left</wp:align>
                </wp:positionH>
                <wp:positionV relativeFrom="line">
                  <wp:posOffset>635</wp:posOffset>
                </wp:positionV>
                <wp:extent cx="914400" cy="175260"/>
                <wp:effectExtent l="0" t="0" r="0" b="0"/>
                <wp:wrapSquare wrapText="largest"/>
                <wp:docPr id="88" name="Frame88"/>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4.16</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4.16</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center"/>
        <w:rPr>
          <w:b/>
        </w:rPr>
      </w:pPr>
      <w:r>
        <w:rPr>
          <w:b/>
        </w:rPr>
        <w:t>ARTICLE V.</w:t>
      </w:r>
    </w:p>
    <w:p>
      <w:pPr>
        <w:pStyle w:val="TextBody"/>
        <w:spacing w:before="0" w:after="0"/>
        <w:ind w:left="0" w:right="0" w:hanging="0"/>
        <w:jc w:val="center"/>
        <w:rPr/>
      </w:pPr>
      <w:r>
        <w:rPr/>
      </w:r>
    </w:p>
    <w:p>
      <w:pPr>
        <w:pStyle w:val="TextBody"/>
        <w:spacing w:before="0" w:after="0"/>
        <w:ind w:left="0" w:right="0" w:hanging="0"/>
        <w:jc w:val="center"/>
        <w:rPr>
          <w:b/>
        </w:rPr>
      </w:pPr>
      <w:r>
        <w:rPr>
          <w:b/>
        </w:rPr>
        <w:t>MISCELLANEOUS</w:t>
      </w:r>
    </w:p>
    <w:p>
      <w:pPr>
        <w:pStyle w:val="TextBody"/>
        <w:spacing w:before="0" w:after="0"/>
        <w:ind w:left="0" w:right="0" w:hanging="0"/>
        <w:jc w:val="center"/>
        <w:rPr/>
      </w:pPr>
      <w:r>
        <w:rPr/>
      </w:r>
    </w:p>
    <w:p>
      <w:pPr>
        <w:pStyle w:val="TextBody"/>
        <w:spacing w:before="0" w:after="0"/>
        <w:ind w:left="0" w:right="0" w:hanging="30"/>
        <w:jc w:val="both"/>
        <w:rPr/>
      </w:pPr>
      <w:r>
        <w:rPr>
          <w:u w:val="single"/>
        </w:rPr>
        <w:t>Termination</w:t>
      </w:r>
      <w:r>
        <w:rPr/>
        <w:t xml:space="preserve">.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April 20, 2012; </w:t>
      </w:r>
      <w:r>
        <w:rPr>
          <w:u w:val="single"/>
        </w:rPr>
        <w:t>provided</w:t>
      </w:r>
      <w:r>
        <w:rPr/>
        <w:t xml:space="preserve">, </w:t>
      </w:r>
      <w:r>
        <w:rPr>
          <w:u w:val="single"/>
        </w:rPr>
        <w:t>however</w:t>
      </w:r>
      <w:r>
        <w:rPr/>
        <w:t>, that such termination will not affect the right of any party to sue for any breach by any other party (or parties).</w:t>
      </w:r>
      <w:r>
        <mc:AlternateContent>
          <mc:Choice Requires="wps">
            <w:drawing>
              <wp:anchor behindDoc="0" distT="0" distB="0" distL="0" distR="0" simplePos="0" locked="0" layoutInCell="1" allowOverlap="1" relativeHeight="90">
                <wp:simplePos x="0" y="0"/>
                <wp:positionH relativeFrom="column">
                  <wp:align>left</wp:align>
                </wp:positionH>
                <wp:positionV relativeFrom="line">
                  <wp:posOffset>635</wp:posOffset>
                </wp:positionV>
                <wp:extent cx="914400" cy="175260"/>
                <wp:effectExtent l="0" t="0" r="0" b="0"/>
                <wp:wrapSquare wrapText="largest"/>
                <wp:docPr id="89" name="Frame89"/>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5.1</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5.1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Fees and Expenses</w:t>
      </w:r>
      <w:r>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914400" cy="175260"/>
                <wp:effectExtent l="0" t="0" r="0" b="0"/>
                <wp:wrapSquare wrapText="largest"/>
                <wp:docPr id="90" name="Frame90"/>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5.2</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5.2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Entire Agreement</w:t>
      </w:r>
      <w:r>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r>
        <mc:AlternateContent>
          <mc:Choice Requires="wps">
            <w:drawing>
              <wp:anchor behindDoc="0" distT="0" distB="0" distL="0" distR="0" simplePos="0" locked="0" layoutInCell="1" allowOverlap="1" relativeHeight="92">
                <wp:simplePos x="0" y="0"/>
                <wp:positionH relativeFrom="column">
                  <wp:align>left</wp:align>
                </wp:positionH>
                <wp:positionV relativeFrom="line">
                  <wp:posOffset>635</wp:posOffset>
                </wp:positionV>
                <wp:extent cx="914400" cy="175260"/>
                <wp:effectExtent l="0" t="0" r="0" b="0"/>
                <wp:wrapSquare wrapText="largest"/>
                <wp:docPr id="91" name="Frame91"/>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5.3</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5.3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center"/>
        <w:rPr/>
      </w:pPr>
      <w:r>
        <w:rPr/>
        <w:t>16</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30"/>
        <w:jc w:val="both"/>
        <w:rPr/>
      </w:pPr>
      <w:r>
        <w:rPr>
          <w:u w:val="single"/>
        </w:rPr>
        <w:t>Notices</w:t>
      </w:r>
      <w:r>
        <w:rPr/>
        <w:t>.  Any and all notices or other communications or deliveries required or permitted to be provided hereunder shall be in writing and shall be deemed given and effective on the earliest of: (a) the date of transmission, if such notice or communication is delivered via facsimile at the facsimile number set forth on the signature pages attached hereto at or prior to 5:30 p.m. (New York City time) on a Trading Day, (b) the next Trading Day after the date of transmission, if such notice or communication is delivered via facsimile at the facsimile number set forth on the signature pages attached hereto on a day that is not a Trading Day or later than 5:30 p.m. (New York City time) on any Trading Day, (c) the second (2</w:t>
      </w:r>
      <w:r>
        <w:rPr>
          <w:position w:val="8"/>
          <w:sz w:val="19"/>
        </w:rPr>
        <w:t>nd</w:t>
      </w:r>
      <w:r>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r>
        <mc:AlternateContent>
          <mc:Choice Requires="wps">
            <w:drawing>
              <wp:anchor behindDoc="0" distT="0" distB="0" distL="0" distR="0" simplePos="0" locked="0" layoutInCell="1" allowOverlap="1" relativeHeight="93">
                <wp:simplePos x="0" y="0"/>
                <wp:positionH relativeFrom="column">
                  <wp:align>left</wp:align>
                </wp:positionH>
                <wp:positionV relativeFrom="line">
                  <wp:posOffset>635</wp:posOffset>
                </wp:positionV>
                <wp:extent cx="914400" cy="175260"/>
                <wp:effectExtent l="0" t="0" r="0" b="0"/>
                <wp:wrapSquare wrapText="largest"/>
                <wp:docPr id="92" name="Frame92"/>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5.4</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5.4</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Amendments; Waivers</w:t>
      </w:r>
      <w:r>
        <w:rPr/>
        <w:t>.  No provision of this Agreement may be waived, modified, supplemented or amended except in a written instrument signed, in the case of an amendment, by the Company and the Purchasers holding at least a majority in interest of the Shares then outstanding or, in the case of a 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r>
        <mc:AlternateContent>
          <mc:Choice Requires="wps">
            <w:drawing>
              <wp:anchor behindDoc="0" distT="0" distB="0" distL="0" distR="0" simplePos="0" locked="0" layoutInCell="1" allowOverlap="1" relativeHeight="94">
                <wp:simplePos x="0" y="0"/>
                <wp:positionH relativeFrom="column">
                  <wp:align>left</wp:align>
                </wp:positionH>
                <wp:positionV relativeFrom="line">
                  <wp:posOffset>635</wp:posOffset>
                </wp:positionV>
                <wp:extent cx="914400" cy="175260"/>
                <wp:effectExtent l="0" t="0" r="0" b="0"/>
                <wp:wrapSquare wrapText="largest"/>
                <wp:docPr id="93" name="Frame93"/>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5.5</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5.5</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Headings</w:t>
      </w:r>
      <w:r>
        <w:rPr/>
        <w:t>.  The headings herein are for convenience only, do not constitute a part of this Agreement and shall not be deemed to limit or affect any of the provisions hereof.</w:t>
      </w:r>
      <w:r>
        <mc:AlternateContent>
          <mc:Choice Requires="wps">
            <w:drawing>
              <wp:anchor behindDoc="0" distT="0" distB="0" distL="0" distR="0" simplePos="0" locked="0" layoutInCell="1" allowOverlap="1" relativeHeight="95">
                <wp:simplePos x="0" y="0"/>
                <wp:positionH relativeFrom="column">
                  <wp:align>left</wp:align>
                </wp:positionH>
                <wp:positionV relativeFrom="line">
                  <wp:posOffset>635</wp:posOffset>
                </wp:positionV>
                <wp:extent cx="914400" cy="175260"/>
                <wp:effectExtent l="0" t="0" r="0" b="0"/>
                <wp:wrapSquare wrapText="largest"/>
                <wp:docPr id="94" name="Frame94"/>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5.6</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5.6</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Successors and Assigns</w:t>
      </w:r>
      <w:r>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r>
        <mc:AlternateContent>
          <mc:Choice Requires="wps">
            <w:drawing>
              <wp:anchor behindDoc="0" distT="0" distB="0" distL="0" distR="0" simplePos="0" locked="0" layoutInCell="1" allowOverlap="1" relativeHeight="96">
                <wp:simplePos x="0" y="0"/>
                <wp:positionH relativeFrom="column">
                  <wp:align>left</wp:align>
                </wp:positionH>
                <wp:positionV relativeFrom="line">
                  <wp:posOffset>635</wp:posOffset>
                </wp:positionV>
                <wp:extent cx="914400" cy="175260"/>
                <wp:effectExtent l="0" t="0" r="0" b="0"/>
                <wp:wrapSquare wrapText="largest"/>
                <wp:docPr id="95" name="Frame95"/>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5.7</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5.7</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firstLine="720"/>
        <w:jc w:val="both"/>
        <w:rPr/>
      </w:pPr>
      <w:r>
        <w:rPr/>
        <w:t>5.8</w:t>
      </w:r>
    </w:p>
    <w:p>
      <w:pPr>
        <w:pStyle w:val="TextBody"/>
        <w:spacing w:before="0" w:after="0"/>
        <w:ind w:left="0" w:right="0" w:hanging="30"/>
        <w:jc w:val="both"/>
        <w:rPr/>
      </w:pPr>
      <w:r>
        <w:rPr>
          <w:u w:val="single"/>
        </w:rPr>
        <w:t>No Third-Party Beneficiaries</w:t>
      </w:r>
      <w:r>
        <w:rPr/>
        <w:t>.  This Agreement is intended for the benefit of the parties hereto and their respective successors and permitted assigns and is not for the benefit of, nor may any provision hereof be enforced by, any other Person, except as otherwise set forth in Section 4.8.</w:t>
      </w:r>
    </w:p>
    <w:p>
      <w:pPr>
        <w:pStyle w:val="TextBody"/>
        <w:spacing w:before="0" w:after="0"/>
        <w:ind w:left="0" w:right="0" w:hanging="0"/>
        <w:jc w:val="both"/>
        <w:rPr/>
      </w:pPr>
      <w:r>
        <w:rPr/>
      </w:r>
    </w:p>
    <w:p>
      <w:pPr>
        <w:pStyle w:val="TextBody"/>
        <w:spacing w:before="0" w:after="0"/>
        <w:ind w:left="0" w:right="0" w:hanging="30"/>
        <w:jc w:val="both"/>
        <w:rPr/>
      </w:pPr>
      <w:r>
        <w:rPr>
          <w:u w:val="single"/>
        </w:rPr>
        <w:t>Governing Law</w:t>
      </w:r>
      <w:r>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either party shall commence an action or proceeding to enforce any provisions of the Transaction Documents, then in addition to the obligations of the Company under Section 4.8, the prevailing party in such action, suit or proceeding shall be reimbursed by the other party for its reasonable attorneys fees and other costs and expenses incurred with the investigation, preparation and prosecution of such action or proceeding.</w:t>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914400" cy="175260"/>
                <wp:effectExtent l="0" t="0" r="0" b="0"/>
                <wp:wrapSquare wrapText="largest"/>
                <wp:docPr id="96" name="Frame96"/>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5.9</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5.9</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Survival</w:t>
      </w:r>
      <w:r>
        <w:rPr/>
        <w:t>.  The representations and warranties contained herein shall survive the Closing and the delivery of the Securities.</w:t>
      </w:r>
      <w:r>
        <mc:AlternateContent>
          <mc:Choice Requires="wps">
            <w:drawing>
              <wp:anchor behindDoc="0" distT="0" distB="0" distL="0" distR="0" simplePos="0" locked="0" layoutInCell="1" allowOverlap="1" relativeHeight="98">
                <wp:simplePos x="0" y="0"/>
                <wp:positionH relativeFrom="column">
                  <wp:align>left</wp:align>
                </wp:positionH>
                <wp:positionV relativeFrom="line">
                  <wp:posOffset>635</wp:posOffset>
                </wp:positionV>
                <wp:extent cx="914400" cy="175260"/>
                <wp:effectExtent l="0" t="0" r="0" b="0"/>
                <wp:wrapSquare wrapText="largest"/>
                <wp:docPr id="97" name="Frame97"/>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5.10</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5.10</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Execution</w:t>
      </w:r>
      <w:r>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r>
        <mc:AlternateContent>
          <mc:Choice Requires="wps">
            <w:drawing>
              <wp:anchor behindDoc="0" distT="0" distB="0" distL="0" distR="0" simplePos="0" locked="0" layoutInCell="1" allowOverlap="1" relativeHeight="99">
                <wp:simplePos x="0" y="0"/>
                <wp:positionH relativeFrom="column">
                  <wp:align>left</wp:align>
                </wp:positionH>
                <wp:positionV relativeFrom="line">
                  <wp:posOffset>635</wp:posOffset>
                </wp:positionV>
                <wp:extent cx="914400" cy="175260"/>
                <wp:effectExtent l="0" t="0" r="0" b="0"/>
                <wp:wrapSquare wrapText="largest"/>
                <wp:docPr id="98" name="Frame98"/>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5.11</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5.11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center"/>
        <w:rPr/>
      </w:pPr>
      <w:r>
        <w:rPr/>
        <w:t>17</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30"/>
        <w:jc w:val="both"/>
        <w:rPr/>
      </w:pPr>
      <w:r>
        <w:rPr>
          <w:u w:val="single"/>
        </w:rPr>
        <w:t>Severability</w:t>
      </w:r>
      <w:r>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r>
        <mc:AlternateContent>
          <mc:Choice Requires="wps">
            <w:drawing>
              <wp:anchor behindDoc="0" distT="0" distB="0" distL="0" distR="0" simplePos="0" locked="0" layoutInCell="1" allowOverlap="1" relativeHeight="100">
                <wp:simplePos x="0" y="0"/>
                <wp:positionH relativeFrom="column">
                  <wp:align>left</wp:align>
                </wp:positionH>
                <wp:positionV relativeFrom="line">
                  <wp:posOffset>635</wp:posOffset>
                </wp:positionV>
                <wp:extent cx="914400" cy="175260"/>
                <wp:effectExtent l="0" t="0" r="0" b="0"/>
                <wp:wrapSquare wrapText="largest"/>
                <wp:docPr id="99" name="Frame99"/>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5.12</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5.12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Rescission and Withdrawal Right</w:t>
      </w:r>
      <w:r>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u w:val="single"/>
        </w:rPr>
        <w:t>provided</w:t>
      </w:r>
      <w:r>
        <w:rPr/>
        <w:t xml:space="preserve">, </w:t>
      </w:r>
      <w:r>
        <w:rPr>
          <w:u w:val="single"/>
        </w:rPr>
        <w:t>however</w:t>
      </w:r>
      <w:r>
        <w:rPr/>
        <w:t>,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r>
        <mc:AlternateContent>
          <mc:Choice Requires="wps">
            <w:drawing>
              <wp:anchor behindDoc="0" distT="0" distB="0" distL="0" distR="0" simplePos="0" locked="0" layoutInCell="1" allowOverlap="1" relativeHeight="101">
                <wp:simplePos x="0" y="0"/>
                <wp:positionH relativeFrom="column">
                  <wp:align>left</wp:align>
                </wp:positionH>
                <wp:positionV relativeFrom="line">
                  <wp:posOffset>635</wp:posOffset>
                </wp:positionV>
                <wp:extent cx="914400" cy="175260"/>
                <wp:effectExtent l="0" t="0" r="0" b="0"/>
                <wp:wrapSquare wrapText="largest"/>
                <wp:docPr id="100" name="Frame100"/>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5.13</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5.13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Replacement of Securities</w:t>
      </w:r>
      <w:r>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r>
        <mc:AlternateContent>
          <mc:Choice Requires="wps">
            <w:drawing>
              <wp:anchor behindDoc="0" distT="0" distB="0" distL="0" distR="0" simplePos="0" locked="0" layoutInCell="1" allowOverlap="1" relativeHeight="102">
                <wp:simplePos x="0" y="0"/>
                <wp:positionH relativeFrom="column">
                  <wp:align>left</wp:align>
                </wp:positionH>
                <wp:positionV relativeFrom="line">
                  <wp:posOffset>635</wp:posOffset>
                </wp:positionV>
                <wp:extent cx="914400" cy="175260"/>
                <wp:effectExtent l="0" t="0" r="0" b="0"/>
                <wp:wrapSquare wrapText="largest"/>
                <wp:docPr id="101" name="Frame101"/>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5.14</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5.14</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Remedies</w:t>
      </w:r>
      <w:r>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r>
        <mc:AlternateContent>
          <mc:Choice Requires="wps">
            <w:drawing>
              <wp:anchor behindDoc="0" distT="0" distB="0" distL="0" distR="0" simplePos="0" locked="0" layoutInCell="1" allowOverlap="1" relativeHeight="103">
                <wp:simplePos x="0" y="0"/>
                <wp:positionH relativeFrom="column">
                  <wp:align>left</wp:align>
                </wp:positionH>
                <wp:positionV relativeFrom="line">
                  <wp:posOffset>635</wp:posOffset>
                </wp:positionV>
                <wp:extent cx="914400" cy="175260"/>
                <wp:effectExtent l="0" t="0" r="0" b="0"/>
                <wp:wrapSquare wrapText="largest"/>
                <wp:docPr id="102" name="Frame102"/>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5.15</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5.15</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Payment Set Aside</w:t>
      </w:r>
      <w:r>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r>
        <mc:AlternateContent>
          <mc:Choice Requires="wps">
            <w:drawing>
              <wp:anchor behindDoc="0" distT="0" distB="0" distL="0" distR="0" simplePos="0" locked="0" layoutInCell="1" allowOverlap="1" relativeHeight="104">
                <wp:simplePos x="0" y="0"/>
                <wp:positionH relativeFrom="column">
                  <wp:align>left</wp:align>
                </wp:positionH>
                <wp:positionV relativeFrom="line">
                  <wp:posOffset>635</wp:posOffset>
                </wp:positionV>
                <wp:extent cx="914400" cy="175260"/>
                <wp:effectExtent l="0" t="0" r="0" b="0"/>
                <wp:wrapSquare wrapText="largest"/>
                <wp:docPr id="103" name="Frame103"/>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5.16</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5.16</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Independent Nature of Purchasers Obligations and Rights</w:t>
      </w:r>
      <w:r>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hereof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w:t>
      </w:r>
      <w:r>
        <mc:AlternateContent>
          <mc:Choice Requires="wps">
            <w:drawing>
              <wp:anchor behindDoc="0" distT="0" distB="0" distL="0" distR="0" simplePos="0" locked="0" layoutInCell="1" allowOverlap="1" relativeHeight="105">
                <wp:simplePos x="0" y="0"/>
                <wp:positionH relativeFrom="column">
                  <wp:align>left</wp:align>
                </wp:positionH>
                <wp:positionV relativeFrom="line">
                  <wp:posOffset>635</wp:posOffset>
                </wp:positionV>
                <wp:extent cx="914400" cy="175260"/>
                <wp:effectExtent l="0" t="0" r="0" b="0"/>
                <wp:wrapSquare wrapText="largest"/>
                <wp:docPr id="104" name="Frame104"/>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5.17</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5.17</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Liquidated Damages</w:t>
      </w:r>
      <w:r>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r>
        <mc:AlternateContent>
          <mc:Choice Requires="wps">
            <w:drawing>
              <wp:anchor behindDoc="0" distT="0" distB="0" distL="0" distR="0" simplePos="0" locked="0" layoutInCell="1" allowOverlap="1" relativeHeight="106">
                <wp:simplePos x="0" y="0"/>
                <wp:positionH relativeFrom="column">
                  <wp:align>left</wp:align>
                </wp:positionH>
                <wp:positionV relativeFrom="line">
                  <wp:posOffset>635</wp:posOffset>
                </wp:positionV>
                <wp:extent cx="914400" cy="175260"/>
                <wp:effectExtent l="0" t="0" r="0" b="0"/>
                <wp:wrapSquare wrapText="largest"/>
                <wp:docPr id="105" name="Frame105"/>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5.18</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5.18</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 xml:space="preserve">Saturdays, Sundays, Holidays, etc. </w:t>
      </w:r>
      <w:r>
        <w:rPr/>
        <w:t>If the last or appointed day for the taking of any action or the expiration of any right required or granted herein shall not be a Business Day, then such action may be taken or such right may be exercised on the next succeeding Business Day.</w:t>
      </w:r>
      <w:r>
        <mc:AlternateContent>
          <mc:Choice Requires="wps">
            <w:drawing>
              <wp:anchor behindDoc="0" distT="0" distB="0" distL="0" distR="0" simplePos="0" locked="0" layoutInCell="1" allowOverlap="1" relativeHeight="107">
                <wp:simplePos x="0" y="0"/>
                <wp:positionH relativeFrom="column">
                  <wp:align>left</wp:align>
                </wp:positionH>
                <wp:positionV relativeFrom="line">
                  <wp:posOffset>635</wp:posOffset>
                </wp:positionV>
                <wp:extent cx="914400" cy="175260"/>
                <wp:effectExtent l="0" t="0" r="0" b="0"/>
                <wp:wrapSquare wrapText="largest"/>
                <wp:docPr id="106" name="Frame106"/>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5.19</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5.19</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center"/>
        <w:rPr/>
      </w:pPr>
      <w:r>
        <w:rPr/>
        <w:t>18</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30"/>
        <w:jc w:val="both"/>
        <w:rPr/>
      </w:pPr>
      <w:r>
        <w:rPr>
          <w:u w:val="single"/>
        </w:rPr>
        <w:t>Construction</w:t>
      </w:r>
      <w:r>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r>
        <mc:AlternateContent>
          <mc:Choice Requires="wps">
            <w:drawing>
              <wp:anchor behindDoc="0" distT="0" distB="0" distL="0" distR="0" simplePos="0" locked="0" layoutInCell="1" allowOverlap="1" relativeHeight="108">
                <wp:simplePos x="0" y="0"/>
                <wp:positionH relativeFrom="column">
                  <wp:align>left</wp:align>
                </wp:positionH>
                <wp:positionV relativeFrom="line">
                  <wp:posOffset>635</wp:posOffset>
                </wp:positionV>
                <wp:extent cx="914400" cy="175260"/>
                <wp:effectExtent l="0" t="0" r="0" b="0"/>
                <wp:wrapSquare wrapText="largest"/>
                <wp:docPr id="107" name="Frame107"/>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5.20</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5.20</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b/>
        </w:rPr>
      </w:pPr>
      <w:r>
        <w:rPr>
          <w:b/>
          <w:u w:val="single"/>
        </w:rPr>
        <w:t>WAIVER OF JURY TRIAL</w:t>
      </w:r>
      <w:r>
        <w:rPr>
          <w:b/>
        </w:rPr>
        <w:t>.  </w:t>
      </w:r>
      <w:r>
        <w:rPr>
          <w:b/>
          <w:u w:val="single"/>
        </w:rPr>
        <w:t xml:space="preserve">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 </w:t>
      </w:r>
      <w:r>
        <mc:AlternateContent>
          <mc:Choice Requires="wps">
            <w:drawing>
              <wp:anchor behindDoc="0" distT="0" distB="0" distL="0" distR="0" simplePos="0" locked="0" layoutInCell="1" allowOverlap="1" relativeHeight="109">
                <wp:simplePos x="0" y="0"/>
                <wp:positionH relativeFrom="column">
                  <wp:align>left</wp:align>
                </wp:positionH>
                <wp:positionV relativeFrom="line">
                  <wp:posOffset>635</wp:posOffset>
                </wp:positionV>
                <wp:extent cx="914400" cy="175260"/>
                <wp:effectExtent l="0" t="0" r="0" b="0"/>
                <wp:wrapSquare wrapText="largest"/>
                <wp:docPr id="108" name="Frame108"/>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5.21</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5.21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Effective Date and Payment of Subscription Amount</w:t>
      </w:r>
      <w:r>
        <w:rPr/>
        <w:t>.  Notwithstanding anything to the contrary herein, this Agreement shall become effective on the Effective Date.  Any portion of a Purchasers Subscription Amount delivered by such Purchaser to the Company prior to the Closing Date shall be held in trust by the Company until the Closing hereunder.</w:t>
      </w:r>
      <w:r>
        <mc:AlternateContent>
          <mc:Choice Requires="wps">
            <w:drawing>
              <wp:anchor behindDoc="0" distT="0" distB="0" distL="0" distR="0" simplePos="0" locked="0" layoutInCell="1" allowOverlap="1" relativeHeight="110">
                <wp:simplePos x="0" y="0"/>
                <wp:positionH relativeFrom="column">
                  <wp:align>left</wp:align>
                </wp:positionH>
                <wp:positionV relativeFrom="line">
                  <wp:posOffset>635</wp:posOffset>
                </wp:positionV>
                <wp:extent cx="914400" cy="175260"/>
                <wp:effectExtent l="0" t="0" r="0" b="0"/>
                <wp:wrapSquare wrapText="largest"/>
                <wp:docPr id="109" name="Frame109"/>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5.22</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5.22</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0"/>
        <w:jc w:val="center"/>
        <w:rPr>
          <w:i/>
        </w:rPr>
      </w:pPr>
      <w:r>
        <w:rPr>
          <w:i/>
        </w:rPr>
        <w:t xml:space="preserve">(Signature Pages Follow) </w:t>
      </w:r>
    </w:p>
    <w:p>
      <w:pPr>
        <w:pStyle w:val="TextBody"/>
        <w:spacing w:before="0" w:after="0"/>
        <w:ind w:left="0" w:right="0" w:hanging="0"/>
        <w:rPr/>
      </w:pPr>
      <w:r>
        <w:rPr/>
      </w:r>
    </w:p>
    <w:p>
      <w:pPr>
        <w:pStyle w:val="TextBody"/>
        <w:spacing w:before="0" w:after="0"/>
        <w:ind w:left="0" w:right="0" w:hanging="0"/>
        <w:jc w:val="center"/>
        <w:rPr/>
      </w:pPr>
      <w:r>
        <w:rPr/>
        <w:t>19</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firstLine="720"/>
        <w:rPr/>
      </w:pPr>
      <w:r>
        <w:rPr/>
        <w:t>IN WITNESS WHEREOF, the parties hereto have caused this Securities Purchase Agreement to be duly executed by their respective authorized signatories as of the date first indicated above.</w:t>
      </w:r>
    </w:p>
    <w:p>
      <w:pPr>
        <w:pStyle w:val="TextBody"/>
        <w:spacing w:before="0" w:after="0"/>
        <w:ind w:left="0" w:right="0" w:hanging="0"/>
        <w:rPr/>
      </w:pPr>
      <w:r>
        <w:rPr/>
      </w:r>
    </w:p>
    <w:tbl>
      <w:tblPr>
        <w:tblW w:w="9600" w:type="dxa"/>
        <w:jc w:val="left"/>
        <w:tblInd w:w="0" w:type="dxa"/>
        <w:tblCellMar>
          <w:top w:w="0" w:type="dxa"/>
          <w:left w:w="0" w:type="dxa"/>
          <w:bottom w:w="0" w:type="dxa"/>
          <w:right w:w="0" w:type="dxa"/>
        </w:tblCellMar>
      </w:tblPr>
      <w:tblGrid>
        <w:gridCol w:w="5880"/>
        <w:gridCol w:w="3720"/>
      </w:tblGrid>
      <w:tr>
        <w:trPr/>
        <w:tc>
          <w:tcPr>
            <w:tcW w:w="5880" w:type="dxa"/>
            <w:tcBorders/>
            <w:shd w:fill="auto" w:val="clear"/>
            <w:vAlign w:val="center"/>
          </w:tcPr>
          <w:p>
            <w:pPr>
              <w:pStyle w:val="TableContents"/>
              <w:spacing w:before="0" w:after="283"/>
              <w:rPr>
                <w:sz w:val="4"/>
                <w:szCs w:val="4"/>
              </w:rPr>
            </w:pPr>
            <w:r>
              <w:rPr>
                <w:sz w:val="4"/>
                <w:szCs w:val="4"/>
              </w:rPr>
            </w:r>
          </w:p>
        </w:tc>
        <w:tc>
          <w:tcPr>
            <w:tcW w:w="3720" w:type="dxa"/>
            <w:tcBorders/>
            <w:shd w:fill="auto" w:val="clear"/>
            <w:vAlign w:val="center"/>
          </w:tcPr>
          <w:p>
            <w:pPr>
              <w:pStyle w:val="TableContents"/>
              <w:spacing w:before="0" w:after="283"/>
              <w:rPr>
                <w:sz w:val="4"/>
                <w:szCs w:val="4"/>
              </w:rPr>
            </w:pPr>
            <w:r>
              <w:rPr>
                <w:sz w:val="4"/>
                <w:szCs w:val="4"/>
              </w:rPr>
            </w:r>
          </w:p>
        </w:tc>
      </w:tr>
      <w:tr>
        <w:trPr/>
        <w:tc>
          <w:tcPr>
            <w:tcW w:w="5880" w:type="dxa"/>
            <w:tcBorders/>
            <w:shd w:fill="auto" w:val="clear"/>
            <w:vAlign w:val="center"/>
          </w:tcPr>
          <w:p>
            <w:pPr>
              <w:pStyle w:val="TableContents"/>
              <w:pBdr/>
              <w:spacing w:before="0" w:after="0"/>
              <w:ind w:left="0" w:right="0" w:hanging="0"/>
              <w:rPr/>
            </w:pPr>
            <w:r>
              <w:rPr/>
              <w:t> </w:t>
            </w:r>
          </w:p>
        </w:tc>
        <w:tc>
          <w:tcPr>
            <w:tcW w:w="3720" w:type="dxa"/>
            <w:tcBorders/>
            <w:shd w:fill="auto" w:val="clear"/>
            <w:vAlign w:val="center"/>
          </w:tcPr>
          <w:p>
            <w:pPr>
              <w:pStyle w:val="TableContents"/>
              <w:pBdr/>
              <w:spacing w:before="0" w:after="0"/>
              <w:ind w:left="0" w:right="0" w:hanging="0"/>
              <w:rPr/>
            </w:pPr>
            <w:r>
              <w:rPr/>
              <w:t> </w:t>
            </w:r>
          </w:p>
        </w:tc>
      </w:tr>
      <w:tr>
        <w:trPr/>
        <w:tc>
          <w:tcPr>
            <w:tcW w:w="5880" w:type="dxa"/>
            <w:tcBorders/>
            <w:shd w:fill="auto" w:val="clear"/>
          </w:tcPr>
          <w:p>
            <w:pPr>
              <w:pStyle w:val="TableContents"/>
              <w:spacing w:before="0" w:after="0"/>
              <w:ind w:left="0" w:right="0" w:hanging="0"/>
              <w:rPr>
                <w:b/>
              </w:rPr>
            </w:pPr>
            <w:r>
              <w:rPr>
                <w:b/>
              </w:rPr>
              <w:t>IMPRIMIS PHARMACEUTICALS INC.</w:t>
            </w:r>
          </w:p>
        </w:tc>
        <w:tc>
          <w:tcPr>
            <w:tcW w:w="3720" w:type="dxa"/>
            <w:tcBorders/>
            <w:shd w:fill="auto" w:val="clear"/>
          </w:tcPr>
          <w:p>
            <w:pPr>
              <w:pStyle w:val="TableContents"/>
              <w:spacing w:before="0" w:after="0"/>
              <w:ind w:left="0" w:right="0" w:hanging="0"/>
              <w:rPr>
                <w:u w:val="single"/>
              </w:rPr>
            </w:pPr>
            <w:r>
              <w:rPr>
                <w:u w:val="single"/>
              </w:rPr>
              <w:t>Address for Notice:</w:t>
            </w:r>
          </w:p>
          <w:p>
            <w:pPr>
              <w:pStyle w:val="TableContents"/>
              <w:spacing w:before="0" w:after="0"/>
              <w:ind w:left="0" w:right="0" w:hanging="0"/>
              <w:rPr/>
            </w:pPr>
            <w:r>
              <w:rPr/>
              <w:t>437 S. Hwy 101, Suite 209</w:t>
            </w:r>
          </w:p>
          <w:p>
            <w:pPr>
              <w:pStyle w:val="TableContents"/>
              <w:spacing w:before="0" w:after="0"/>
              <w:ind w:left="0" w:right="0" w:hanging="0"/>
              <w:rPr/>
            </w:pPr>
            <w:r>
              <w:rPr/>
              <w:t>Solana Beach, CA 92075</w:t>
            </w:r>
          </w:p>
        </w:tc>
      </w:tr>
      <w:tr>
        <w:trPr/>
        <w:tc>
          <w:tcPr>
            <w:tcW w:w="5880" w:type="dxa"/>
            <w:tcBorders/>
            <w:shd w:fill="auto" w:val="clear"/>
          </w:tcPr>
          <w:p>
            <w:pPr>
              <w:pStyle w:val="TableContents"/>
              <w:spacing w:before="0" w:after="0"/>
              <w:ind w:left="0" w:right="0" w:hanging="0"/>
              <w:rPr/>
            </w:pPr>
            <w:r>
              <w:rPr/>
              <w:t xml:space="preserve">By: </w:t>
            </w:r>
            <w:r>
              <w:rPr>
                <w:i/>
                <w:u w:val="single"/>
              </w:rPr>
              <w:t>/s/ Mark L. Baum                   </w:t>
            </w:r>
          </w:p>
          <w:p>
            <w:pPr>
              <w:pStyle w:val="TableContents"/>
              <w:spacing w:before="0" w:after="0"/>
              <w:ind w:left="0" w:right="0" w:hanging="0"/>
              <w:rPr/>
            </w:pPr>
            <w:r>
              <w:rPr/>
              <w:t>     </w:t>
            </w:r>
            <w:r>
              <w:rPr/>
              <w:t>Name: Mark L. Baum</w:t>
            </w:r>
          </w:p>
          <w:p>
            <w:pPr>
              <w:pStyle w:val="TableContents"/>
              <w:spacing w:before="0" w:after="0"/>
              <w:ind w:left="0" w:right="0" w:hanging="0"/>
              <w:rPr/>
            </w:pPr>
            <w:r>
              <w:rPr/>
              <w:t>     </w:t>
            </w:r>
            <w:r>
              <w:rPr/>
              <w:t>Title: Chief Executive Officer</w:t>
            </w:r>
          </w:p>
        </w:tc>
        <w:tc>
          <w:tcPr>
            <w:tcW w:w="3720" w:type="dxa"/>
            <w:tcBorders/>
            <w:shd w:fill="auto" w:val="clear"/>
          </w:tcPr>
          <w:p>
            <w:pPr>
              <w:pStyle w:val="TableContents"/>
              <w:spacing w:before="0" w:after="0"/>
              <w:ind w:left="0" w:right="0" w:hanging="0"/>
              <w:rPr/>
            </w:pPr>
            <w:r>
              <w:rPr/>
              <w:t>Fax: (858) 345-1745</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pPr>
      <w:r>
        <w:rPr/>
        <w:t>[REMAINDER OF PAGE INTENTIONALLY LEFT BLANK</w:t>
      </w:r>
    </w:p>
    <w:p>
      <w:pPr>
        <w:pStyle w:val="TextBody"/>
        <w:spacing w:before="0" w:after="0"/>
        <w:ind w:left="0" w:right="0" w:hanging="0"/>
        <w:jc w:val="center"/>
        <w:rPr/>
      </w:pPr>
      <w:r>
        <w:rPr/>
        <w:t>SIGNATURE PAGE FOR PURCHASER FOLLOWS]</w:t>
      </w:r>
    </w:p>
    <w:p>
      <w:pPr>
        <w:pStyle w:val="TextBody"/>
        <w:spacing w:before="0" w:after="0"/>
        <w:ind w:left="0" w:right="0" w:hanging="0"/>
        <w:jc w:val="center"/>
        <w:rPr/>
      </w:pPr>
      <w:r>
        <w:rPr/>
      </w:r>
    </w:p>
    <w:p>
      <w:pPr>
        <w:pStyle w:val="TextBody"/>
        <w:spacing w:before="0" w:after="0"/>
        <w:ind w:left="0" w:right="0" w:hanging="0"/>
        <w:jc w:val="center"/>
        <w:rPr/>
      </w:pPr>
      <w:r>
        <w:rPr/>
        <w:t>20</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center"/>
        <w:rPr/>
      </w:pPr>
      <w:r>
        <w:rPr/>
        <w:t>[PURCHASER SIGNATURE PAGES TO IMPRIMIS PHARMACEUTICALS INC.</w:t>
      </w:r>
    </w:p>
    <w:p>
      <w:pPr>
        <w:pStyle w:val="TextBody"/>
        <w:spacing w:before="0" w:after="0"/>
        <w:ind w:left="0" w:right="0" w:hanging="0"/>
        <w:jc w:val="center"/>
        <w:rPr/>
      </w:pPr>
      <w:r>
        <w:rPr/>
        <w:t> </w:t>
      </w:r>
      <w:r>
        <w:rPr/>
        <w:t>SECURITIES PURCHASE AGREEMENT]</w:t>
      </w:r>
    </w:p>
    <w:p>
      <w:pPr>
        <w:pStyle w:val="TextBody"/>
        <w:spacing w:before="0" w:after="0"/>
        <w:ind w:left="0" w:right="0" w:hanging="0"/>
        <w:rPr/>
      </w:pPr>
      <w:r>
        <w:rPr/>
      </w:r>
    </w:p>
    <w:p>
      <w:pPr>
        <w:pStyle w:val="TextBody"/>
        <w:spacing w:before="0" w:after="0"/>
        <w:ind w:left="0" w:right="0" w:firstLine="720"/>
        <w:rPr/>
      </w:pPr>
      <w:r>
        <w:rPr/>
        <w:t>IN WITNESS WHEREOF, the undersigned have caused this Securities Purchase Agreement to be duly executed by their respective authorized signatories as of the date first indicated above.</w:t>
      </w:r>
    </w:p>
    <w:p>
      <w:pPr>
        <w:pStyle w:val="TextBody"/>
        <w:spacing w:before="0" w:after="0"/>
        <w:ind w:left="0" w:right="0" w:hanging="0"/>
        <w:rPr/>
      </w:pPr>
      <w:r>
        <w:rPr/>
      </w:r>
    </w:p>
    <w:p>
      <w:pPr>
        <w:pStyle w:val="TextBody"/>
        <w:spacing w:before="0" w:after="0"/>
        <w:ind w:left="0" w:right="0" w:hanging="0"/>
        <w:rPr/>
      </w:pPr>
      <w:r>
        <w:rPr/>
        <w:t>Name of Purchaser: ________________________________________________________</w:t>
      </w:r>
    </w:p>
    <w:p>
      <w:pPr>
        <w:pStyle w:val="TextBody"/>
        <w:spacing w:before="0" w:after="0"/>
        <w:ind w:left="0" w:right="0" w:hanging="0"/>
        <w:rPr/>
      </w:pPr>
      <w:r>
        <w:rPr/>
      </w:r>
    </w:p>
    <w:p>
      <w:pPr>
        <w:pStyle w:val="TextBody"/>
        <w:spacing w:before="0" w:after="0"/>
        <w:ind w:left="0" w:right="0" w:hanging="0"/>
        <w:rPr/>
      </w:pPr>
      <w:r>
        <w:rPr>
          <w:i/>
        </w:rPr>
        <w:t>Signature of Authorized Signatory of Purchaser</w:t>
      </w:r>
      <w:r>
        <w:rPr/>
        <w:t>: __________________________________</w:t>
      </w:r>
    </w:p>
    <w:p>
      <w:pPr>
        <w:pStyle w:val="TextBody"/>
        <w:spacing w:before="0" w:after="0"/>
        <w:ind w:left="0" w:right="0" w:hanging="0"/>
        <w:rPr/>
      </w:pPr>
      <w:r>
        <w:rPr/>
      </w:r>
    </w:p>
    <w:p>
      <w:pPr>
        <w:pStyle w:val="TextBody"/>
        <w:spacing w:before="0" w:after="0"/>
        <w:ind w:left="0" w:right="0" w:hanging="0"/>
        <w:rPr/>
      </w:pPr>
      <w:r>
        <w:rPr/>
        <w:t>Name of Authorized Signatory: ____________________________________________________</w:t>
      </w:r>
    </w:p>
    <w:p>
      <w:pPr>
        <w:pStyle w:val="TextBody"/>
        <w:spacing w:before="0" w:after="0"/>
        <w:ind w:left="0" w:right="0" w:hanging="0"/>
        <w:rPr/>
      </w:pPr>
      <w:r>
        <w:rPr/>
      </w:r>
    </w:p>
    <w:p>
      <w:pPr>
        <w:pStyle w:val="TextBody"/>
        <w:spacing w:before="0" w:after="0"/>
        <w:ind w:left="0" w:right="0" w:hanging="0"/>
        <w:rPr/>
      </w:pPr>
      <w:r>
        <w:rPr/>
        <w:t>Title of Authorized Signatory: _____________________________________________________</w:t>
      </w:r>
    </w:p>
    <w:p>
      <w:pPr>
        <w:pStyle w:val="TextBody"/>
        <w:spacing w:before="0" w:after="0"/>
        <w:ind w:left="0" w:right="0" w:hanging="0"/>
        <w:rPr/>
      </w:pPr>
      <w:r>
        <w:rPr/>
      </w:r>
    </w:p>
    <w:p>
      <w:pPr>
        <w:pStyle w:val="TextBody"/>
        <w:spacing w:before="0" w:after="0"/>
        <w:ind w:left="0" w:right="0" w:hanging="0"/>
        <w:rPr/>
      </w:pPr>
      <w:r>
        <w:rPr/>
        <w:t>Email Address of Authorized Signatory: ______________________________________________</w:t>
      </w:r>
    </w:p>
    <w:p>
      <w:pPr>
        <w:pStyle w:val="TextBody"/>
        <w:spacing w:before="0" w:after="0"/>
        <w:ind w:left="0" w:right="0" w:hanging="0"/>
        <w:rPr/>
      </w:pPr>
      <w:r>
        <w:rPr/>
      </w:r>
    </w:p>
    <w:p>
      <w:pPr>
        <w:pStyle w:val="TextBody"/>
        <w:spacing w:before="0" w:after="0"/>
        <w:ind w:left="0" w:right="0" w:hanging="0"/>
        <w:rPr/>
      </w:pPr>
      <w:r>
        <w:rPr/>
        <w:t>Phone Number of Authorized Signatory: _____________________________________________</w:t>
      </w:r>
    </w:p>
    <w:p>
      <w:pPr>
        <w:pStyle w:val="TextBody"/>
        <w:spacing w:before="0" w:after="0"/>
        <w:ind w:left="0" w:right="0" w:hanging="0"/>
        <w:rPr/>
      </w:pPr>
      <w:r>
        <w:rPr/>
      </w:r>
    </w:p>
    <w:p>
      <w:pPr>
        <w:pStyle w:val="TextBody"/>
        <w:spacing w:before="0" w:after="0"/>
        <w:ind w:left="0" w:right="0" w:hanging="0"/>
        <w:rPr/>
      </w:pPr>
      <w:r>
        <w:rPr/>
        <w:t>Address for Notice to Purchaser:</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t>Address for Delivery of Securities to Purchaser (if not same as address for notice):</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t>Subscription Amount: $_________________</w:t>
      </w:r>
    </w:p>
    <w:p>
      <w:pPr>
        <w:pStyle w:val="TextBody"/>
        <w:spacing w:before="0" w:after="0"/>
        <w:ind w:left="0" w:right="0" w:hanging="0"/>
        <w:rPr/>
      </w:pPr>
      <w:r>
        <w:rPr/>
      </w:r>
    </w:p>
    <w:p>
      <w:pPr>
        <w:pStyle w:val="TextBody"/>
        <w:spacing w:before="0" w:after="0"/>
        <w:ind w:left="0" w:right="0" w:hanging="0"/>
        <w:rPr/>
      </w:pPr>
      <w:r>
        <w:rPr/>
        <w:t>Shares: _________________</w:t>
      </w:r>
    </w:p>
    <w:p>
      <w:pPr>
        <w:pStyle w:val="TextBody"/>
        <w:spacing w:before="0" w:after="0"/>
        <w:ind w:left="0" w:right="0" w:hanging="0"/>
        <w:rPr/>
      </w:pPr>
      <w:r>
        <w:rPr/>
      </w:r>
    </w:p>
    <w:p>
      <w:pPr>
        <w:pStyle w:val="TextBody"/>
        <w:spacing w:before="0" w:after="0"/>
        <w:ind w:left="0" w:right="0" w:hanging="0"/>
        <w:rPr/>
      </w:pPr>
      <w:r>
        <w:rPr/>
        <w:t>Warrant Shares: __________________</w:t>
      </w:r>
    </w:p>
    <w:p>
      <w:pPr>
        <w:pStyle w:val="TextBody"/>
        <w:spacing w:before="0" w:after="0"/>
        <w:ind w:left="0" w:right="0" w:hanging="0"/>
        <w:rPr/>
      </w:pPr>
      <w:r>
        <w:rPr/>
      </w:r>
    </w:p>
    <w:p>
      <w:pPr>
        <w:pStyle w:val="TextBody"/>
        <w:spacing w:before="0" w:after="0"/>
        <w:ind w:left="0" w:right="0" w:hanging="0"/>
        <w:rPr/>
      </w:pPr>
      <w:r>
        <w:rPr/>
        <w:t>SS/EIN Number: _______________________</w:t>
      </w:r>
    </w:p>
    <w:p>
      <w:pPr>
        <w:pStyle w:val="TextBody"/>
        <w:spacing w:before="0" w:after="0"/>
        <w:ind w:left="0" w:right="0" w:hanging="0"/>
        <w:rPr/>
      </w:pPr>
      <w:r>
        <w:rPr/>
      </w:r>
    </w:p>
    <w:p>
      <w:pPr>
        <w:pStyle w:val="TextBody"/>
        <w:spacing w:before="0" w:after="0"/>
        <w:ind w:left="0" w:right="0" w:hanging="0"/>
        <w:jc w:val="center"/>
        <w:rPr/>
      </w:pPr>
      <w:r>
        <w:rPr/>
        <w:t>21</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rPr/>
      </w:pPr>
      <w:r>
        <w:rPr/>
      </w:r>
    </w:p>
    <w:tbl>
      <w:tblPr>
        <w:tblW w:w="10205" w:type="dxa"/>
        <w:jc w:val="center"/>
        <w:tblInd w:w="0" w:type="dxa"/>
        <w:tblCellMar>
          <w:top w:w="0" w:type="dxa"/>
          <w:left w:w="0" w:type="dxa"/>
          <w:bottom w:w="0" w:type="dxa"/>
          <w:right w:w="0" w:type="dxa"/>
        </w:tblCellMar>
      </w:tblPr>
      <w:tblGrid>
        <w:gridCol w:w="926"/>
        <w:gridCol w:w="3898"/>
        <w:gridCol w:w="1109"/>
        <w:gridCol w:w="135"/>
        <w:gridCol w:w="4137"/>
      </w:tblGrid>
      <w:tr>
        <w:trPr/>
        <w:tc>
          <w:tcPr>
            <w:tcW w:w="926" w:type="dxa"/>
            <w:tcBorders/>
            <w:shd w:fill="auto" w:val="clear"/>
            <w:vAlign w:val="center"/>
          </w:tcPr>
          <w:p>
            <w:pPr>
              <w:pStyle w:val="TableContents"/>
              <w:spacing w:before="0" w:after="283"/>
              <w:rPr>
                <w:sz w:val="4"/>
                <w:szCs w:val="4"/>
              </w:rPr>
            </w:pPr>
            <w:r>
              <w:rPr>
                <w:sz w:val="4"/>
                <w:szCs w:val="4"/>
              </w:rPr>
            </w:r>
          </w:p>
        </w:tc>
        <w:tc>
          <w:tcPr>
            <w:tcW w:w="3898"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4137" w:type="dxa"/>
            <w:tcBorders/>
            <w:shd w:fill="auto" w:val="clear"/>
            <w:vAlign w:val="center"/>
          </w:tcPr>
          <w:p>
            <w:pPr>
              <w:pStyle w:val="TableContents"/>
              <w:spacing w:before="0" w:after="283"/>
              <w:rPr>
                <w:sz w:val="4"/>
                <w:szCs w:val="4"/>
              </w:rPr>
            </w:pPr>
            <w:r>
              <w:rPr>
                <w:sz w:val="4"/>
                <w:szCs w:val="4"/>
              </w:rPr>
            </w:r>
          </w:p>
        </w:tc>
      </w:tr>
      <w:tr>
        <w:trPr/>
        <w:tc>
          <w:tcPr>
            <w:tcW w:w="926" w:type="dxa"/>
            <w:tcBorders/>
            <w:shd w:fill="auto" w:val="clear"/>
            <w:vAlign w:val="center"/>
          </w:tcPr>
          <w:p>
            <w:pPr>
              <w:pStyle w:val="TableContents"/>
              <w:pBdr/>
              <w:spacing w:before="0" w:after="0"/>
              <w:ind w:left="0" w:right="0" w:hanging="0"/>
              <w:rPr/>
            </w:pPr>
            <w:r>
              <w:rPr/>
              <w:t> </w:t>
            </w:r>
          </w:p>
        </w:tc>
        <w:tc>
          <w:tcPr>
            <w:tcW w:w="3898" w:type="dxa"/>
            <w:tcBorders/>
            <w:shd w:fill="auto" w:val="clear"/>
            <w:vAlign w:val="center"/>
          </w:tcPr>
          <w:p>
            <w:pPr>
              <w:pStyle w:val="TableContents"/>
              <w:pBdr/>
              <w:spacing w:before="0" w:after="0"/>
              <w:ind w:left="0" w:right="0" w:hanging="0"/>
              <w:rPr/>
            </w:pPr>
            <w:r>
              <w:rPr/>
              <w:t> </w:t>
            </w:r>
          </w:p>
        </w:tc>
        <w:tc>
          <w:tcPr>
            <w:tcW w:w="1109" w:type="dxa"/>
            <w:tcBorders/>
            <w:shd w:fill="auto" w:val="clear"/>
            <w:vAlign w:val="center"/>
          </w:tcPr>
          <w:p>
            <w:pPr>
              <w:pStyle w:val="TableContents"/>
              <w:pBdr/>
              <w:spacing w:before="0" w:after="0"/>
              <w:ind w:left="0" w:right="0" w:hanging="0"/>
              <w:rPr/>
            </w:pPr>
            <w:r>
              <w:rPr/>
              <w:t> </w:t>
            </w:r>
          </w:p>
        </w:tc>
        <w:tc>
          <w:tcPr>
            <w:tcW w:w="135" w:type="dxa"/>
            <w:tcBorders/>
            <w:shd w:fill="auto" w:val="clear"/>
            <w:vAlign w:val="center"/>
          </w:tcPr>
          <w:p>
            <w:pPr>
              <w:pStyle w:val="TableContents"/>
              <w:pBdr/>
              <w:spacing w:before="0" w:after="0"/>
              <w:ind w:left="0" w:right="0" w:hanging="0"/>
              <w:rPr/>
            </w:pPr>
            <w:r>
              <w:rPr/>
              <w:t> </w:t>
            </w:r>
          </w:p>
        </w:tc>
        <w:tc>
          <w:tcPr>
            <w:tcW w:w="4137" w:type="dxa"/>
            <w:tcBorders/>
            <w:shd w:fill="auto" w:val="clear"/>
            <w:vAlign w:val="center"/>
          </w:tcPr>
          <w:p>
            <w:pPr>
              <w:pStyle w:val="TableContents"/>
              <w:pBdr/>
              <w:spacing w:before="0" w:after="0"/>
              <w:ind w:left="0" w:right="0" w:hanging="0"/>
              <w:rPr/>
            </w:pPr>
            <w:r>
              <w:rPr/>
              <w:t> </w:t>
            </w:r>
          </w:p>
        </w:tc>
      </w:tr>
      <w:tr>
        <w:trPr/>
        <w:tc>
          <w:tcPr>
            <w:tcW w:w="4824" w:type="dxa"/>
            <w:gridSpan w:val="2"/>
            <w:tcBorders/>
            <w:shd w:fill="auto" w:val="clear"/>
            <w:vAlign w:val="bottom"/>
          </w:tcPr>
          <w:p>
            <w:pPr>
              <w:pStyle w:val="TableContents"/>
              <w:spacing w:before="0" w:after="0"/>
              <w:ind w:left="0" w:right="0" w:hanging="0"/>
              <w:rPr>
                <w:b/>
              </w:rPr>
            </w:pPr>
            <w:r>
              <w:rPr>
                <w:b/>
              </w:rPr>
              <w:t>Disclosure Schedules</w:t>
            </w:r>
          </w:p>
        </w:tc>
        <w:tc>
          <w:tcPr>
            <w:tcW w:w="1109" w:type="dxa"/>
            <w:tcBorders/>
            <w:shd w:fill="auto" w:val="clear"/>
            <w:vAlign w:val="bottom"/>
          </w:tcPr>
          <w:p>
            <w:pPr>
              <w:pStyle w:val="TableContents"/>
              <w:spacing w:before="0" w:after="0"/>
              <w:ind w:left="0" w:right="0" w:hanging="0"/>
              <w:rPr/>
            </w:pPr>
            <w:r>
              <w:rPr/>
              <w:t> </w:t>
            </w:r>
          </w:p>
        </w:tc>
        <w:tc>
          <w:tcPr>
            <w:tcW w:w="4272" w:type="dxa"/>
            <w:gridSpan w:val="2"/>
            <w:tcBorders/>
            <w:shd w:fill="auto" w:val="clear"/>
            <w:vAlign w:val="bottom"/>
          </w:tcPr>
          <w:p>
            <w:pPr>
              <w:pStyle w:val="TableContents"/>
              <w:spacing w:before="0" w:after="0"/>
              <w:ind w:left="0" w:right="0" w:hanging="0"/>
              <w:rPr/>
            </w:pPr>
            <w:r>
              <w:rPr/>
              <w:t> </w:t>
            </w:r>
          </w:p>
        </w:tc>
      </w:tr>
      <w:tr>
        <w:trPr/>
        <w:tc>
          <w:tcPr>
            <w:tcW w:w="926" w:type="dxa"/>
            <w:tcBorders/>
            <w:shd w:fill="auto" w:val="clear"/>
            <w:vAlign w:val="bottom"/>
          </w:tcPr>
          <w:p>
            <w:pPr>
              <w:pStyle w:val="TableContents"/>
              <w:spacing w:before="0" w:after="0"/>
              <w:ind w:left="0" w:right="0" w:hanging="0"/>
              <w:rPr/>
            </w:pPr>
            <w:r>
              <w:rPr/>
              <w:t> </w:t>
            </w:r>
          </w:p>
        </w:tc>
        <w:tc>
          <w:tcPr>
            <w:tcW w:w="3898" w:type="dxa"/>
            <w:tcBorders/>
            <w:shd w:fill="auto" w:val="clear"/>
            <w:vAlign w:val="bottom"/>
          </w:tcPr>
          <w:p>
            <w:pPr>
              <w:pStyle w:val="TableContents"/>
              <w:spacing w:before="0" w:after="0"/>
              <w:ind w:left="0" w:right="0" w:hanging="0"/>
              <w:rPr/>
            </w:pPr>
            <w:r>
              <w:rPr/>
              <w:t> </w:t>
            </w:r>
          </w:p>
        </w:tc>
        <w:tc>
          <w:tcPr>
            <w:tcW w:w="1109" w:type="dxa"/>
            <w:tcBorders/>
            <w:shd w:fill="auto" w:val="clear"/>
            <w:vAlign w:val="bottom"/>
          </w:tcPr>
          <w:p>
            <w:pPr>
              <w:pStyle w:val="TableContents"/>
              <w:spacing w:before="0" w:after="0"/>
              <w:ind w:left="0" w:right="0" w:hanging="0"/>
              <w:rPr/>
            </w:pPr>
            <w:r>
              <w:rPr/>
              <w:t> </w:t>
            </w:r>
          </w:p>
        </w:tc>
        <w:tc>
          <w:tcPr>
            <w:tcW w:w="4272" w:type="dxa"/>
            <w:gridSpan w:val="2"/>
            <w:tcBorders/>
            <w:shd w:fill="auto" w:val="clear"/>
            <w:vAlign w:val="bottom"/>
          </w:tcPr>
          <w:p>
            <w:pPr>
              <w:pStyle w:val="TableContents"/>
              <w:spacing w:before="0" w:after="0"/>
              <w:ind w:left="0" w:right="0" w:hanging="0"/>
              <w:rPr/>
            </w:pPr>
            <w:r>
              <w:rPr/>
              <w:t> </w:t>
            </w:r>
          </w:p>
        </w:tc>
      </w:tr>
      <w:tr>
        <w:trPr/>
        <w:tc>
          <w:tcPr>
            <w:tcW w:w="926" w:type="dxa"/>
            <w:tcBorders/>
            <w:shd w:fill="auto" w:val="clear"/>
            <w:vAlign w:val="bottom"/>
          </w:tcPr>
          <w:p>
            <w:pPr>
              <w:pStyle w:val="TableContents"/>
              <w:spacing w:before="0" w:after="0"/>
              <w:ind w:left="0" w:right="0" w:hanging="0"/>
              <w:rPr>
                <w:b/>
              </w:rPr>
            </w:pPr>
            <w:r>
              <w:rPr>
                <w:b/>
              </w:rPr>
              <w:t>3.1(a)</w:t>
            </w:r>
          </w:p>
        </w:tc>
        <w:tc>
          <w:tcPr>
            <w:tcW w:w="3898" w:type="dxa"/>
            <w:tcBorders/>
            <w:shd w:fill="auto" w:val="clear"/>
            <w:vAlign w:val="bottom"/>
          </w:tcPr>
          <w:p>
            <w:pPr>
              <w:pStyle w:val="TableContents"/>
              <w:spacing w:before="0" w:after="0"/>
              <w:ind w:left="0" w:right="0" w:hanging="0"/>
              <w:rPr>
                <w:b/>
              </w:rPr>
            </w:pPr>
            <w:r>
              <w:rPr>
                <w:b/>
              </w:rPr>
              <w:t>Subsidiaries.</w:t>
            </w:r>
          </w:p>
        </w:tc>
        <w:tc>
          <w:tcPr>
            <w:tcW w:w="1109" w:type="dxa"/>
            <w:tcBorders/>
            <w:shd w:fill="auto" w:val="clear"/>
            <w:vAlign w:val="bottom"/>
          </w:tcPr>
          <w:p>
            <w:pPr>
              <w:pStyle w:val="TableContents"/>
              <w:spacing w:before="0" w:after="0"/>
              <w:ind w:left="0" w:right="0" w:hanging="0"/>
              <w:rPr/>
            </w:pPr>
            <w:r>
              <w:rPr/>
              <w:t> </w:t>
            </w:r>
            <w:r>
              <w:rPr/>
              <w:t xml:space="preserve">None. </w:t>
            </w:r>
          </w:p>
        </w:tc>
        <w:tc>
          <w:tcPr>
            <w:tcW w:w="4272" w:type="dxa"/>
            <w:gridSpan w:val="2"/>
            <w:tcBorders/>
            <w:shd w:fill="auto" w:val="clear"/>
            <w:vAlign w:val="bottom"/>
          </w:tcPr>
          <w:p>
            <w:pPr>
              <w:pStyle w:val="TableContents"/>
              <w:spacing w:before="0" w:after="0"/>
              <w:ind w:left="0" w:right="0" w:hanging="0"/>
              <w:rPr/>
            </w:pPr>
            <w:r>
              <w:rPr/>
              <w:t> </w:t>
            </w:r>
          </w:p>
        </w:tc>
      </w:tr>
      <w:tr>
        <w:trPr/>
        <w:tc>
          <w:tcPr>
            <w:tcW w:w="926" w:type="dxa"/>
            <w:tcBorders/>
            <w:shd w:fill="auto" w:val="clear"/>
            <w:vAlign w:val="bottom"/>
          </w:tcPr>
          <w:p>
            <w:pPr>
              <w:pStyle w:val="TableContents"/>
              <w:spacing w:before="0" w:after="0"/>
              <w:ind w:left="0" w:right="0" w:hanging="0"/>
              <w:rPr/>
            </w:pPr>
            <w:r>
              <w:rPr/>
              <w:t> </w:t>
            </w:r>
          </w:p>
        </w:tc>
        <w:tc>
          <w:tcPr>
            <w:tcW w:w="3898" w:type="dxa"/>
            <w:tcBorders/>
            <w:shd w:fill="auto" w:val="clear"/>
            <w:vAlign w:val="bottom"/>
          </w:tcPr>
          <w:p>
            <w:pPr>
              <w:pStyle w:val="TableContents"/>
              <w:spacing w:before="0" w:after="0"/>
              <w:ind w:left="0" w:right="0" w:hanging="0"/>
              <w:rPr/>
            </w:pPr>
            <w:r>
              <w:rPr/>
              <w:t> </w:t>
            </w:r>
          </w:p>
        </w:tc>
        <w:tc>
          <w:tcPr>
            <w:tcW w:w="1109" w:type="dxa"/>
            <w:tcBorders/>
            <w:shd w:fill="auto" w:val="clear"/>
            <w:vAlign w:val="bottom"/>
          </w:tcPr>
          <w:p>
            <w:pPr>
              <w:pStyle w:val="TableContents"/>
              <w:spacing w:before="0" w:after="0"/>
              <w:ind w:left="0" w:right="0" w:hanging="0"/>
              <w:rPr/>
            </w:pPr>
            <w:r>
              <w:rPr/>
              <w:t> </w:t>
            </w:r>
          </w:p>
        </w:tc>
        <w:tc>
          <w:tcPr>
            <w:tcW w:w="4272" w:type="dxa"/>
            <w:gridSpan w:val="2"/>
            <w:tcBorders/>
            <w:shd w:fill="auto" w:val="clear"/>
            <w:vAlign w:val="bottom"/>
          </w:tcPr>
          <w:p>
            <w:pPr>
              <w:pStyle w:val="TableContents"/>
              <w:spacing w:before="0" w:after="0"/>
              <w:ind w:left="0" w:right="0" w:hanging="0"/>
              <w:rPr/>
            </w:pPr>
            <w:r>
              <w:rPr/>
              <w:t> </w:t>
            </w:r>
          </w:p>
        </w:tc>
      </w:tr>
      <w:tr>
        <w:trPr/>
        <w:tc>
          <w:tcPr>
            <w:tcW w:w="926" w:type="dxa"/>
            <w:tcBorders/>
            <w:shd w:fill="auto" w:val="clear"/>
            <w:vAlign w:val="bottom"/>
          </w:tcPr>
          <w:p>
            <w:pPr>
              <w:pStyle w:val="TableContents"/>
              <w:spacing w:before="0" w:after="0"/>
              <w:ind w:left="0" w:right="0" w:hanging="0"/>
              <w:rPr>
                <w:b/>
              </w:rPr>
            </w:pPr>
            <w:r>
              <w:rPr>
                <w:b/>
              </w:rPr>
              <w:t>3.1 (g)</w:t>
            </w:r>
          </w:p>
        </w:tc>
        <w:tc>
          <w:tcPr>
            <w:tcW w:w="3898" w:type="dxa"/>
            <w:tcBorders/>
            <w:shd w:fill="auto" w:val="clear"/>
            <w:vAlign w:val="bottom"/>
          </w:tcPr>
          <w:p>
            <w:pPr>
              <w:pStyle w:val="TableContents"/>
              <w:spacing w:before="0" w:after="0"/>
              <w:ind w:left="0" w:right="0" w:hanging="0"/>
              <w:rPr>
                <w:b/>
              </w:rPr>
            </w:pPr>
            <w:r>
              <w:rPr>
                <w:b/>
              </w:rPr>
              <w:t>Capitalization at March 25, 2012.</w:t>
            </w:r>
          </w:p>
        </w:tc>
        <w:tc>
          <w:tcPr>
            <w:tcW w:w="1109" w:type="dxa"/>
            <w:tcBorders/>
            <w:shd w:fill="auto" w:val="clear"/>
            <w:vAlign w:val="bottom"/>
          </w:tcPr>
          <w:p>
            <w:pPr>
              <w:pStyle w:val="TableContents"/>
              <w:spacing w:before="0" w:after="0"/>
              <w:ind w:left="0" w:right="0" w:hanging="0"/>
              <w:jc w:val="center"/>
              <w:rPr/>
            </w:pPr>
            <w:r>
              <w:rPr/>
              <w:t>9,482,656</w:t>
            </w:r>
          </w:p>
        </w:tc>
        <w:tc>
          <w:tcPr>
            <w:tcW w:w="4272" w:type="dxa"/>
            <w:gridSpan w:val="2"/>
            <w:tcBorders/>
            <w:shd w:fill="auto" w:val="clear"/>
            <w:vAlign w:val="bottom"/>
          </w:tcPr>
          <w:p>
            <w:pPr>
              <w:pStyle w:val="TableContents"/>
              <w:spacing w:before="0" w:after="0"/>
              <w:ind w:left="0" w:right="0" w:hanging="0"/>
              <w:rPr/>
            </w:pPr>
            <w:r>
              <w:rPr/>
              <w:t>Common Shares owned by affiliates</w:t>
            </w:r>
          </w:p>
        </w:tc>
      </w:tr>
      <w:tr>
        <w:trPr/>
        <w:tc>
          <w:tcPr>
            <w:tcW w:w="926" w:type="dxa"/>
            <w:tcBorders/>
            <w:shd w:fill="auto" w:val="clear"/>
            <w:vAlign w:val="bottom"/>
          </w:tcPr>
          <w:p>
            <w:pPr>
              <w:pStyle w:val="TableContents"/>
              <w:spacing w:before="0" w:after="0"/>
              <w:ind w:left="0" w:right="0" w:hanging="0"/>
              <w:rPr/>
            </w:pPr>
            <w:r>
              <w:rPr/>
              <w:t> </w:t>
            </w:r>
          </w:p>
        </w:tc>
        <w:tc>
          <w:tcPr>
            <w:tcW w:w="3898" w:type="dxa"/>
            <w:tcBorders/>
            <w:shd w:fill="auto" w:val="clear"/>
            <w:vAlign w:val="bottom"/>
          </w:tcPr>
          <w:p>
            <w:pPr>
              <w:pStyle w:val="TableContents"/>
              <w:spacing w:before="0" w:after="0"/>
              <w:ind w:left="0" w:right="0" w:hanging="0"/>
              <w:rPr/>
            </w:pPr>
            <w:r>
              <w:rPr/>
              <w:t> </w:t>
            </w:r>
          </w:p>
        </w:tc>
        <w:tc>
          <w:tcPr>
            <w:tcW w:w="1109" w:type="dxa"/>
            <w:tcBorders>
              <w:bottom w:val="single" w:sz="2" w:space="0" w:color="000000"/>
            </w:tcBorders>
            <w:shd w:fill="auto" w:val="clear"/>
            <w:tcMar>
              <w:bottom w:w="28" w:type="dxa"/>
            </w:tcMar>
            <w:vAlign w:val="bottom"/>
          </w:tcPr>
          <w:p>
            <w:pPr>
              <w:pStyle w:val="TableContents"/>
              <w:spacing w:before="0" w:after="0"/>
              <w:ind w:left="0" w:right="0" w:hanging="0"/>
              <w:jc w:val="center"/>
              <w:rPr/>
            </w:pPr>
            <w:r>
              <w:rPr/>
              <w:t>1,684,111</w:t>
            </w:r>
          </w:p>
        </w:tc>
        <w:tc>
          <w:tcPr>
            <w:tcW w:w="4272" w:type="dxa"/>
            <w:gridSpan w:val="2"/>
            <w:tcBorders>
              <w:bottom w:val="single" w:sz="2" w:space="0" w:color="000000"/>
            </w:tcBorders>
            <w:shd w:fill="auto" w:val="clear"/>
            <w:tcMar>
              <w:bottom w:w="28" w:type="dxa"/>
            </w:tcMar>
            <w:vAlign w:val="bottom"/>
          </w:tcPr>
          <w:p>
            <w:pPr>
              <w:pStyle w:val="TableContents"/>
              <w:spacing w:before="0" w:after="0"/>
              <w:ind w:left="0" w:right="0" w:hanging="0"/>
              <w:rPr/>
            </w:pPr>
            <w:r>
              <w:rPr/>
              <w:t>Common Stock owned by non-affiliates</w:t>
            </w:r>
          </w:p>
        </w:tc>
      </w:tr>
      <w:tr>
        <w:trPr/>
        <w:tc>
          <w:tcPr>
            <w:tcW w:w="926" w:type="dxa"/>
            <w:tcBorders/>
            <w:shd w:fill="auto" w:val="clear"/>
            <w:vAlign w:val="bottom"/>
          </w:tcPr>
          <w:p>
            <w:pPr>
              <w:pStyle w:val="TableContents"/>
              <w:spacing w:before="0" w:after="0"/>
              <w:ind w:left="0" w:right="0" w:hanging="0"/>
              <w:rPr/>
            </w:pPr>
            <w:r>
              <w:rPr/>
              <w:t> </w:t>
            </w:r>
          </w:p>
        </w:tc>
        <w:tc>
          <w:tcPr>
            <w:tcW w:w="3898" w:type="dxa"/>
            <w:tcBorders/>
            <w:shd w:fill="auto" w:val="clear"/>
            <w:vAlign w:val="bottom"/>
          </w:tcPr>
          <w:p>
            <w:pPr>
              <w:pStyle w:val="TableContents"/>
              <w:spacing w:before="0" w:after="0"/>
              <w:ind w:left="0" w:right="0" w:hanging="0"/>
              <w:rPr/>
            </w:pPr>
            <w:r>
              <w:rPr/>
              <w:t> </w:t>
            </w:r>
          </w:p>
        </w:tc>
        <w:tc>
          <w:tcPr>
            <w:tcW w:w="1109" w:type="dxa"/>
            <w:tcBorders/>
            <w:shd w:fill="auto" w:val="clear"/>
            <w:vAlign w:val="bottom"/>
          </w:tcPr>
          <w:p>
            <w:pPr>
              <w:pStyle w:val="TableContents"/>
              <w:spacing w:before="0" w:after="0"/>
              <w:ind w:left="0" w:right="0" w:hanging="0"/>
              <w:jc w:val="center"/>
              <w:rPr>
                <w:b/>
              </w:rPr>
            </w:pPr>
            <w:r>
              <w:rPr>
                <w:b/>
              </w:rPr>
              <w:t>11,166,767</w:t>
            </w:r>
          </w:p>
        </w:tc>
        <w:tc>
          <w:tcPr>
            <w:tcW w:w="4272" w:type="dxa"/>
            <w:gridSpan w:val="2"/>
            <w:tcBorders/>
            <w:shd w:fill="auto" w:val="clear"/>
            <w:vAlign w:val="bottom"/>
          </w:tcPr>
          <w:p>
            <w:pPr>
              <w:pStyle w:val="TableContents"/>
              <w:spacing w:before="0" w:after="0"/>
              <w:ind w:left="0" w:right="0" w:hanging="0"/>
              <w:rPr>
                <w:b/>
              </w:rPr>
            </w:pPr>
            <w:r>
              <w:rPr>
                <w:b/>
              </w:rPr>
              <w:t>Total Issued and outstanding Common Shares</w:t>
            </w:r>
          </w:p>
        </w:tc>
      </w:tr>
      <w:tr>
        <w:trPr/>
        <w:tc>
          <w:tcPr>
            <w:tcW w:w="926" w:type="dxa"/>
            <w:tcBorders/>
            <w:shd w:fill="auto" w:val="clear"/>
            <w:vAlign w:val="bottom"/>
          </w:tcPr>
          <w:p>
            <w:pPr>
              <w:pStyle w:val="TableContents"/>
              <w:spacing w:before="0" w:after="0"/>
              <w:ind w:left="0" w:right="0" w:hanging="0"/>
              <w:rPr/>
            </w:pPr>
            <w:r>
              <w:rPr/>
              <w:t> </w:t>
            </w:r>
          </w:p>
        </w:tc>
        <w:tc>
          <w:tcPr>
            <w:tcW w:w="3898" w:type="dxa"/>
            <w:tcBorders/>
            <w:shd w:fill="auto" w:val="clear"/>
            <w:vAlign w:val="bottom"/>
          </w:tcPr>
          <w:p>
            <w:pPr>
              <w:pStyle w:val="TableContents"/>
              <w:spacing w:before="0" w:after="0"/>
              <w:ind w:left="0" w:right="0" w:hanging="0"/>
              <w:rPr/>
            </w:pPr>
            <w:r>
              <w:rPr/>
              <w:t> </w:t>
            </w:r>
          </w:p>
        </w:tc>
        <w:tc>
          <w:tcPr>
            <w:tcW w:w="1109" w:type="dxa"/>
            <w:tcBorders>
              <w:bottom w:val="single" w:sz="2" w:space="0" w:color="000000"/>
            </w:tcBorders>
            <w:shd w:fill="auto" w:val="clear"/>
            <w:tcMar>
              <w:bottom w:w="28" w:type="dxa"/>
            </w:tcMar>
            <w:vAlign w:val="bottom"/>
          </w:tcPr>
          <w:p>
            <w:pPr>
              <w:pStyle w:val="TableContents"/>
              <w:spacing w:before="0" w:after="0"/>
              <w:ind w:left="0" w:right="0" w:hanging="0"/>
              <w:jc w:val="center"/>
              <w:rPr/>
            </w:pPr>
            <w:r>
              <w:rPr/>
              <w:t>10,213,562</w:t>
            </w:r>
          </w:p>
        </w:tc>
        <w:tc>
          <w:tcPr>
            <w:tcW w:w="4272" w:type="dxa"/>
            <w:gridSpan w:val="2"/>
            <w:tcBorders>
              <w:bottom w:val="single" w:sz="2" w:space="0" w:color="000000"/>
            </w:tcBorders>
            <w:shd w:fill="auto" w:val="clear"/>
            <w:tcMar>
              <w:bottom w:w="28" w:type="dxa"/>
            </w:tcMar>
            <w:vAlign w:val="bottom"/>
          </w:tcPr>
          <w:p>
            <w:pPr>
              <w:pStyle w:val="TableContents"/>
              <w:spacing w:before="0" w:after="0"/>
              <w:ind w:left="0" w:right="0" w:hanging="0"/>
              <w:rPr/>
            </w:pPr>
            <w:r>
              <w:rPr/>
              <w:t>Dilutive instruments</w:t>
            </w:r>
          </w:p>
        </w:tc>
      </w:tr>
      <w:tr>
        <w:trPr/>
        <w:tc>
          <w:tcPr>
            <w:tcW w:w="926" w:type="dxa"/>
            <w:tcBorders/>
            <w:shd w:fill="auto" w:val="clear"/>
            <w:vAlign w:val="bottom"/>
          </w:tcPr>
          <w:p>
            <w:pPr>
              <w:pStyle w:val="TableContents"/>
              <w:spacing w:before="0" w:after="0"/>
              <w:ind w:left="0" w:right="0" w:hanging="0"/>
              <w:rPr/>
            </w:pPr>
            <w:r>
              <w:rPr/>
              <w:t> </w:t>
            </w:r>
          </w:p>
        </w:tc>
        <w:tc>
          <w:tcPr>
            <w:tcW w:w="3898" w:type="dxa"/>
            <w:tcBorders/>
            <w:shd w:fill="auto" w:val="clear"/>
            <w:vAlign w:val="bottom"/>
          </w:tcPr>
          <w:p>
            <w:pPr>
              <w:pStyle w:val="TableContents"/>
              <w:spacing w:before="0" w:after="0"/>
              <w:ind w:left="0" w:right="0" w:hanging="0"/>
              <w:rPr/>
            </w:pPr>
            <w:r>
              <w:rPr/>
              <w:t> </w:t>
            </w:r>
          </w:p>
        </w:tc>
        <w:tc>
          <w:tcPr>
            <w:tcW w:w="1109" w:type="dxa"/>
            <w:tcBorders/>
            <w:shd w:fill="auto" w:val="clear"/>
            <w:vAlign w:val="bottom"/>
          </w:tcPr>
          <w:p>
            <w:pPr>
              <w:pStyle w:val="TableContents"/>
              <w:spacing w:before="0" w:after="0"/>
              <w:ind w:left="0" w:right="0" w:hanging="0"/>
              <w:jc w:val="center"/>
              <w:rPr>
                <w:b/>
              </w:rPr>
            </w:pPr>
            <w:r>
              <w:rPr>
                <w:b/>
              </w:rPr>
              <w:t>21,380,329</w:t>
            </w:r>
          </w:p>
        </w:tc>
        <w:tc>
          <w:tcPr>
            <w:tcW w:w="4272" w:type="dxa"/>
            <w:gridSpan w:val="2"/>
            <w:tcBorders/>
            <w:shd w:fill="auto" w:val="clear"/>
            <w:vAlign w:val="bottom"/>
          </w:tcPr>
          <w:p>
            <w:pPr>
              <w:pStyle w:val="TableContents"/>
              <w:spacing w:before="0" w:after="0"/>
              <w:ind w:left="0" w:right="0" w:hanging="0"/>
              <w:rPr>
                <w:b/>
              </w:rPr>
            </w:pPr>
            <w:r>
              <w:rPr>
                <w:b/>
              </w:rPr>
              <w:t>Total Issued and outstanding Common Shares</w:t>
            </w:r>
          </w:p>
        </w:tc>
      </w:tr>
      <w:tr>
        <w:trPr/>
        <w:tc>
          <w:tcPr>
            <w:tcW w:w="926" w:type="dxa"/>
            <w:tcBorders/>
            <w:shd w:fill="auto" w:val="clear"/>
            <w:vAlign w:val="bottom"/>
          </w:tcPr>
          <w:p>
            <w:pPr>
              <w:pStyle w:val="TableContents"/>
              <w:spacing w:before="0" w:after="0"/>
              <w:ind w:left="0" w:right="0" w:hanging="0"/>
              <w:rPr/>
            </w:pPr>
            <w:r>
              <w:rPr/>
              <w:t> </w:t>
            </w:r>
          </w:p>
        </w:tc>
        <w:tc>
          <w:tcPr>
            <w:tcW w:w="3898" w:type="dxa"/>
            <w:tcBorders/>
            <w:shd w:fill="auto" w:val="clear"/>
            <w:vAlign w:val="bottom"/>
          </w:tcPr>
          <w:p>
            <w:pPr>
              <w:pStyle w:val="TableContents"/>
              <w:spacing w:before="0" w:after="0"/>
              <w:ind w:left="0" w:right="0" w:hanging="0"/>
              <w:rPr/>
            </w:pPr>
            <w:r>
              <w:rPr/>
              <w:t> </w:t>
            </w:r>
          </w:p>
        </w:tc>
        <w:tc>
          <w:tcPr>
            <w:tcW w:w="1109" w:type="dxa"/>
            <w:tcBorders/>
            <w:shd w:fill="auto" w:val="clear"/>
            <w:vAlign w:val="bottom"/>
          </w:tcPr>
          <w:p>
            <w:pPr>
              <w:pStyle w:val="TableContents"/>
              <w:spacing w:before="0" w:after="0"/>
              <w:ind w:left="0" w:right="0" w:hanging="0"/>
              <w:rPr/>
            </w:pPr>
            <w:r>
              <w:rPr/>
              <w:t> </w:t>
            </w:r>
          </w:p>
        </w:tc>
        <w:tc>
          <w:tcPr>
            <w:tcW w:w="4272" w:type="dxa"/>
            <w:gridSpan w:val="2"/>
            <w:tcBorders/>
            <w:shd w:fill="auto" w:val="clear"/>
            <w:vAlign w:val="bottom"/>
          </w:tcPr>
          <w:p>
            <w:pPr>
              <w:pStyle w:val="TableContents"/>
              <w:spacing w:before="0" w:after="0"/>
              <w:ind w:left="0" w:right="0" w:hanging="0"/>
              <w:rPr/>
            </w:pPr>
            <w:r>
              <w:rPr/>
              <w:t> </w:t>
            </w:r>
          </w:p>
        </w:tc>
      </w:tr>
      <w:tr>
        <w:trPr/>
        <w:tc>
          <w:tcPr>
            <w:tcW w:w="926" w:type="dxa"/>
            <w:tcBorders/>
            <w:shd w:fill="auto" w:val="clear"/>
            <w:vAlign w:val="bottom"/>
          </w:tcPr>
          <w:p>
            <w:pPr>
              <w:pStyle w:val="TableContents"/>
              <w:spacing w:before="0" w:after="0"/>
              <w:ind w:left="0" w:right="0" w:hanging="0"/>
              <w:rPr>
                <w:b/>
              </w:rPr>
            </w:pPr>
            <w:r>
              <w:rPr>
                <w:b/>
              </w:rPr>
              <w:t>3.1(h)</w:t>
            </w:r>
          </w:p>
        </w:tc>
        <w:tc>
          <w:tcPr>
            <w:tcW w:w="3898" w:type="dxa"/>
            <w:tcBorders/>
            <w:shd w:fill="auto" w:val="clear"/>
            <w:vAlign w:val="bottom"/>
          </w:tcPr>
          <w:p>
            <w:pPr>
              <w:pStyle w:val="TableContents"/>
              <w:spacing w:before="0" w:after="0"/>
              <w:ind w:left="0" w:right="0" w:hanging="0"/>
              <w:rPr>
                <w:b/>
              </w:rPr>
            </w:pPr>
            <w:r>
              <w:rPr>
                <w:b/>
              </w:rPr>
              <w:t>SEC Reports; Financial Statements.</w:t>
            </w:r>
          </w:p>
        </w:tc>
        <w:tc>
          <w:tcPr>
            <w:tcW w:w="1109" w:type="dxa"/>
            <w:tcBorders/>
            <w:shd w:fill="auto" w:val="clear"/>
            <w:vAlign w:val="bottom"/>
          </w:tcPr>
          <w:p>
            <w:pPr>
              <w:pStyle w:val="TableContents"/>
              <w:spacing w:before="0" w:after="0"/>
              <w:ind w:left="0" w:right="0" w:hanging="0"/>
              <w:rPr/>
            </w:pPr>
            <w:r>
              <w:rPr/>
              <w:t> </w:t>
            </w:r>
            <w:r>
              <w:rPr/>
              <w:t xml:space="preserve">None. </w:t>
            </w:r>
          </w:p>
        </w:tc>
        <w:tc>
          <w:tcPr>
            <w:tcW w:w="4272" w:type="dxa"/>
            <w:gridSpan w:val="2"/>
            <w:tcBorders/>
            <w:shd w:fill="auto" w:val="clear"/>
            <w:vAlign w:val="bottom"/>
          </w:tcPr>
          <w:p>
            <w:pPr>
              <w:pStyle w:val="TableContents"/>
              <w:spacing w:before="0" w:after="0"/>
              <w:ind w:left="0" w:right="0" w:hanging="0"/>
              <w:rPr/>
            </w:pPr>
            <w:r>
              <w:rPr/>
              <w:t> </w:t>
            </w:r>
          </w:p>
        </w:tc>
      </w:tr>
      <w:tr>
        <w:trPr/>
        <w:tc>
          <w:tcPr>
            <w:tcW w:w="926" w:type="dxa"/>
            <w:tcBorders/>
            <w:shd w:fill="auto" w:val="clear"/>
            <w:vAlign w:val="bottom"/>
          </w:tcPr>
          <w:p>
            <w:pPr>
              <w:pStyle w:val="TableContents"/>
              <w:spacing w:before="0" w:after="0"/>
              <w:ind w:left="0" w:right="0" w:hanging="0"/>
              <w:rPr/>
            </w:pPr>
            <w:r>
              <w:rPr/>
              <w:t> </w:t>
            </w:r>
          </w:p>
        </w:tc>
        <w:tc>
          <w:tcPr>
            <w:tcW w:w="3898" w:type="dxa"/>
            <w:tcBorders/>
            <w:shd w:fill="auto" w:val="clear"/>
            <w:vAlign w:val="bottom"/>
          </w:tcPr>
          <w:p>
            <w:pPr>
              <w:pStyle w:val="TableContents"/>
              <w:spacing w:before="0" w:after="0"/>
              <w:ind w:left="0" w:right="0" w:hanging="0"/>
              <w:rPr/>
            </w:pPr>
            <w:r>
              <w:rPr/>
              <w:t> </w:t>
            </w:r>
          </w:p>
        </w:tc>
        <w:tc>
          <w:tcPr>
            <w:tcW w:w="1109" w:type="dxa"/>
            <w:tcBorders/>
            <w:shd w:fill="auto" w:val="clear"/>
            <w:vAlign w:val="bottom"/>
          </w:tcPr>
          <w:p>
            <w:pPr>
              <w:pStyle w:val="TableContents"/>
              <w:spacing w:before="0" w:after="0"/>
              <w:ind w:left="0" w:right="0" w:hanging="0"/>
              <w:rPr/>
            </w:pPr>
            <w:r>
              <w:rPr/>
              <w:t> </w:t>
            </w:r>
          </w:p>
        </w:tc>
        <w:tc>
          <w:tcPr>
            <w:tcW w:w="4272" w:type="dxa"/>
            <w:gridSpan w:val="2"/>
            <w:tcBorders/>
            <w:shd w:fill="auto" w:val="clear"/>
            <w:vAlign w:val="bottom"/>
          </w:tcPr>
          <w:p>
            <w:pPr>
              <w:pStyle w:val="TableContents"/>
              <w:spacing w:before="0" w:after="0"/>
              <w:ind w:left="0" w:right="0" w:hanging="0"/>
              <w:rPr/>
            </w:pPr>
            <w:r>
              <w:rPr/>
              <w:t> </w:t>
            </w:r>
          </w:p>
        </w:tc>
      </w:tr>
      <w:tr>
        <w:trPr/>
        <w:tc>
          <w:tcPr>
            <w:tcW w:w="926" w:type="dxa"/>
            <w:tcBorders/>
            <w:shd w:fill="auto" w:val="clear"/>
            <w:vAlign w:val="bottom"/>
          </w:tcPr>
          <w:p>
            <w:pPr>
              <w:pStyle w:val="TableContents"/>
              <w:spacing w:before="0" w:after="0"/>
              <w:ind w:left="0" w:right="0" w:hanging="0"/>
              <w:rPr>
                <w:b/>
              </w:rPr>
            </w:pPr>
            <w:r>
              <w:rPr>
                <w:b/>
              </w:rPr>
              <w:t>3.1(i)</w:t>
            </w:r>
          </w:p>
        </w:tc>
        <w:tc>
          <w:tcPr>
            <w:tcW w:w="3898" w:type="dxa"/>
            <w:tcBorders/>
            <w:shd w:fill="auto" w:val="clear"/>
            <w:vAlign w:val="bottom"/>
          </w:tcPr>
          <w:p>
            <w:pPr>
              <w:pStyle w:val="TableContents"/>
              <w:spacing w:before="0" w:after="0"/>
              <w:ind w:left="0" w:right="0" w:hanging="0"/>
              <w:rPr>
                <w:b/>
              </w:rPr>
            </w:pPr>
            <w:r>
              <w:rPr>
                <w:b/>
              </w:rPr>
              <w:t>Material Changes; Undisclosed Events, Liabilities or Developments.</w:t>
            </w:r>
          </w:p>
        </w:tc>
        <w:tc>
          <w:tcPr>
            <w:tcW w:w="1109" w:type="dxa"/>
            <w:tcBorders/>
            <w:shd w:fill="auto" w:val="clear"/>
            <w:vAlign w:val="bottom"/>
          </w:tcPr>
          <w:p>
            <w:pPr>
              <w:pStyle w:val="TableContents"/>
              <w:spacing w:before="0" w:after="0"/>
              <w:ind w:left="0" w:right="0" w:hanging="0"/>
              <w:rPr/>
            </w:pPr>
            <w:r>
              <w:rPr/>
              <w:t> </w:t>
            </w:r>
            <w:r>
              <w:rPr/>
              <w:t xml:space="preserve">None. </w:t>
            </w:r>
          </w:p>
        </w:tc>
        <w:tc>
          <w:tcPr>
            <w:tcW w:w="4272" w:type="dxa"/>
            <w:gridSpan w:val="2"/>
            <w:tcBorders/>
            <w:shd w:fill="auto" w:val="clear"/>
            <w:vAlign w:val="bottom"/>
          </w:tcPr>
          <w:p>
            <w:pPr>
              <w:pStyle w:val="TableContents"/>
              <w:spacing w:before="0" w:after="0"/>
              <w:ind w:left="0" w:right="0" w:hanging="0"/>
              <w:rPr/>
            </w:pPr>
            <w:r>
              <w:rPr/>
              <w:t> </w:t>
            </w:r>
          </w:p>
        </w:tc>
      </w:tr>
      <w:tr>
        <w:trPr/>
        <w:tc>
          <w:tcPr>
            <w:tcW w:w="926" w:type="dxa"/>
            <w:tcBorders/>
            <w:shd w:fill="auto" w:val="clear"/>
            <w:vAlign w:val="bottom"/>
          </w:tcPr>
          <w:p>
            <w:pPr>
              <w:pStyle w:val="TableContents"/>
              <w:spacing w:before="0" w:after="0"/>
              <w:ind w:left="0" w:right="0" w:hanging="0"/>
              <w:rPr/>
            </w:pPr>
            <w:r>
              <w:rPr/>
              <w:t> </w:t>
            </w:r>
          </w:p>
        </w:tc>
        <w:tc>
          <w:tcPr>
            <w:tcW w:w="3898" w:type="dxa"/>
            <w:tcBorders/>
            <w:shd w:fill="auto" w:val="clear"/>
            <w:vAlign w:val="bottom"/>
          </w:tcPr>
          <w:p>
            <w:pPr>
              <w:pStyle w:val="TableContents"/>
              <w:spacing w:before="0" w:after="0"/>
              <w:ind w:left="0" w:right="0" w:hanging="0"/>
              <w:rPr/>
            </w:pPr>
            <w:r>
              <w:rPr/>
              <w:t> </w:t>
            </w:r>
          </w:p>
        </w:tc>
        <w:tc>
          <w:tcPr>
            <w:tcW w:w="1109" w:type="dxa"/>
            <w:tcBorders/>
            <w:shd w:fill="auto" w:val="clear"/>
            <w:vAlign w:val="bottom"/>
          </w:tcPr>
          <w:p>
            <w:pPr>
              <w:pStyle w:val="TableContents"/>
              <w:spacing w:before="0" w:after="0"/>
              <w:ind w:left="0" w:right="0" w:hanging="0"/>
              <w:rPr/>
            </w:pPr>
            <w:r>
              <w:rPr/>
              <w:t> </w:t>
            </w:r>
          </w:p>
        </w:tc>
        <w:tc>
          <w:tcPr>
            <w:tcW w:w="4272" w:type="dxa"/>
            <w:gridSpan w:val="2"/>
            <w:tcBorders/>
            <w:shd w:fill="auto" w:val="clear"/>
            <w:vAlign w:val="bottom"/>
          </w:tcPr>
          <w:p>
            <w:pPr>
              <w:pStyle w:val="TableContents"/>
              <w:spacing w:before="0" w:after="0"/>
              <w:ind w:left="0" w:right="0" w:hanging="0"/>
              <w:rPr/>
            </w:pPr>
            <w:r>
              <w:rPr/>
              <w:t> </w:t>
            </w:r>
          </w:p>
        </w:tc>
      </w:tr>
      <w:tr>
        <w:trPr/>
        <w:tc>
          <w:tcPr>
            <w:tcW w:w="926" w:type="dxa"/>
            <w:tcBorders/>
            <w:shd w:fill="auto" w:val="clear"/>
            <w:vAlign w:val="bottom"/>
          </w:tcPr>
          <w:p>
            <w:pPr>
              <w:pStyle w:val="TableContents"/>
              <w:spacing w:before="0" w:after="0"/>
              <w:ind w:left="0" w:right="0" w:hanging="0"/>
              <w:rPr>
                <w:b/>
              </w:rPr>
            </w:pPr>
            <w:r>
              <w:rPr>
                <w:b/>
              </w:rPr>
              <w:t>3.1 (dd)</w:t>
            </w:r>
          </w:p>
        </w:tc>
        <w:tc>
          <w:tcPr>
            <w:tcW w:w="3898" w:type="dxa"/>
            <w:tcBorders/>
            <w:shd w:fill="auto" w:val="clear"/>
            <w:vAlign w:val="bottom"/>
          </w:tcPr>
          <w:p>
            <w:pPr>
              <w:pStyle w:val="TableContents"/>
              <w:spacing w:before="0" w:after="0"/>
              <w:ind w:left="0" w:right="0" w:hanging="0"/>
              <w:rPr>
                <w:b/>
              </w:rPr>
            </w:pPr>
            <w:r>
              <w:rPr>
                <w:b/>
              </w:rPr>
              <w:t>Accountants.</w:t>
            </w:r>
          </w:p>
        </w:tc>
        <w:tc>
          <w:tcPr>
            <w:tcW w:w="5381" w:type="dxa"/>
            <w:gridSpan w:val="3"/>
            <w:tcBorders/>
            <w:shd w:fill="auto" w:val="clear"/>
            <w:vAlign w:val="bottom"/>
          </w:tcPr>
          <w:p>
            <w:pPr>
              <w:pStyle w:val="TableContents"/>
              <w:spacing w:before="0" w:after="0"/>
              <w:ind w:left="0" w:right="0" w:hanging="0"/>
              <w:rPr/>
            </w:pPr>
            <w:r>
              <w:rPr/>
              <w:t> </w:t>
            </w:r>
            <w:r>
              <w:rPr/>
              <w:t xml:space="preserve">KMJ Corbin &amp; Company </w:t>
            </w:r>
          </w:p>
        </w:tc>
      </w:tr>
      <w:tr>
        <w:trPr/>
        <w:tc>
          <w:tcPr>
            <w:tcW w:w="926" w:type="dxa"/>
            <w:tcBorders/>
            <w:shd w:fill="auto" w:val="clear"/>
            <w:vAlign w:val="bottom"/>
          </w:tcPr>
          <w:p>
            <w:pPr>
              <w:pStyle w:val="TableContents"/>
              <w:spacing w:before="0" w:after="0"/>
              <w:ind w:left="0" w:right="0" w:hanging="0"/>
              <w:rPr/>
            </w:pPr>
            <w:r>
              <w:rPr/>
              <w:t> </w:t>
            </w:r>
          </w:p>
        </w:tc>
        <w:tc>
          <w:tcPr>
            <w:tcW w:w="3898" w:type="dxa"/>
            <w:tcBorders/>
            <w:shd w:fill="auto" w:val="clear"/>
            <w:vAlign w:val="bottom"/>
          </w:tcPr>
          <w:p>
            <w:pPr>
              <w:pStyle w:val="TableContents"/>
              <w:spacing w:before="0" w:after="0"/>
              <w:ind w:left="0" w:right="0" w:hanging="0"/>
              <w:rPr/>
            </w:pPr>
            <w:r>
              <w:rPr/>
              <w:t> </w:t>
            </w:r>
          </w:p>
        </w:tc>
        <w:tc>
          <w:tcPr>
            <w:tcW w:w="5381" w:type="dxa"/>
            <w:gridSpan w:val="3"/>
            <w:tcBorders/>
            <w:shd w:fill="auto" w:val="clear"/>
            <w:vAlign w:val="bottom"/>
          </w:tcPr>
          <w:p>
            <w:pPr>
              <w:pStyle w:val="TableContents"/>
              <w:spacing w:before="0" w:after="0"/>
              <w:ind w:left="0" w:right="0" w:hanging="0"/>
              <w:rPr/>
            </w:pPr>
            <w:r>
              <w:rPr/>
              <w:t> </w:t>
            </w:r>
            <w:r>
              <w:rPr/>
              <w:t xml:space="preserve">555 Anton Blvd. Ste 1000 </w:t>
            </w:r>
          </w:p>
        </w:tc>
      </w:tr>
      <w:tr>
        <w:trPr/>
        <w:tc>
          <w:tcPr>
            <w:tcW w:w="926" w:type="dxa"/>
            <w:tcBorders/>
            <w:shd w:fill="auto" w:val="clear"/>
            <w:vAlign w:val="bottom"/>
          </w:tcPr>
          <w:p>
            <w:pPr>
              <w:pStyle w:val="TableContents"/>
              <w:spacing w:before="0" w:after="0"/>
              <w:ind w:left="0" w:right="0" w:hanging="0"/>
              <w:rPr/>
            </w:pPr>
            <w:r>
              <w:rPr/>
              <w:t> </w:t>
            </w:r>
          </w:p>
        </w:tc>
        <w:tc>
          <w:tcPr>
            <w:tcW w:w="3898" w:type="dxa"/>
            <w:tcBorders/>
            <w:shd w:fill="auto" w:val="clear"/>
            <w:vAlign w:val="bottom"/>
          </w:tcPr>
          <w:p>
            <w:pPr>
              <w:pStyle w:val="TableContents"/>
              <w:spacing w:before="0" w:after="0"/>
              <w:ind w:left="0" w:right="0" w:hanging="0"/>
              <w:rPr/>
            </w:pPr>
            <w:r>
              <w:rPr/>
              <w:t> </w:t>
            </w:r>
          </w:p>
        </w:tc>
        <w:tc>
          <w:tcPr>
            <w:tcW w:w="5381" w:type="dxa"/>
            <w:gridSpan w:val="3"/>
            <w:tcBorders/>
            <w:shd w:fill="auto" w:val="clear"/>
            <w:vAlign w:val="bottom"/>
          </w:tcPr>
          <w:p>
            <w:pPr>
              <w:pStyle w:val="TableContents"/>
              <w:spacing w:before="0" w:after="0"/>
              <w:ind w:left="0" w:right="0" w:hanging="0"/>
              <w:rPr/>
            </w:pPr>
            <w:r>
              <w:rPr/>
              <w:t> </w:t>
            </w:r>
            <w:r>
              <w:rPr/>
              <w:t xml:space="preserve">Costa Mesa, CA 92626 </w:t>
            </w:r>
          </w:p>
        </w:tc>
      </w:tr>
      <w:tr>
        <w:trPr/>
        <w:tc>
          <w:tcPr>
            <w:tcW w:w="926" w:type="dxa"/>
            <w:tcBorders/>
            <w:shd w:fill="auto" w:val="clear"/>
            <w:vAlign w:val="bottom"/>
          </w:tcPr>
          <w:p>
            <w:pPr>
              <w:pStyle w:val="TableContents"/>
              <w:spacing w:before="0" w:after="0"/>
              <w:ind w:left="0" w:right="0" w:hanging="0"/>
              <w:rPr/>
            </w:pPr>
            <w:r>
              <w:rPr/>
              <w:t> </w:t>
            </w:r>
          </w:p>
        </w:tc>
        <w:tc>
          <w:tcPr>
            <w:tcW w:w="3898" w:type="dxa"/>
            <w:tcBorders/>
            <w:shd w:fill="auto" w:val="clear"/>
            <w:vAlign w:val="bottom"/>
          </w:tcPr>
          <w:p>
            <w:pPr>
              <w:pStyle w:val="TableContents"/>
              <w:spacing w:before="0" w:after="0"/>
              <w:ind w:left="0" w:right="0" w:hanging="0"/>
              <w:rPr/>
            </w:pPr>
            <w:r>
              <w:rPr/>
              <w:t> </w:t>
            </w:r>
          </w:p>
        </w:tc>
        <w:tc>
          <w:tcPr>
            <w:tcW w:w="1244" w:type="dxa"/>
            <w:gridSpan w:val="2"/>
            <w:tcBorders/>
            <w:shd w:fill="auto" w:val="clear"/>
            <w:vAlign w:val="bottom"/>
          </w:tcPr>
          <w:p>
            <w:pPr>
              <w:pStyle w:val="TableContents"/>
              <w:spacing w:before="0" w:after="0"/>
              <w:ind w:left="0" w:right="0" w:hanging="0"/>
              <w:rPr/>
            </w:pPr>
            <w:r>
              <w:rPr/>
              <w:t> </w:t>
            </w:r>
          </w:p>
        </w:tc>
        <w:tc>
          <w:tcPr>
            <w:tcW w:w="413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pPr>
      <w:r>
        <w:rPr/>
        <w:t>22</w:t>
      </w:r>
    </w:p>
    <w:p>
      <w:pPr>
        <w:pStyle w:val="TextBody"/>
        <w:spacing w:before="0" w:after="0"/>
        <w:ind w:left="0" w:right="0" w:hanging="0"/>
        <w:rPr/>
      </w:pPr>
      <w:r>
        <w:rPr/>
      </w:r>
      <w:r>
        <w:br w:type="page"/>
      </w:r>
    </w:p>
    <w:p>
      <w:pPr>
        <w:pStyle w:val="TextBody"/>
        <w:spacing w:before="0" w:after="0"/>
        <w:ind w:left="0" w:right="0" w:hanging="0"/>
        <w:jc w:val="center"/>
        <w:rPr>
          <w:b/>
        </w:rPr>
      </w:pPr>
      <w:bookmarkStart w:id="14" w:name="f8k042712_ex10z2.htm"/>
      <w:bookmarkStart w:id="15" w:name="ksf8k042712_ex10z2"/>
      <w:bookmarkEnd w:id="14"/>
      <w:bookmarkEnd w:id="15"/>
      <w:r>
        <w:rPr>
          <w:b/>
        </w:rPr>
        <w:commentReference w:id="1"/>
      </w:r>
      <w:r>
        <w:rPr>
          <w:b/>
        </w:rPr>
        <w:t>Exhibit 10.2</w:t>
      </w:r>
    </w:p>
    <w:p>
      <w:pPr>
        <w:pStyle w:val="TextBody"/>
        <w:spacing w:before="0" w:after="0"/>
        <w:ind w:left="0" w:right="0" w:hanging="0"/>
        <w:jc w:val="right"/>
        <w:rPr/>
      </w:pPr>
      <w:r>
        <w:rPr/>
      </w:r>
    </w:p>
    <w:p>
      <w:pPr>
        <w:pStyle w:val="TextBody"/>
        <w:spacing w:before="0" w:after="0"/>
        <w:ind w:left="0" w:right="0" w:hanging="0"/>
        <w:jc w:val="right"/>
        <w:rPr>
          <w:b/>
        </w:rPr>
      </w:pPr>
      <w:r>
        <w:rPr>
          <w:b/>
        </w:rPr>
        <w:t>EXHIBIT B</w:t>
      </w:r>
    </w:p>
    <w:p>
      <w:pPr>
        <w:pStyle w:val="TextBody"/>
        <w:spacing w:before="0" w:after="0"/>
        <w:ind w:left="0" w:right="0" w:hanging="0"/>
        <w:rPr/>
      </w:pPr>
      <w:r>
        <w:rPr/>
      </w:r>
    </w:p>
    <w:p>
      <w:pPr>
        <w:pStyle w:val="TextBody"/>
        <w:spacing w:before="0" w:after="0"/>
        <w:ind w:left="0" w:right="0" w:hanging="0"/>
        <w:jc w:val="both"/>
        <w:rPr/>
      </w:pPr>
      <w:r>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w:t>
      </w:r>
    </w:p>
    <w:p>
      <w:pPr>
        <w:pStyle w:val="TextBody"/>
        <w:spacing w:before="0" w:after="0"/>
        <w:ind w:left="0" w:right="0" w:hanging="0"/>
        <w:rPr/>
      </w:pPr>
      <w:r>
        <w:rPr/>
      </w:r>
    </w:p>
    <w:p>
      <w:pPr>
        <w:pStyle w:val="TextBody"/>
        <w:spacing w:before="0" w:after="0"/>
        <w:ind w:left="0" w:right="0" w:hanging="0"/>
        <w:jc w:val="center"/>
        <w:rPr>
          <w:b/>
        </w:rPr>
      </w:pPr>
      <w:r>
        <w:rPr>
          <w:b/>
        </w:rPr>
        <w:t>COMMON STOCK PURCHASE WARRANT</w:t>
      </w:r>
    </w:p>
    <w:p>
      <w:pPr>
        <w:pStyle w:val="TextBody"/>
        <w:spacing w:before="0" w:after="0"/>
        <w:ind w:left="0" w:right="0" w:hanging="0"/>
        <w:jc w:val="center"/>
        <w:rPr/>
      </w:pPr>
      <w:r>
        <w:rPr/>
      </w:r>
    </w:p>
    <w:p>
      <w:pPr>
        <w:pStyle w:val="TextBody"/>
        <w:spacing w:before="0" w:after="0"/>
        <w:ind w:left="0" w:right="0" w:hanging="0"/>
        <w:jc w:val="center"/>
        <w:rPr>
          <w:b/>
        </w:rPr>
      </w:pPr>
      <w:r>
        <w:rPr>
          <w:b/>
        </w:rPr>
        <w:t>IMPRIMIS PHARMACEUTICALS, INC.</w:t>
      </w:r>
    </w:p>
    <w:p>
      <w:pPr>
        <w:pStyle w:val="TextBody"/>
        <w:spacing w:before="0" w:after="0"/>
        <w:ind w:left="0" w:right="0" w:hanging="0"/>
        <w:jc w:val="center"/>
        <w:rPr/>
      </w:pPr>
      <w:r>
        <w:rPr/>
      </w:r>
    </w:p>
    <w:p>
      <w:pPr>
        <w:pStyle w:val="TextBody"/>
        <w:spacing w:before="0" w:after="0"/>
        <w:ind w:left="0" w:right="0" w:hanging="0"/>
        <w:jc w:val="center"/>
        <w:rPr/>
      </w:pPr>
      <w:r>
        <w:rPr/>
        <w:t>Warrant Shares: _______  Initial Exercise Date:  April 30, 2012</w:t>
      </w:r>
    </w:p>
    <w:p>
      <w:pPr>
        <w:pStyle w:val="TextBody"/>
        <w:spacing w:before="0" w:after="0"/>
        <w:ind w:left="0" w:right="0" w:hanging="0"/>
        <w:jc w:val="center"/>
        <w:rPr/>
      </w:pPr>
      <w:r>
        <w:rPr/>
      </w:r>
    </w:p>
    <w:p>
      <w:pPr>
        <w:pStyle w:val="TextBody"/>
        <w:spacing w:before="0" w:after="0"/>
        <w:ind w:left="0" w:right="0" w:firstLine="720"/>
        <w:jc w:val="both"/>
        <w:rPr/>
      </w:pPr>
      <w:r>
        <w:rPr/>
        <w:t>THIS COMMON STOCK PURCHASE WARRANT (the </w:t>
      </w:r>
      <w:r>
        <w:rPr>
          <w:u w:val="single"/>
        </w:rPr>
        <w:t>Warrant</w:t>
      </w:r>
      <w:r>
        <w:rPr/>
        <w:t>) certifies that, for value received, _____________ or its assigns (the </w:t>
      </w:r>
      <w:r>
        <w:rPr>
          <w:u w:val="single"/>
        </w:rPr>
        <w:t>Holder</w:t>
      </w:r>
      <w:r>
        <w:rPr/>
        <w:t>) is entitled, upon the terms and subject to the limitations on exercise and the conditions hereinafter set forth, at any time on or after the date hereof (the </w:t>
      </w:r>
      <w:r>
        <w:rPr>
          <w:u w:val="single"/>
        </w:rPr>
        <w:t>Initial Exercise Date</w:t>
      </w:r>
      <w:r>
        <w:rPr/>
        <w:t>) and on or prior to the close of business on the three year anniversary of the Initial Exercise Date (the </w:t>
      </w:r>
      <w:r>
        <w:rPr>
          <w:u w:val="single"/>
        </w:rPr>
        <w:t>Termination Date</w:t>
      </w:r>
      <w:r>
        <w:rPr/>
        <w:t>) but not thereafter, to subscribe for and purchase from Imprimis Pharmaceuticals Inc., a Delaware corporation (the </w:t>
      </w:r>
      <w:r>
        <w:rPr>
          <w:u w:val="single"/>
        </w:rPr>
        <w:t>Company</w:t>
      </w:r>
      <w:r>
        <w:rPr/>
        <w:t>), up to ______ shares (as subject to adjustment hereunder, the </w:t>
      </w:r>
      <w:r>
        <w:rPr>
          <w:u w:val="single"/>
        </w:rPr>
        <w:t>Warrant Shares</w:t>
      </w:r>
      <w:r>
        <w:rPr/>
        <w:t>) of Common Stock.  The purchase price of one share of Common Stock under this Warrant shall be equal to the Exercise Price, as defined in Section 2(b).</w:t>
      </w:r>
    </w:p>
    <w:p>
      <w:pPr>
        <w:pStyle w:val="TextBody"/>
        <w:spacing w:before="0" w:after="0"/>
        <w:ind w:left="0" w:right="0" w:hanging="0"/>
        <w:jc w:val="both"/>
        <w:rPr/>
      </w:pPr>
      <w:r>
        <w:rPr/>
      </w:r>
    </w:p>
    <w:p>
      <w:pPr>
        <w:pStyle w:val="TextBody"/>
        <w:spacing w:before="0" w:after="0"/>
        <w:ind w:left="0" w:right="0" w:hanging="30"/>
        <w:jc w:val="both"/>
        <w:rPr/>
      </w:pPr>
      <w:r>
        <w:rPr>
          <w:u w:val="single"/>
        </w:rPr>
        <w:t>Definitions</w:t>
      </w:r>
      <w:r>
        <w:rPr/>
        <w:t>.  Capitalized terms used and not otherwise defined herein shall have the meanings set forth in that certain Securities Purchase Agreement (the Purchase Agreement), with an effective date of April 20, 2012, among the Company and the purchasers signatory thereto.</w:t>
      </w:r>
      <w:r>
        <mc:AlternateContent>
          <mc:Choice Requires="wps">
            <w:drawing>
              <wp:anchor behindDoc="0" distT="0" distB="0" distL="0" distR="0" simplePos="0" locked="0" layoutInCell="1" allowOverlap="1" relativeHeight="111">
                <wp:simplePos x="0" y="0"/>
                <wp:positionH relativeFrom="column">
                  <wp:align>left</wp:align>
                </wp:positionH>
                <wp:positionV relativeFrom="line">
                  <wp:posOffset>635</wp:posOffset>
                </wp:positionV>
                <wp:extent cx="1371600" cy="175260"/>
                <wp:effectExtent l="0" t="0" r="0" b="0"/>
                <wp:wrapSquare wrapText="largest"/>
                <wp:docPr id="110" name="Frame110"/>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u w:val="single"/>
                              </w:rPr>
                            </w:pPr>
                            <w:r>
                              <w:rPr>
                                <w:u w:val="single"/>
                              </w:rPr>
                              <w:t>Section 1.</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Section 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Exercise</w:t>
      </w:r>
      <w:r>
        <w:rPr/>
        <w:t>.</w:t>
      </w:r>
      <w:r>
        <mc:AlternateContent>
          <mc:Choice Requires="wps">
            <w:drawing>
              <wp:anchor behindDoc="0" distT="0" distB="0" distL="0" distR="0" simplePos="0" locked="0" layoutInCell="1" allowOverlap="1" relativeHeight="112">
                <wp:simplePos x="0" y="0"/>
                <wp:positionH relativeFrom="column">
                  <wp:align>left</wp:align>
                </wp:positionH>
                <wp:positionV relativeFrom="line">
                  <wp:posOffset>635</wp:posOffset>
                </wp:positionV>
                <wp:extent cx="1371600" cy="175260"/>
                <wp:effectExtent l="0" t="0" r="0" b="0"/>
                <wp:wrapSquare wrapText="largest"/>
                <wp:docPr id="111" name="Frame111"/>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u w:val="single"/>
                              </w:rPr>
                            </w:pPr>
                            <w:r>
                              <w:rPr>
                                <w:u w:val="single"/>
                              </w:rPr>
                              <w:t>Section 2.</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Section 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Exercise of Warrant</w:t>
      </w:r>
      <w:r>
        <w:rPr/>
        <w:t>.  Exercise of the purchase rights represented by this Warrant may be made, in whole or in part, at any time or times on or after the Initial Exercise Date and on or before the Termination Date by delivery to the Company (or such other office or agency of the Company as it may designate by notice in writing to the registered Holder at the address of the Holder appearing on the books of the Company) of a duly executed facsimile copy of the Notice of Exercise form annexed hereto.  Within three (3) Trading Days following the date of exercise as aforesaid, the Holder shall deliver the aggregate Exercise Price for the shares specified in the applicable Notice of Exercise by wire transfer or cashiers check drawn on a United States bank.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Form within one (1) Business Day of receipt of such notice.  </w:t>
      </w:r>
      <w:r>
        <w:rPr>
          <w:b/>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r>
        <mc:AlternateContent>
          <mc:Choice Requires="wps">
            <w:drawing>
              <wp:anchor behindDoc="0" distT="0" distB="0" distL="0" distR="0" simplePos="0" locked="0" layoutInCell="1" allowOverlap="1" relativeHeight="113">
                <wp:simplePos x="0" y="0"/>
                <wp:positionH relativeFrom="column">
                  <wp:align>left</wp:align>
                </wp:positionH>
                <wp:positionV relativeFrom="line">
                  <wp:posOffset>635</wp:posOffset>
                </wp:positionV>
                <wp:extent cx="1371600" cy="175260"/>
                <wp:effectExtent l="0" t="0" r="0" b="0"/>
                <wp:wrapSquare wrapText="largest"/>
                <wp:docPr id="112" name="Frame112"/>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Exercise Price</w:t>
      </w:r>
      <w:r>
        <w:rPr/>
        <w:t xml:space="preserve">.  The exercise price per share of the Common Stock under this Warrant shall be </w:t>
      </w:r>
      <w:r>
        <w:rPr>
          <w:b/>
        </w:rPr>
        <w:t>$1.185</w:t>
      </w:r>
      <w:r>
        <w:rPr/>
        <w:t>, subject to adjustment hereunder (the </w:t>
      </w:r>
      <w:r>
        <w:rPr>
          <w:u w:val="single"/>
        </w:rPr>
        <w:t>Exercise Price</w:t>
      </w:r>
      <w:r>
        <w:rPr/>
        <w:t>).</w:t>
      </w:r>
      <w:r>
        <mc:AlternateContent>
          <mc:Choice Requires="wps">
            <w:drawing>
              <wp:anchor behindDoc="0" distT="0" distB="0" distL="0" distR="0" simplePos="0" locked="0" layoutInCell="1" allowOverlap="1" relativeHeight="114">
                <wp:simplePos x="0" y="0"/>
                <wp:positionH relativeFrom="column">
                  <wp:align>left</wp:align>
                </wp:positionH>
                <wp:positionV relativeFrom="line">
                  <wp:posOffset>635</wp:posOffset>
                </wp:positionV>
                <wp:extent cx="1371600" cy="175260"/>
                <wp:effectExtent l="0" t="0" r="0" b="0"/>
                <wp:wrapSquare wrapText="largest"/>
                <wp:docPr id="113" name="Frame113"/>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w:t>
      </w:r>
      <w:r>
        <w:rPr>
          <w:u w:val="single"/>
        </w:rPr>
        <w:t>Intentionally omitted</w:t>
      </w:r>
      <w:r>
        <w:rPr/>
        <w:t>]</w:t>
      </w:r>
      <w:r>
        <mc:AlternateContent>
          <mc:Choice Requires="wps">
            <w:drawing>
              <wp:anchor behindDoc="0" distT="0" distB="0" distL="0" distR="0" simplePos="0" locked="0" layoutInCell="1" allowOverlap="1" relativeHeight="115">
                <wp:simplePos x="0" y="0"/>
                <wp:positionH relativeFrom="column">
                  <wp:align>left</wp:align>
                </wp:positionH>
                <wp:positionV relativeFrom="line">
                  <wp:posOffset>635</wp:posOffset>
                </wp:positionV>
                <wp:extent cx="1371600" cy="175260"/>
                <wp:effectExtent l="0" t="0" r="0" b="0"/>
                <wp:wrapSquare wrapText="largest"/>
                <wp:docPr id="114" name="Frame114"/>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c)</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c)</w:t>
                      </w:r>
                    </w:p>
                  </w:txbxContent>
                </v:textbox>
                <w10:wrap type="square" side="right"/>
              </v:rect>
            </w:pict>
          </mc:Fallback>
        </mc:AlternateConten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30"/>
        <w:jc w:val="both"/>
        <w:rPr/>
      </w:pPr>
      <w:r>
        <w:rPr>
          <w:u w:val="single"/>
        </w:rPr>
        <w:t>Mechanics of Exercise</w:t>
      </w:r>
      <w:r>
        <w:rPr/>
        <w:t>.</w:t>
      </w:r>
      <w:r>
        <mc:AlternateContent>
          <mc:Choice Requires="wps">
            <w:drawing>
              <wp:anchor behindDoc="0" distT="0" distB="0" distL="0" distR="0" simplePos="0" locked="0" layoutInCell="1" allowOverlap="1" relativeHeight="116">
                <wp:simplePos x="0" y="0"/>
                <wp:positionH relativeFrom="column">
                  <wp:align>left</wp:align>
                </wp:positionH>
                <wp:positionV relativeFrom="line">
                  <wp:posOffset>635</wp:posOffset>
                </wp:positionV>
                <wp:extent cx="1371600" cy="175260"/>
                <wp:effectExtent l="0" t="0" r="0" b="0"/>
                <wp:wrapSquare wrapText="largest"/>
                <wp:docPr id="115" name="Frame115"/>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d)</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Delivery of Certificates Upon Exercise</w:t>
      </w:r>
      <w:r>
        <w:rPr/>
        <w:t>.  Certificates for shares purchased hereunder shall be transmitted by the Transfer Agent to the Holder by crediting the account of the Holders prime broker with The Depository Trust Company through its Deposit or Withdrawal at Custodian system (</w:t>
      </w:r>
      <w:r>
        <w:rPr>
          <w:u w:val="single"/>
        </w:rPr>
        <w:t>DWAC</w:t>
      </w:r>
      <w:r>
        <w:rPr/>
        <w:t>) if the Company is then a participant in such system and the shares are eligible for resale by the Holder without volume or manner-of-sale limitations pursuant to Rule 144, and otherwise by physical delivery to the address specified by the Holder in the Notice of Exercise by the date that is three (3) Trading Days after the latest of (A) the delivery to the Company of the Notice of Exercise, (B) surrender of this Warrant (if required), and (C) payment of the aggregate Exercise Price as set forth above (such date, the </w:t>
      </w:r>
      <w:r>
        <w:rPr>
          <w:u w:val="single"/>
        </w:rPr>
        <w:t>Warrant Share Delivery Date</w:t>
      </w:r>
      <w:r>
        <w:rPr/>
        <w:t>).   The Warrant Shares shall be deemed to have been issued, and Holder or any other person so designated to be named therein shall be deemed to have become a holder of record of such shares for all purposes, as of the date the Warrant has been exercised, with payment to the Company of the Exercise Price and all taxes required to be paid by the Holder, if any, pursuant to Section 2(d)(vi) prior to the issuance of such shares, having been paid.</w:t>
      </w:r>
      <w:r>
        <mc:AlternateContent>
          <mc:Choice Requires="wps">
            <w:drawing>
              <wp:anchor behindDoc="0" distT="0" distB="0" distL="0" distR="0" simplePos="0" locked="0" layoutInCell="1" allowOverlap="1" relativeHeight="117">
                <wp:simplePos x="0" y="0"/>
                <wp:positionH relativeFrom="column">
                  <wp:align>left</wp:align>
                </wp:positionH>
                <wp:positionV relativeFrom="line">
                  <wp:posOffset>635</wp:posOffset>
                </wp:positionV>
                <wp:extent cx="1828800" cy="175260"/>
                <wp:effectExtent l="0" t="0" r="0" b="0"/>
                <wp:wrapSquare wrapText="largest"/>
                <wp:docPr id="116" name="Frame116"/>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i.</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i.</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Delivery of New Warrants Upon Exercise</w:t>
      </w:r>
      <w:r>
        <w:rPr/>
        <w:t>.  If this Warrant shall have been exercised in part, the Company shall, at the request of a Holder and upon surrender of this Warrant certificate, at the time of delivery of the certificate or certificates representing Warrant Shares, deliver to the Holder a new Warrant evidencing the rights of the Holder to purchase the unpurchased Warrant Shares called for by this Warrant, which new Warrant shall in all other respects be identical with this Warrant.</w:t>
      </w:r>
      <w:r>
        <mc:AlternateContent>
          <mc:Choice Requires="wps">
            <w:drawing>
              <wp:anchor behindDoc="0" distT="0" distB="0" distL="0" distR="0" simplePos="0" locked="0" layoutInCell="1" allowOverlap="1" relativeHeight="118">
                <wp:simplePos x="0" y="0"/>
                <wp:positionH relativeFrom="column">
                  <wp:align>left</wp:align>
                </wp:positionH>
                <wp:positionV relativeFrom="line">
                  <wp:posOffset>635</wp:posOffset>
                </wp:positionV>
                <wp:extent cx="1828800" cy="175260"/>
                <wp:effectExtent l="0" t="0" r="0" b="0"/>
                <wp:wrapSquare wrapText="largest"/>
                <wp:docPr id="117" name="Frame117"/>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ii.</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ii.</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Rescission Rights</w:t>
      </w:r>
      <w:r>
        <w:rPr/>
        <w:t>.  If the Company fails to cause the Transfer Agent to transmit to the Holder a certificate or the certificates representing the Warrant Shares pursuant to Section 2(d)(i) by the Warrant Share Delivery Date, then the Holder will have the right to rescind such exercise.</w:t>
      </w:r>
      <w:r>
        <mc:AlternateContent>
          <mc:Choice Requires="wps">
            <w:drawing>
              <wp:anchor behindDoc="0" distT="0" distB="0" distL="0" distR="0" simplePos="0" locked="0" layoutInCell="1" allowOverlap="1" relativeHeight="119">
                <wp:simplePos x="0" y="0"/>
                <wp:positionH relativeFrom="column">
                  <wp:align>left</wp:align>
                </wp:positionH>
                <wp:positionV relativeFrom="line">
                  <wp:posOffset>635</wp:posOffset>
                </wp:positionV>
                <wp:extent cx="1828800" cy="175260"/>
                <wp:effectExtent l="0" t="0" r="0" b="0"/>
                <wp:wrapSquare wrapText="largest"/>
                <wp:docPr id="118" name="Frame118"/>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iii.</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iii.</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Compensation for Buy-In on Failure to Timely Deliver Certificates Upon Exercise</w:t>
      </w:r>
      <w:r>
        <w:rPr/>
        <w:t>.  In addition to any other rights available to the Holder, if the Company fails to cause the Transfer Agent to transmit to the Holder a certificate or the certificates representing the Warrant Shares pursuant to an exercise on or before the second trading day following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u w:val="single"/>
        </w:rPr>
        <w:t>Buy-In</w:t>
      </w:r>
      <w:r>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w:t>
      </w:r>
      <w:r>
        <mc:AlternateContent>
          <mc:Choice Requires="wps">
            <w:drawing>
              <wp:anchor behindDoc="0" distT="0" distB="0" distL="0" distR="0" simplePos="0" locked="0" layoutInCell="1" allowOverlap="1" relativeHeight="120">
                <wp:simplePos x="0" y="0"/>
                <wp:positionH relativeFrom="column">
                  <wp:align>left</wp:align>
                </wp:positionH>
                <wp:positionV relativeFrom="line">
                  <wp:posOffset>635</wp:posOffset>
                </wp:positionV>
                <wp:extent cx="1828800" cy="175260"/>
                <wp:effectExtent l="0" t="0" r="0" b="0"/>
                <wp:wrapSquare wrapText="largest"/>
                <wp:docPr id="119" name="Frame119"/>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iv.</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iv.</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No Fractional Shares or Scrip</w:t>
      </w:r>
      <w:r>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r>
        <mc:AlternateContent>
          <mc:Choice Requires="wps">
            <w:drawing>
              <wp:anchor behindDoc="0" distT="0" distB="0" distL="0" distR="0" simplePos="0" locked="0" layoutInCell="1" allowOverlap="1" relativeHeight="121">
                <wp:simplePos x="0" y="0"/>
                <wp:positionH relativeFrom="column">
                  <wp:align>left</wp:align>
                </wp:positionH>
                <wp:positionV relativeFrom="line">
                  <wp:posOffset>635</wp:posOffset>
                </wp:positionV>
                <wp:extent cx="1828800" cy="175260"/>
                <wp:effectExtent l="0" t="0" r="0" b="0"/>
                <wp:wrapSquare wrapText="largest"/>
                <wp:docPr id="120" name="Frame120"/>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v.</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v.</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Charges, Taxes and Expenses</w:t>
      </w:r>
      <w:r>
        <w:rPr/>
        <w:t xml:space="preserve">.  Only the initial iissuance of certificates for Warrant Shares shall be made without charge to the Holder for any issue or transfer tax or other incidental expense in respect of the issuance of such certificate, all of which taxes and expenses shall be paid by the Company, and such certificates shall be issued in the name of the Holder or in such name or names as may be directed by the Holder; </w:t>
      </w:r>
      <w:r>
        <w:rPr>
          <w:u w:val="single"/>
        </w:rPr>
        <w:t>provided</w:t>
      </w:r>
      <w:r>
        <w:rPr/>
        <w:t xml:space="preserve">, </w:t>
      </w:r>
      <w:r>
        <w:rPr>
          <w:u w:val="single"/>
        </w:rPr>
        <w:t>however</w:t>
      </w:r>
      <w:r>
        <w:rPr/>
        <w:t>, that in the event certificates for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All subsequent costs and expenses related to transfers or reissuances of certificates for Warrant Shares shall be paid by the Holder.</w:t>
      </w:r>
      <w:r>
        <mc:AlternateContent>
          <mc:Choice Requires="wps">
            <w:drawing>
              <wp:anchor behindDoc="0" distT="0" distB="0" distL="0" distR="0" simplePos="0" locked="0" layoutInCell="1" allowOverlap="1" relativeHeight="122">
                <wp:simplePos x="0" y="0"/>
                <wp:positionH relativeFrom="column">
                  <wp:align>left</wp:align>
                </wp:positionH>
                <wp:positionV relativeFrom="line">
                  <wp:posOffset>635</wp:posOffset>
                </wp:positionV>
                <wp:extent cx="1828800" cy="175260"/>
                <wp:effectExtent l="0" t="0" r="0" b="0"/>
                <wp:wrapSquare wrapText="largest"/>
                <wp:docPr id="121" name="Frame121"/>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vi.</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vi.</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center"/>
        <w:rPr/>
      </w:pPr>
      <w:r>
        <w:rPr/>
        <w:t>2</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30"/>
        <w:jc w:val="both"/>
        <w:rPr/>
      </w:pPr>
      <w:r>
        <w:rPr>
          <w:u w:val="single"/>
        </w:rPr>
        <w:t>Closing of Books</w:t>
      </w:r>
      <w:r>
        <w:rPr/>
        <w:t>.  The Company will not close its stockholder books or records in any manner which prevents the timely exercise of this Warrant, pursuant to the terms hereof.</w:t>
      </w:r>
      <w:r>
        <mc:AlternateContent>
          <mc:Choice Requires="wps">
            <w:drawing>
              <wp:anchor behindDoc="0" distT="0" distB="0" distL="0" distR="0" simplePos="0" locked="0" layoutInCell="1" allowOverlap="1" relativeHeight="123">
                <wp:simplePos x="0" y="0"/>
                <wp:positionH relativeFrom="column">
                  <wp:align>left</wp:align>
                </wp:positionH>
                <wp:positionV relativeFrom="line">
                  <wp:posOffset>635</wp:posOffset>
                </wp:positionV>
                <wp:extent cx="1828800" cy="175260"/>
                <wp:effectExtent l="0" t="0" r="0" b="0"/>
                <wp:wrapSquare wrapText="largest"/>
                <wp:docPr id="122" name="Frame122"/>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vii.</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vii.</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Holders Exercise Limitations</w:t>
      </w:r>
      <w:r>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would beneficially own in excess of the Beneficial Ownership Limitation (as defined below).  For purposes of the foregoing sentence, the number of shares of Common Stock beneficially owned by the Holder and its Affiliates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of which portion of this Warrant is exercisable, in each case subject to the Beneficial Ownership Limitation, and the Company shall have no obligation to verify or confirm the accuracy of such determination and shall have no liability for exercises of this Warrant that are not in compliance with the Beneficial Ownership Limitation.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since the date as of which such number of outstanding shares of Common Stock was reported.  The </w:t>
      </w:r>
      <w:r>
        <w:rPr>
          <w:u w:val="single"/>
        </w:rPr>
        <w:t>Beneficial Ownership Limitation</w:t>
      </w:r>
      <w:r>
        <w:rPr/>
        <w:t> shall be 4.99% of the number of shares of the Common Stock outstanding immediately after giving effect to the issuance of shares of Common Stock issuable upon exercise of this Warrant.  The Holder, upon not less than 61 days prior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such increase or decrease will not be effective until the 61</w:t>
      </w:r>
      <w:r>
        <w:rPr>
          <w:position w:val="8"/>
          <w:sz w:val="19"/>
        </w:rPr>
        <w:t>st</w:t>
      </w:r>
      <w:r>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r>
        <mc:AlternateContent>
          <mc:Choice Requires="wps">
            <w:drawing>
              <wp:anchor behindDoc="0" distT="0" distB="0" distL="0" distR="0" simplePos="0" locked="0" layoutInCell="1" allowOverlap="1" relativeHeight="124">
                <wp:simplePos x="0" y="0"/>
                <wp:positionH relativeFrom="column">
                  <wp:align>left</wp:align>
                </wp:positionH>
                <wp:positionV relativeFrom="line">
                  <wp:posOffset>635</wp:posOffset>
                </wp:positionV>
                <wp:extent cx="1371600" cy="175260"/>
                <wp:effectExtent l="0" t="0" r="0" b="0"/>
                <wp:wrapSquare wrapText="largest"/>
                <wp:docPr id="123" name="Frame123"/>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e)</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e)</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center"/>
        <w:rPr/>
      </w:pPr>
      <w:r>
        <w:rPr/>
        <w:t>3</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30"/>
        <w:jc w:val="both"/>
        <w:rPr/>
      </w:pPr>
      <w:r>
        <w:rPr>
          <w:u w:val="single"/>
        </w:rPr>
        <w:t>Mandatory Exercise</w:t>
      </w:r>
      <w:r>
        <w:rPr/>
        <w:t>.  The Company may require that the Holder exercise this Warrant in whole but not in part (the </w:t>
      </w:r>
      <w:r>
        <w:rPr>
          <w:u w:val="single"/>
        </w:rPr>
        <w:t>Mandatory Exercise</w:t>
      </w:r>
      <w:r>
        <w:rPr/>
        <w:t>) within twenty (20) Business Days after the date of the Mandatory Exercise Notice (as defined below) by delivering a written notice to the Holder (the </w:t>
      </w:r>
      <w:r>
        <w:rPr>
          <w:u w:val="single"/>
        </w:rPr>
        <w:t>Mandatory Exercise Notice</w:t>
      </w:r>
      <w:r>
        <w:rPr/>
        <w:t xml:space="preserve">); provided that (i) the VWAP for ten (10) consecutive Trading Days is equal to or greater than the Exercise Price, (ii) </w:t>
      </w:r>
      <w:r>
        <w:rPr>
          <w:b/>
        </w:rPr>
        <w:t>the Company has received a Filing Review Notification (commonly referred to as a “74 Day Letter”) from the U.S. Food and Drug Administration regarding the status of the Company’s Impracor™ topical non-steroidal anti-inflammatory drug</w:t>
      </w:r>
      <w:r>
        <w:rPr/>
        <w:t>, and (iii) sufficient shares of Common Stock are authorized and reserved for issuance upon the full exercise of this Warrant.  The Mandatory Exercise Notice shall set forth the VWAP for each of the previous ten (10) Trading Days immediately preceding the date of the Mandatory Exercise Notice and shall state that this Warrant be exercised in conformity with this Section 2(f) within twenty (20) Business Days.  Within ten (10) Business Day days of receipt of a Mandatory Exercise Notice, the Holder shall deliver a written notice to the Company (the </w:t>
      </w:r>
      <w:r>
        <w:rPr>
          <w:u w:val="single"/>
        </w:rPr>
        <w:t>Participation Notice</w:t>
      </w:r>
      <w:r>
        <w:rPr/>
        <w:t>), stating whether or not the Holder agrees to participate in such Mandatory Exercise.  If the Holder states in its Participation Notice that it elects not to participate in the Mandatory Exercise or if the Holder fails to deliver a Participation Notice within the time period specified in this Section 2(f), then (i) the Holder shall forfeit such Holders rights, title and interest under this Warrant, (ii) this Warrant shall be deemed terminated and (iii) the Holder shall deliver to the Company within three (3) Trading Days of the date of such Holders Participation Notice this Warrant marked CANCELLED.  If the Holder states in its Participation Notice that it elects to participate in the Mandatory Exercise and makes payment of the Exercise Price by certified or official bank check payable to the order of the Company or wire transfer to the account of the Company within ten (10) Business  Day days of receipt of a Mandatory Exercise Notice, then this Warrant shall be deemed to be exercised without any further action on the part of the Holder hereof pursuant to this Section 2(f) for all of the Warrant Shares that can be obtained pursuant to such exercise on the twentieth (20th) Business Day after the Mandatory Exercise Notice (the </w:t>
      </w:r>
      <w:r>
        <w:rPr>
          <w:u w:val="single"/>
        </w:rPr>
        <w:t>Automatic Mandatory Exercise Date</w:t>
      </w:r>
      <w:r>
        <w:rPr/>
        <w:t>).</w:t>
      </w:r>
      <w:r>
        <mc:AlternateContent>
          <mc:Choice Requires="wps">
            <w:drawing>
              <wp:anchor behindDoc="0" distT="0" distB="0" distL="0" distR="0" simplePos="0" locked="0" layoutInCell="1" allowOverlap="1" relativeHeight="125">
                <wp:simplePos x="0" y="0"/>
                <wp:positionH relativeFrom="column">
                  <wp:align>left</wp:align>
                </wp:positionH>
                <wp:positionV relativeFrom="line">
                  <wp:posOffset>635</wp:posOffset>
                </wp:positionV>
                <wp:extent cx="1371600" cy="175260"/>
                <wp:effectExtent l="0" t="0" r="0" b="0"/>
                <wp:wrapSquare wrapText="largest"/>
                <wp:docPr id="124" name="Frame124"/>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f)</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f)</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Certain Adjustments</w:t>
      </w:r>
      <w:r>
        <w:rPr/>
        <w:t>.</w:t>
      </w:r>
      <w:r>
        <mc:AlternateContent>
          <mc:Choice Requires="wps">
            <w:drawing>
              <wp:anchor behindDoc="0" distT="0" distB="0" distL="0" distR="0" simplePos="0" locked="0" layoutInCell="1" allowOverlap="1" relativeHeight="126">
                <wp:simplePos x="0" y="0"/>
                <wp:positionH relativeFrom="column">
                  <wp:align>left</wp:align>
                </wp:positionH>
                <wp:positionV relativeFrom="line">
                  <wp:posOffset>635</wp:posOffset>
                </wp:positionV>
                <wp:extent cx="1371600" cy="175260"/>
                <wp:effectExtent l="0" t="0" r="0" b="0"/>
                <wp:wrapSquare wrapText="largest"/>
                <wp:docPr id="125" name="Frame125"/>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u w:val="single"/>
                              </w:rPr>
                            </w:pPr>
                            <w:r>
                              <w:rPr>
                                <w:u w:val="single"/>
                              </w:rPr>
                              <w:t>Section 3.</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Section 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Stock Dividends and Splits</w:t>
      </w:r>
      <w:r>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r>
        <mc:AlternateContent>
          <mc:Choice Requires="wps">
            <w:drawing>
              <wp:anchor behindDoc="0" distT="0" distB="0" distL="0" distR="0" simplePos="0" locked="0" layoutInCell="1" allowOverlap="1" relativeHeight="127">
                <wp:simplePos x="0" y="0"/>
                <wp:positionH relativeFrom="column">
                  <wp:align>left</wp:align>
                </wp:positionH>
                <wp:positionV relativeFrom="line">
                  <wp:posOffset>635</wp:posOffset>
                </wp:positionV>
                <wp:extent cx="1371600" cy="175260"/>
                <wp:effectExtent l="0" t="0" r="0" b="0"/>
                <wp:wrapSquare wrapText="largest"/>
                <wp:docPr id="126" name="Frame126"/>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u w:val="single"/>
        </w:rPr>
      </w:pPr>
      <w:r>
        <w:rPr>
          <w:u w:val="single"/>
        </w:rPr>
        <w:t>[Intentionally omitted]</w:t>
      </w:r>
      <w:r>
        <mc:AlternateContent>
          <mc:Choice Requires="wps">
            <w:drawing>
              <wp:anchor behindDoc="0" distT="0" distB="0" distL="0" distR="0" simplePos="0" locked="0" layoutInCell="1" allowOverlap="1" relativeHeight="128">
                <wp:simplePos x="0" y="0"/>
                <wp:positionH relativeFrom="column">
                  <wp:align>left</wp:align>
                </wp:positionH>
                <wp:positionV relativeFrom="line">
                  <wp:posOffset>635</wp:posOffset>
                </wp:positionV>
                <wp:extent cx="1371600" cy="175260"/>
                <wp:effectExtent l="0" t="0" r="0" b="0"/>
                <wp:wrapSquare wrapText="largest"/>
                <wp:docPr id="127" name="Frame127"/>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Subsequent Rights Offerings</w:t>
      </w:r>
      <w:r>
        <w:rPr/>
        <w:t>.  In addition to any adjustments pursuant to Section 3(a) above, if at any time this Warrant is outstanding the Company grants or issues any rights to purchase stock, warrants, securities or other property pro rata to all record holders of any class of shares of Common Stock (and not the Holder) (the </w:t>
      </w:r>
      <w:r>
        <w:rPr>
          <w:u w:val="single"/>
        </w:rPr>
        <w:t>Purchase Rights</w:t>
      </w:r>
      <w:r>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w:t>
      </w:r>
      <w:r>
        <mc:AlternateContent>
          <mc:Choice Requires="wps">
            <w:drawing>
              <wp:anchor behindDoc="0" distT="0" distB="0" distL="0" distR="0" simplePos="0" locked="0" layoutInCell="1" allowOverlap="1" relativeHeight="129">
                <wp:simplePos x="0" y="0"/>
                <wp:positionH relativeFrom="column">
                  <wp:align>left</wp:align>
                </wp:positionH>
                <wp:positionV relativeFrom="line">
                  <wp:posOffset>635</wp:posOffset>
                </wp:positionV>
                <wp:extent cx="1371600" cy="175260"/>
                <wp:effectExtent l="0" t="0" r="0" b="0"/>
                <wp:wrapSquare wrapText="largest"/>
                <wp:docPr id="128" name="Frame128"/>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c)</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c)</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center"/>
        <w:rPr/>
      </w:pPr>
      <w:r>
        <w:rPr/>
        <w:t>4</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30"/>
        <w:jc w:val="both"/>
        <w:rPr/>
      </w:pPr>
      <w:r>
        <w:rPr>
          <w:u w:val="single"/>
        </w:rPr>
        <w:t>Pro Rata Distributions</w:t>
      </w:r>
      <w:r>
        <w:rPr/>
        <w:t>.  If the Company, at any time while this Warrant is outstanding, shall distribute to all holders of Common Stock (and not to the Holder) evidences of its indebtedness or assets (including cash and cash dividends) or rights or warrants to subscribe for or purchase any security other than the Common Stock, then in each such case the Exercise Price shall be adjusted by multiplying the Exercise Price in effect immediately prior to the record date fixed for determination of stockholders entitled to receive such distribution by a fraction of which the denominator shall be the VWAP determined as of the record date mentioned above, and of which the numerator shall be such VWAP on such record date less the then per share fair market value at such record date of the portion of such assets or evidence of indebtedness or rights or warrants so distributed applicable to one outstanding share of the Common Stock as determined by the Board of Directors in good faith.  In either case the adjustments shall be described in a statement provided to the Holder of the portion of assets or evidences of indebtedness so distributed or such subscription rights applicable to one share of Common Stock.  Such adjustment shall be made whenever any such distribution is made and shall become effective immediately after the record date mentioned above.</w:t>
      </w:r>
      <w:r>
        <mc:AlternateContent>
          <mc:Choice Requires="wps">
            <w:drawing>
              <wp:anchor behindDoc="0" distT="0" distB="0" distL="0" distR="0" simplePos="0" locked="0" layoutInCell="1" allowOverlap="1" relativeHeight="130">
                <wp:simplePos x="0" y="0"/>
                <wp:positionH relativeFrom="column">
                  <wp:align>left</wp:align>
                </wp:positionH>
                <wp:positionV relativeFrom="line">
                  <wp:posOffset>635</wp:posOffset>
                </wp:positionV>
                <wp:extent cx="1371600" cy="175260"/>
                <wp:effectExtent l="0" t="0" r="0" b="0"/>
                <wp:wrapSquare wrapText="largest"/>
                <wp:docPr id="129" name="Frame129"/>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d)</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Fundamental Transaction</w:t>
      </w:r>
      <w:r>
        <w:rPr/>
        <w:t>.  If, at any time while this Warrant is outstanding, (i) the Company, directly or indirectly, in one or more related transactions effects any merger or consolidation of the Company with or into another Person and the Company is not the surviving corporation (but excluding a merger effected solely for the purpose of changing the jurisdiction of incorporation of the Company),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w:t>
      </w:r>
      <w:bookmarkStart w:id="16" w:name="OLE_LINK6"/>
      <w:bookmarkStart w:id="17" w:name="OLE_LINK5"/>
      <w:bookmarkEnd w:id="16"/>
      <w:bookmarkEnd w:id="17"/>
      <w:r>
        <w:rPr/>
        <w:t>,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u w:val="single"/>
        </w:rPr>
        <w:t>Fundamental Transaction</w:t>
      </w:r>
      <w:r>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that the Holder would have received if the Holder had exercised immediately prior to the Fundamental Transaction, if it is the surviving corporation, and any additional consideration (the </w:t>
      </w:r>
      <w:r>
        <w:rPr>
          <w:u w:val="single"/>
        </w:rPr>
        <w:t>Alternate Consideration</w:t>
      </w:r>
      <w:r>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w:t>
      </w:r>
      <w:r>
        <mc:AlternateContent>
          <mc:Choice Requires="wps">
            <w:drawing>
              <wp:anchor behindDoc="0" distT="0" distB="0" distL="0" distR="0" simplePos="0" locked="0" layoutInCell="1" allowOverlap="1" relativeHeight="131">
                <wp:simplePos x="0" y="0"/>
                <wp:positionH relativeFrom="column">
                  <wp:align>left</wp:align>
                </wp:positionH>
                <wp:positionV relativeFrom="line">
                  <wp:posOffset>635</wp:posOffset>
                </wp:positionV>
                <wp:extent cx="1371600" cy="175260"/>
                <wp:effectExtent l="0" t="0" r="0" b="0"/>
                <wp:wrapSquare wrapText="largest"/>
                <wp:docPr id="130" name="Frame130"/>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e)</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e)</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Calculations</w:t>
      </w:r>
      <w:r>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r>
        <mc:AlternateContent>
          <mc:Choice Requires="wps">
            <w:drawing>
              <wp:anchor behindDoc="0" distT="0" distB="0" distL="0" distR="0" simplePos="0" locked="0" layoutInCell="1" allowOverlap="1" relativeHeight="132">
                <wp:simplePos x="0" y="0"/>
                <wp:positionH relativeFrom="column">
                  <wp:align>left</wp:align>
                </wp:positionH>
                <wp:positionV relativeFrom="line">
                  <wp:posOffset>635</wp:posOffset>
                </wp:positionV>
                <wp:extent cx="1371600" cy="175260"/>
                <wp:effectExtent l="0" t="0" r="0" b="0"/>
                <wp:wrapSquare wrapText="largest"/>
                <wp:docPr id="131" name="Frame131"/>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f)</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f)</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Notice to Holder</w:t>
      </w:r>
      <w:r>
        <w:rPr/>
        <w:t>.</w:t>
      </w:r>
      <w:r>
        <mc:AlternateContent>
          <mc:Choice Requires="wps">
            <w:drawing>
              <wp:anchor behindDoc="0" distT="0" distB="0" distL="0" distR="0" simplePos="0" locked="0" layoutInCell="1" allowOverlap="1" relativeHeight="133">
                <wp:simplePos x="0" y="0"/>
                <wp:positionH relativeFrom="column">
                  <wp:align>left</wp:align>
                </wp:positionH>
                <wp:positionV relativeFrom="line">
                  <wp:posOffset>635</wp:posOffset>
                </wp:positionV>
                <wp:extent cx="1371600" cy="175260"/>
                <wp:effectExtent l="0" t="0" r="0" b="0"/>
                <wp:wrapSquare wrapText="largest"/>
                <wp:docPr id="132" name="Frame132"/>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g)</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g)</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Adjustment to Exercise Price</w:t>
      </w:r>
      <w:r>
        <w:rPr/>
        <w:t>.  Whenever the Exercise Price is adjusted pursuant to any provision of this Section 3, the Company shall promptly mail to the Holder a notice setting forth the Exercise Price after such adjustment and any resulting adjustment to the number of Warrant Shares and setting forth a brief statement of the facts requiring such adjustment..</w:t>
      </w:r>
      <w:r>
        <mc:AlternateContent>
          <mc:Choice Requires="wps">
            <w:drawing>
              <wp:anchor behindDoc="0" distT="0" distB="0" distL="0" distR="0" simplePos="0" locked="0" layoutInCell="1" allowOverlap="1" relativeHeight="134">
                <wp:simplePos x="0" y="0"/>
                <wp:positionH relativeFrom="column">
                  <wp:align>left</wp:align>
                </wp:positionH>
                <wp:positionV relativeFrom="line">
                  <wp:posOffset>635</wp:posOffset>
                </wp:positionV>
                <wp:extent cx="1828800" cy="175260"/>
                <wp:effectExtent l="0" t="0" r="0" b="0"/>
                <wp:wrapSquare wrapText="largest"/>
                <wp:docPr id="133" name="Frame133"/>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i.</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i.</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center"/>
        <w:rPr/>
      </w:pPr>
      <w:r>
        <w:rPr/>
        <w:t>5</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30"/>
        <w:jc w:val="both"/>
        <w:rPr/>
      </w:pPr>
      <w:r>
        <w:rPr>
          <w:u w:val="single"/>
        </w:rPr>
        <w:t>Notice to Allow Exercise by Holder</w:t>
      </w:r>
      <w:r>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mailed to the Holder at its last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mail such notice or any defect therein or in the mailing thereof shall not affect the validity of the corporate action required to be specified in such notice.  To the extent that any notice provided hereunder constitutes, or contains, material, non-public information regarding the Company or any of the Subsidiaries, the Company shall simultaneously disclose such information in compliance with applicable securities laws.  The Holder shall remain entitled to exercise this Warrant during the period commencing on the date of such notice to the effective date of the event triggering such notice except as may otherwise be expressly set forth herein.</w:t>
      </w:r>
      <w:r>
        <mc:AlternateContent>
          <mc:Choice Requires="wps">
            <w:drawing>
              <wp:anchor behindDoc="0" distT="0" distB="0" distL="0" distR="0" simplePos="0" locked="0" layoutInCell="1" allowOverlap="1" relativeHeight="135">
                <wp:simplePos x="0" y="0"/>
                <wp:positionH relativeFrom="column">
                  <wp:align>left</wp:align>
                </wp:positionH>
                <wp:positionV relativeFrom="line">
                  <wp:posOffset>635</wp:posOffset>
                </wp:positionV>
                <wp:extent cx="1828800" cy="175260"/>
                <wp:effectExtent l="0" t="0" r="0" b="0"/>
                <wp:wrapSquare wrapText="largest"/>
                <wp:docPr id="134" name="Frame134"/>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ii.</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ii.</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Transfer of Warrant</w:t>
      </w:r>
      <w:r>
        <w:rPr/>
        <w:t>.</w:t>
      </w:r>
      <w:r>
        <mc:AlternateContent>
          <mc:Choice Requires="wps">
            <w:drawing>
              <wp:anchor behindDoc="0" distT="0" distB="0" distL="0" distR="0" simplePos="0" locked="0" layoutInCell="1" allowOverlap="1" relativeHeight="136">
                <wp:simplePos x="0" y="0"/>
                <wp:positionH relativeFrom="column">
                  <wp:align>left</wp:align>
                </wp:positionH>
                <wp:positionV relativeFrom="line">
                  <wp:posOffset>635</wp:posOffset>
                </wp:positionV>
                <wp:extent cx="1371600" cy="175260"/>
                <wp:effectExtent l="0" t="0" r="0" b="0"/>
                <wp:wrapSquare wrapText="largest"/>
                <wp:docPr id="135" name="Frame135"/>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u w:val="single"/>
                              </w:rPr>
                            </w:pPr>
                            <w:r>
                              <w:rPr>
                                <w:u w:val="single"/>
                              </w:rPr>
                              <w:t>Section 4.</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Section 4.</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Transferability</w:t>
      </w:r>
      <w:r>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The Warrant, if properly assigned in accordance herewith, may be exercised by a new holder for the purchase of Warrant Shares without having a new Warrant issued.</w:t>
      </w:r>
      <w:r>
        <mc:AlternateContent>
          <mc:Choice Requires="wps">
            <w:drawing>
              <wp:anchor behindDoc="0" distT="0" distB="0" distL="0" distR="0" simplePos="0" locked="0" layoutInCell="1" allowOverlap="1" relativeHeight="137">
                <wp:simplePos x="0" y="0"/>
                <wp:positionH relativeFrom="column">
                  <wp:align>left</wp:align>
                </wp:positionH>
                <wp:positionV relativeFrom="line">
                  <wp:posOffset>635</wp:posOffset>
                </wp:positionV>
                <wp:extent cx="1371600" cy="175260"/>
                <wp:effectExtent l="0" t="0" r="0" b="0"/>
                <wp:wrapSquare wrapText="largest"/>
                <wp:docPr id="136" name="Frame136"/>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New Warrants</w:t>
      </w:r>
      <w:r>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and shall be identical with this Warrant except as to the number of Warrant Shares issuable pursuant thereto.</w:t>
      </w:r>
      <w:r>
        <mc:AlternateContent>
          <mc:Choice Requires="wps">
            <w:drawing>
              <wp:anchor behindDoc="0" distT="0" distB="0" distL="0" distR="0" simplePos="0" locked="0" layoutInCell="1" allowOverlap="1" relativeHeight="138">
                <wp:simplePos x="0" y="0"/>
                <wp:positionH relativeFrom="column">
                  <wp:align>left</wp:align>
                </wp:positionH>
                <wp:positionV relativeFrom="line">
                  <wp:posOffset>635</wp:posOffset>
                </wp:positionV>
                <wp:extent cx="1371600" cy="175260"/>
                <wp:effectExtent l="0" t="0" r="0" b="0"/>
                <wp:wrapSquare wrapText="largest"/>
                <wp:docPr id="137" name="Frame137"/>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Warrant Register</w:t>
      </w:r>
      <w:r>
        <w:rPr/>
        <w:t>.  The Company shall register this Warrant, upon records to be maintained by the Company for that purpose (the </w:t>
      </w:r>
      <w:r>
        <w:rPr>
          <w:u w:val="single"/>
        </w:rPr>
        <w:t>Warrant Register</w:t>
      </w:r>
      <w:r>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r>
        <mc:AlternateContent>
          <mc:Choice Requires="wps">
            <w:drawing>
              <wp:anchor behindDoc="0" distT="0" distB="0" distL="0" distR="0" simplePos="0" locked="0" layoutInCell="1" allowOverlap="1" relativeHeight="139">
                <wp:simplePos x="0" y="0"/>
                <wp:positionH relativeFrom="column">
                  <wp:align>left</wp:align>
                </wp:positionH>
                <wp:positionV relativeFrom="line">
                  <wp:posOffset>635</wp:posOffset>
                </wp:positionV>
                <wp:extent cx="1371600" cy="175260"/>
                <wp:effectExtent l="0" t="0" r="0" b="0"/>
                <wp:wrapSquare wrapText="largest"/>
                <wp:docPr id="138" name="Frame138"/>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c)</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c)</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Transfer Restrictions</w:t>
      </w:r>
      <w:r>
        <w:rPr/>
        <w:t xml:space="preserve">.  If, at the </w:t>
      </w:r>
      <w:bookmarkStart w:id="18" w:name="_DV_C75"/>
      <w:bookmarkEnd w:id="18"/>
      <w:r>
        <w:rPr/>
        <w:t xml:space="preserve">time of the surrender of this Warrant in connection with any transfer of this Warrant, the transfer of this Warrant shall not be </w:t>
      </w:r>
      <w:bookmarkStart w:id="19" w:name="_DV_C78"/>
      <w:bookmarkEnd w:id="19"/>
      <w:r>
        <w:rPr/>
        <w:t>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r>
        <mc:AlternateContent>
          <mc:Choice Requires="wps">
            <w:drawing>
              <wp:anchor behindDoc="0" distT="0" distB="0" distL="0" distR="0" simplePos="0" locked="0" layoutInCell="1" allowOverlap="1" relativeHeight="140">
                <wp:simplePos x="0" y="0"/>
                <wp:positionH relativeFrom="column">
                  <wp:align>left</wp:align>
                </wp:positionH>
                <wp:positionV relativeFrom="line">
                  <wp:posOffset>635</wp:posOffset>
                </wp:positionV>
                <wp:extent cx="1371600" cy="175260"/>
                <wp:effectExtent l="0" t="0" r="0" b="0"/>
                <wp:wrapSquare wrapText="largest"/>
                <wp:docPr id="139" name="Frame139"/>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d)</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Representation by the Holder</w:t>
      </w:r>
      <w:r>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r>
        <mc:AlternateContent>
          <mc:Choice Requires="wps">
            <w:drawing>
              <wp:anchor behindDoc="0" distT="0" distB="0" distL="0" distR="0" simplePos="0" locked="0" layoutInCell="1" allowOverlap="1" relativeHeight="141">
                <wp:simplePos x="0" y="0"/>
                <wp:positionH relativeFrom="column">
                  <wp:align>left</wp:align>
                </wp:positionH>
                <wp:positionV relativeFrom="line">
                  <wp:posOffset>635</wp:posOffset>
                </wp:positionV>
                <wp:extent cx="1371600" cy="175260"/>
                <wp:effectExtent l="0" t="0" r="0" b="0"/>
                <wp:wrapSquare wrapText="largest"/>
                <wp:docPr id="140" name="Frame140"/>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e)</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e)</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center"/>
        <w:rPr/>
      </w:pPr>
      <w:r>
        <w:rPr/>
        <w:t>6</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30"/>
        <w:jc w:val="both"/>
        <w:rPr/>
      </w:pPr>
      <w:r>
        <w:rPr>
          <w:u w:val="single"/>
        </w:rPr>
        <w:t>Miscellaneous</w:t>
      </w:r>
      <w:r>
        <w:rPr/>
        <w:t>.</w:t>
      </w:r>
      <w:r>
        <mc:AlternateContent>
          <mc:Choice Requires="wps">
            <w:drawing>
              <wp:anchor behindDoc="0" distT="0" distB="0" distL="0" distR="0" simplePos="0" locked="0" layoutInCell="1" allowOverlap="1" relativeHeight="142">
                <wp:simplePos x="0" y="0"/>
                <wp:positionH relativeFrom="column">
                  <wp:align>left</wp:align>
                </wp:positionH>
                <wp:positionV relativeFrom="line">
                  <wp:posOffset>635</wp:posOffset>
                </wp:positionV>
                <wp:extent cx="1371600" cy="175260"/>
                <wp:effectExtent l="0" t="0" r="0" b="0"/>
                <wp:wrapSquare wrapText="largest"/>
                <wp:docPr id="141" name="Frame141"/>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u w:val="single"/>
                              </w:rPr>
                            </w:pPr>
                            <w:r>
                              <w:rPr>
                                <w:u w:val="single"/>
                              </w:rPr>
                              <w:t>Section 5.</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Section 5.</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No Rights as Stockholder Until Exercise</w:t>
      </w:r>
      <w:r>
        <w:rPr/>
        <w:t>.  This Warrant does not entitle the Holder to any voting rights, dividends or other rights as a stockholder of the Company prior to the exercise hereof as set forth in Section 2(d)(i).</w:t>
      </w:r>
      <w:r>
        <mc:AlternateContent>
          <mc:Choice Requires="wps">
            <w:drawing>
              <wp:anchor behindDoc="0" distT="0" distB="0" distL="0" distR="0" simplePos="0" locked="0" layoutInCell="1" allowOverlap="1" relativeHeight="143">
                <wp:simplePos x="0" y="0"/>
                <wp:positionH relativeFrom="column">
                  <wp:align>left</wp:align>
                </wp:positionH>
                <wp:positionV relativeFrom="line">
                  <wp:posOffset>635</wp:posOffset>
                </wp:positionV>
                <wp:extent cx="1371600" cy="175260"/>
                <wp:effectExtent l="0" t="0" r="0" b="0"/>
                <wp:wrapSquare wrapText="largest"/>
                <wp:docPr id="142" name="Frame142"/>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Loss, Theft, Destruction or Mutilation of Warrant</w:t>
      </w:r>
      <w:r>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r>
        <mc:AlternateContent>
          <mc:Choice Requires="wps">
            <w:drawing>
              <wp:anchor behindDoc="0" distT="0" distB="0" distL="0" distR="0" simplePos="0" locked="0" layoutInCell="1" allowOverlap="1" relativeHeight="144">
                <wp:simplePos x="0" y="0"/>
                <wp:positionH relativeFrom="column">
                  <wp:align>left</wp:align>
                </wp:positionH>
                <wp:positionV relativeFrom="line">
                  <wp:posOffset>635</wp:posOffset>
                </wp:positionV>
                <wp:extent cx="1371600" cy="175260"/>
                <wp:effectExtent l="0" t="0" r="0" b="0"/>
                <wp:wrapSquare wrapText="largest"/>
                <wp:docPr id="143" name="Frame143"/>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Saturdays, Sundays, Holidays, etc</w:t>
      </w:r>
      <w:r>
        <w:rPr/>
        <w:t>.  If the last or appointed day for the taking of any action or the expiration of any right required or granted herein shall not be a Business Day, then, such action may be taken or such right may be exercised on the next succeeding Business Day.</w:t>
      </w:r>
      <w:r>
        <mc:AlternateContent>
          <mc:Choice Requires="wps">
            <w:drawing>
              <wp:anchor behindDoc="0" distT="0" distB="0" distL="0" distR="0" simplePos="0" locked="0" layoutInCell="1" allowOverlap="1" relativeHeight="145">
                <wp:simplePos x="0" y="0"/>
                <wp:positionH relativeFrom="column">
                  <wp:align>left</wp:align>
                </wp:positionH>
                <wp:positionV relativeFrom="line">
                  <wp:posOffset>635</wp:posOffset>
                </wp:positionV>
                <wp:extent cx="1371600" cy="175260"/>
                <wp:effectExtent l="0" t="0" r="0" b="0"/>
                <wp:wrapSquare wrapText="largest"/>
                <wp:docPr id="144" name="Frame144"/>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c)</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c)</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Authorized Shares</w:t>
      </w:r>
      <w:r>
        <w:rPr/>
        <w:t>.</w:t>
      </w:r>
      <w:r>
        <mc:AlternateContent>
          <mc:Choice Requires="wps">
            <w:drawing>
              <wp:anchor behindDoc="0" distT="0" distB="0" distL="0" distR="0" simplePos="0" locked="0" layoutInCell="1" allowOverlap="1" relativeHeight="146">
                <wp:simplePos x="0" y="0"/>
                <wp:positionH relativeFrom="column">
                  <wp:align>left</wp:align>
                </wp:positionH>
                <wp:positionV relativeFrom="line">
                  <wp:posOffset>635</wp:posOffset>
                </wp:positionV>
                <wp:extent cx="1371600" cy="175260"/>
                <wp:effectExtent l="0" t="0" r="0" b="0"/>
                <wp:wrapSquare wrapText="largest"/>
                <wp:docPr id="145" name="Frame145"/>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d)</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executing stock certificates to execute and issue the necessary certificates for the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r>
        <mc:AlternateContent>
          <mc:Choice Requires="wps">
            <w:drawing>
              <wp:anchor behindDoc="0" distT="0" distB="0" distL="0" distR="0" simplePos="0" locked="0" layoutInCell="1" allowOverlap="1" relativeHeight="147">
                <wp:simplePos x="0" y="0"/>
                <wp:positionH relativeFrom="column">
                  <wp:align>left</wp:align>
                </wp:positionH>
                <wp:positionV relativeFrom="line">
                  <wp:posOffset>635</wp:posOffset>
                </wp:positionV>
                <wp:extent cx="1828800" cy="175260"/>
                <wp:effectExtent l="0" t="0" r="0" b="0"/>
                <wp:wrapSquare wrapText="largest"/>
                <wp:docPr id="146" name="Frame146"/>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(i)</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(i)</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w:t>
      </w:r>
      <w:r>
        <mc:AlternateContent>
          <mc:Choice Requires="wps">
            <w:drawing>
              <wp:anchor behindDoc="0" distT="0" distB="0" distL="0" distR="0" simplePos="0" locked="0" layoutInCell="1" allowOverlap="1" relativeHeight="148">
                <wp:simplePos x="0" y="0"/>
                <wp:positionH relativeFrom="column">
                  <wp:align>left</wp:align>
                </wp:positionH>
                <wp:positionV relativeFrom="line">
                  <wp:posOffset>635</wp:posOffset>
                </wp:positionV>
                <wp:extent cx="1828800" cy="175260"/>
                <wp:effectExtent l="0" t="0" r="0" b="0"/>
                <wp:wrapSquare wrapText="largest"/>
                <wp:docPr id="147" name="Frame147"/>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(ii)</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(ii)</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r>
        <mc:AlternateContent>
          <mc:Choice Requires="wps">
            <w:drawing>
              <wp:anchor behindDoc="0" distT="0" distB="0" distL="0" distR="0" simplePos="0" locked="0" layoutInCell="1" allowOverlap="1" relativeHeight="149">
                <wp:simplePos x="0" y="0"/>
                <wp:positionH relativeFrom="column">
                  <wp:align>left</wp:align>
                </wp:positionH>
                <wp:positionV relativeFrom="line">
                  <wp:posOffset>635</wp:posOffset>
                </wp:positionV>
                <wp:extent cx="1828800" cy="175260"/>
                <wp:effectExtent l="0" t="0" r="0" b="0"/>
                <wp:wrapSquare wrapText="largest"/>
                <wp:docPr id="148" name="Frame148"/>
                <a:graphic xmlns:a="http://schemas.openxmlformats.org/drawingml/2006/main">
                  <a:graphicData uri="http://schemas.microsoft.com/office/word/2010/wordprocessingShape">
                    <wps:wsp>
                      <wps:cNvSpPr txBox="1"/>
                      <wps:spPr>
                        <a:xfrm>
                          <a:off x="0" y="0"/>
                          <a:ext cx="1828800" cy="175260"/>
                        </a:xfrm>
                        <a:prstGeom prst="rect"/>
                      </wps:spPr>
                      <wps:txbx>
                        <w:txbxContent>
                          <w:p>
                            <w:pPr>
                              <w:pStyle w:val="TextBody"/>
                              <w:spacing w:before="0" w:after="283"/>
                              <w:rPr/>
                            </w:pPr>
                            <w:r>
                              <w:rPr/>
                              <w:t>(iii)</w:t>
                            </w:r>
                          </w:p>
                        </w:txbxContent>
                      </wps:txbx>
                      <wps:bodyPr anchor="t" lIns="0" tIns="0" rIns="0" bIns="0">
                        <a:noAutofit/>
                      </wps:bodyPr>
                    </wps:wsp>
                  </a:graphicData>
                </a:graphic>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(iii)</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Jurisdiction</w:t>
      </w:r>
      <w:r>
        <w:rPr/>
        <w:t>.  All questions concerning the construction, validity, enforcement and interpretation of this Warrant shall be determined in accordance with the provisions of the Purchase Agreement.</w:t>
      </w:r>
      <w:r>
        <mc:AlternateContent>
          <mc:Choice Requires="wps">
            <w:drawing>
              <wp:anchor behindDoc="0" distT="0" distB="0" distL="0" distR="0" simplePos="0" locked="0" layoutInCell="1" allowOverlap="1" relativeHeight="150">
                <wp:simplePos x="0" y="0"/>
                <wp:positionH relativeFrom="column">
                  <wp:align>left</wp:align>
                </wp:positionH>
                <wp:positionV relativeFrom="line">
                  <wp:posOffset>635</wp:posOffset>
                </wp:positionV>
                <wp:extent cx="1371600" cy="175260"/>
                <wp:effectExtent l="0" t="0" r="0" b="0"/>
                <wp:wrapSquare wrapText="largest"/>
                <wp:docPr id="149" name="Frame149"/>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e)</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e)</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Restrictions</w:t>
      </w:r>
      <w:r>
        <w:rPr/>
        <w:t>.  The Holder acknowledges that the Warrant Shares acquired upon the exercise of this Warrant, if not registered and the Holder does not utilize cashless exercise, will have restrictions upon resale imposed by state and federal securities laws.</w:t>
      </w:r>
      <w:r>
        <mc:AlternateContent>
          <mc:Choice Requires="wps">
            <w:drawing>
              <wp:anchor behindDoc="0" distT="0" distB="0" distL="0" distR="0" simplePos="0" locked="0" layoutInCell="1" allowOverlap="1" relativeHeight="151">
                <wp:simplePos x="0" y="0"/>
                <wp:positionH relativeFrom="column">
                  <wp:align>left</wp:align>
                </wp:positionH>
                <wp:positionV relativeFrom="line">
                  <wp:posOffset>635</wp:posOffset>
                </wp:positionV>
                <wp:extent cx="1371600" cy="175260"/>
                <wp:effectExtent l="0" t="0" r="0" b="0"/>
                <wp:wrapSquare wrapText="largest"/>
                <wp:docPr id="150" name="Frame150"/>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f)</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f)</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center"/>
        <w:rPr/>
      </w:pPr>
      <w:r>
        <w:rPr/>
        <w:t>7</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30"/>
        <w:jc w:val="both"/>
        <w:rPr/>
      </w:pPr>
      <w:r>
        <w:rPr>
          <w:u w:val="single"/>
        </w:rPr>
        <w:t>Nonwaiver and Expenses</w:t>
      </w:r>
      <w:r>
        <w:rPr/>
        <w:t>.  No course of dealing or any delay or failure to exercise any right hereunder on the part of Holder shall operate as a waiver of such right or otherwise prejudice the Holders rights, powers or remedies, notwithstanding the fact that all rights hereunder terminate on the Termination Date.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r>
        <mc:AlternateContent>
          <mc:Choice Requires="wps">
            <w:drawing>
              <wp:anchor behindDoc="0" distT="0" distB="0" distL="0" distR="0" simplePos="0" locked="0" layoutInCell="1" allowOverlap="1" relativeHeight="152">
                <wp:simplePos x="0" y="0"/>
                <wp:positionH relativeFrom="column">
                  <wp:align>left</wp:align>
                </wp:positionH>
                <wp:positionV relativeFrom="line">
                  <wp:posOffset>635</wp:posOffset>
                </wp:positionV>
                <wp:extent cx="1371600" cy="175260"/>
                <wp:effectExtent l="0" t="0" r="0" b="0"/>
                <wp:wrapSquare wrapText="largest"/>
                <wp:docPr id="151" name="Frame151"/>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g)</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g)</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Notices</w:t>
      </w:r>
      <w:r>
        <w:rPr/>
        <w:t>.  Any notice, request or other document required or permitted to be given or delivered to the Holder by the Company shall be delivered in accordance with the notice provisions of the Purchase Agreement.</w:t>
      </w:r>
      <w:r>
        <mc:AlternateContent>
          <mc:Choice Requires="wps">
            <w:drawing>
              <wp:anchor behindDoc="0" distT="0" distB="0" distL="0" distR="0" simplePos="0" locked="0" layoutInCell="1" allowOverlap="1" relativeHeight="153">
                <wp:simplePos x="0" y="0"/>
                <wp:positionH relativeFrom="column">
                  <wp:align>left</wp:align>
                </wp:positionH>
                <wp:positionV relativeFrom="line">
                  <wp:posOffset>635</wp:posOffset>
                </wp:positionV>
                <wp:extent cx="1371600" cy="175260"/>
                <wp:effectExtent l="0" t="0" r="0" b="0"/>
                <wp:wrapSquare wrapText="largest"/>
                <wp:docPr id="152" name="Frame152"/>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h)</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h)</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Limitation of Liability</w:t>
      </w:r>
      <w:r>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r>
        <mc:AlternateContent>
          <mc:Choice Requires="wps">
            <w:drawing>
              <wp:anchor behindDoc="0" distT="0" distB="0" distL="0" distR="0" simplePos="0" locked="0" layoutInCell="1" allowOverlap="1" relativeHeight="154">
                <wp:simplePos x="0" y="0"/>
                <wp:positionH relativeFrom="column">
                  <wp:align>left</wp:align>
                </wp:positionH>
                <wp:positionV relativeFrom="line">
                  <wp:posOffset>635</wp:posOffset>
                </wp:positionV>
                <wp:extent cx="1371600" cy="175260"/>
                <wp:effectExtent l="0" t="0" r="0" b="0"/>
                <wp:wrapSquare wrapText="largest"/>
                <wp:docPr id="153" name="Frame153"/>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i)</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i)</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Remedies</w:t>
      </w:r>
      <w:r>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r>
        <mc:AlternateContent>
          <mc:Choice Requires="wps">
            <w:drawing>
              <wp:anchor behindDoc="0" distT="0" distB="0" distL="0" distR="0" simplePos="0" locked="0" layoutInCell="1" allowOverlap="1" relativeHeight="155">
                <wp:simplePos x="0" y="0"/>
                <wp:positionH relativeFrom="column">
                  <wp:align>left</wp:align>
                </wp:positionH>
                <wp:positionV relativeFrom="line">
                  <wp:posOffset>635</wp:posOffset>
                </wp:positionV>
                <wp:extent cx="1371600" cy="175260"/>
                <wp:effectExtent l="0" t="0" r="0" b="0"/>
                <wp:wrapSquare wrapText="largest"/>
                <wp:docPr id="154" name="Frame154"/>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j)</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j)</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firstLine="1440"/>
        <w:jc w:val="both"/>
        <w:rPr/>
      </w:pPr>
      <w:r>
        <w:rPr/>
        <w:t>k)</w:t>
      </w:r>
    </w:p>
    <w:p>
      <w:pPr>
        <w:pStyle w:val="TextBody"/>
        <w:spacing w:before="0" w:after="0"/>
        <w:ind w:left="0" w:right="0" w:hanging="30"/>
        <w:jc w:val="both"/>
        <w:rPr/>
      </w:pPr>
      <w:r>
        <w:rPr>
          <w:u w:val="single"/>
        </w:rPr>
        <w:t>Successors and Assigns</w:t>
      </w:r>
      <w:r>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spacing w:before="0" w:after="0"/>
        <w:ind w:left="0" w:right="0" w:hanging="0"/>
        <w:jc w:val="both"/>
        <w:rPr/>
      </w:pPr>
      <w:r>
        <w:rPr/>
      </w:r>
    </w:p>
    <w:p>
      <w:pPr>
        <w:pStyle w:val="TextBody"/>
        <w:spacing w:before="0" w:after="0"/>
        <w:ind w:left="0" w:right="0" w:hanging="30"/>
        <w:jc w:val="both"/>
        <w:rPr/>
      </w:pPr>
      <w:r>
        <w:rPr>
          <w:u w:val="single"/>
        </w:rPr>
        <w:t>Amendment</w:t>
      </w:r>
      <w:r>
        <w:rPr/>
        <w:t>.  This Warrant may be modified or amended or the provisions hereof waived with the written consent of the Company and the Holder.</w:t>
      </w:r>
      <w:r>
        <mc:AlternateContent>
          <mc:Choice Requires="wps">
            <w:drawing>
              <wp:anchor behindDoc="0" distT="0" distB="0" distL="0" distR="0" simplePos="0" locked="0" layoutInCell="1" allowOverlap="1" relativeHeight="156">
                <wp:simplePos x="0" y="0"/>
                <wp:positionH relativeFrom="column">
                  <wp:align>left</wp:align>
                </wp:positionH>
                <wp:positionV relativeFrom="line">
                  <wp:posOffset>635</wp:posOffset>
                </wp:positionV>
                <wp:extent cx="1371600" cy="175260"/>
                <wp:effectExtent l="0" t="0" r="0" b="0"/>
                <wp:wrapSquare wrapText="largest"/>
                <wp:docPr id="155" name="Frame155"/>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l)</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l)</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Severability</w:t>
      </w:r>
      <w:r>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r>
        <mc:AlternateContent>
          <mc:Choice Requires="wps">
            <w:drawing>
              <wp:anchor behindDoc="0" distT="0" distB="0" distL="0" distR="0" simplePos="0" locked="0" layoutInCell="1" allowOverlap="1" relativeHeight="157">
                <wp:simplePos x="0" y="0"/>
                <wp:positionH relativeFrom="column">
                  <wp:align>left</wp:align>
                </wp:positionH>
                <wp:positionV relativeFrom="line">
                  <wp:posOffset>635</wp:posOffset>
                </wp:positionV>
                <wp:extent cx="1371600" cy="175260"/>
                <wp:effectExtent l="0" t="0" r="0" b="0"/>
                <wp:wrapSquare wrapText="largest"/>
                <wp:docPr id="156" name="Frame156"/>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m)</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m)</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Headings</w:t>
      </w:r>
      <w:r>
        <w:rPr/>
        <w:t>.  The headings used in this Warrant are for the convenience of reference only and shall not, for any purpose, be deemed a part of this Warrant.</w:t>
      </w:r>
      <w:r>
        <mc:AlternateContent>
          <mc:Choice Requires="wps">
            <w:drawing>
              <wp:anchor behindDoc="0" distT="0" distB="0" distL="0" distR="0" simplePos="0" locked="0" layoutInCell="1" allowOverlap="1" relativeHeight="158">
                <wp:simplePos x="0" y="0"/>
                <wp:positionH relativeFrom="column">
                  <wp:align>left</wp:align>
                </wp:positionH>
                <wp:positionV relativeFrom="line">
                  <wp:posOffset>635</wp:posOffset>
                </wp:positionV>
                <wp:extent cx="1371600" cy="175260"/>
                <wp:effectExtent l="0" t="0" r="0" b="0"/>
                <wp:wrapSquare wrapText="largest"/>
                <wp:docPr id="157" name="Frame157"/>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n)</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n)</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pPr>
      <w:r>
        <w:rPr/>
        <w:t>********************</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b/>
          <w:i/>
        </w:rPr>
      </w:pPr>
      <w:r>
        <w:rPr>
          <w:b/>
          <w:i/>
        </w:rPr>
        <w:t xml:space="preserve">(Signature Page Follows) </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t>8</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center"/>
        <w:rPr/>
      </w:pPr>
      <w:r>
        <w:rPr/>
      </w:r>
    </w:p>
    <w:p>
      <w:pPr>
        <w:pStyle w:val="TextBody"/>
        <w:spacing w:before="0" w:after="0"/>
        <w:ind w:left="0" w:right="0" w:hanging="0"/>
        <w:rPr/>
      </w:pPr>
      <w:r>
        <w:rPr/>
      </w:r>
    </w:p>
    <w:p>
      <w:pPr>
        <w:pStyle w:val="TextBody"/>
        <w:spacing w:before="0" w:after="0"/>
        <w:ind w:left="0" w:right="0" w:hanging="0"/>
        <w:rPr/>
      </w:pPr>
      <w:r>
        <w:rPr/>
        <w:t>IN WITNESS WHEREOF, the Company has caused this Warrant to be executed by its officer thereunto duly authorized as of the date first above indicated.</w:t>
      </w:r>
    </w:p>
    <w:p>
      <w:pPr>
        <w:pStyle w:val="TextBody"/>
        <w:spacing w:before="0" w:after="0"/>
        <w:ind w:left="0" w:right="0" w:hanging="0"/>
        <w:rPr/>
      </w:pPr>
      <w:r>
        <w:rPr/>
      </w:r>
    </w:p>
    <w:tbl>
      <w:tblPr>
        <w:tblW w:w="5895" w:type="dxa"/>
        <w:jc w:val="right"/>
        <w:tblInd w:w="0" w:type="dxa"/>
        <w:tblCellMar>
          <w:top w:w="0" w:type="dxa"/>
          <w:left w:w="0" w:type="dxa"/>
          <w:bottom w:w="0" w:type="dxa"/>
          <w:right w:w="0" w:type="dxa"/>
        </w:tblCellMar>
      </w:tblPr>
      <w:tblGrid>
        <w:gridCol w:w="5895"/>
      </w:tblGrid>
      <w:tr>
        <w:trPr/>
        <w:tc>
          <w:tcPr>
            <w:tcW w:w="5895" w:type="dxa"/>
            <w:tcBorders/>
            <w:shd w:fill="auto" w:val="clear"/>
            <w:vAlign w:val="center"/>
          </w:tcPr>
          <w:p>
            <w:pPr>
              <w:pStyle w:val="TableContents"/>
              <w:spacing w:before="0" w:after="283"/>
              <w:rPr>
                <w:sz w:val="4"/>
                <w:szCs w:val="4"/>
              </w:rPr>
            </w:pPr>
            <w:r>
              <w:rPr>
                <w:sz w:val="4"/>
                <w:szCs w:val="4"/>
              </w:rPr>
            </w:r>
          </w:p>
        </w:tc>
      </w:tr>
      <w:tr>
        <w:trPr/>
        <w:tc>
          <w:tcPr>
            <w:tcW w:w="5895" w:type="dxa"/>
            <w:tcBorders/>
            <w:shd w:fill="auto" w:val="clear"/>
            <w:vAlign w:val="center"/>
          </w:tcPr>
          <w:p>
            <w:pPr>
              <w:pStyle w:val="TableContents"/>
              <w:pBdr/>
              <w:spacing w:before="0" w:after="0"/>
              <w:ind w:left="0" w:right="0" w:hanging="0"/>
              <w:rPr/>
            </w:pPr>
            <w:r>
              <w:rPr/>
              <w:t> </w:t>
            </w:r>
          </w:p>
        </w:tc>
      </w:tr>
      <w:tr>
        <w:trPr/>
        <w:tc>
          <w:tcPr>
            <w:tcW w:w="5895" w:type="dxa"/>
            <w:tcBorders/>
            <w:shd w:fill="auto" w:val="clear"/>
          </w:tcPr>
          <w:p>
            <w:pPr>
              <w:pStyle w:val="TableContents"/>
              <w:spacing w:before="0" w:after="0"/>
              <w:ind w:left="0" w:right="0" w:hanging="0"/>
              <w:rPr>
                <w:b/>
              </w:rPr>
            </w:pPr>
            <w:r>
              <w:rPr>
                <w:b/>
              </w:rPr>
              <w:t>IMPRIMIS PHARMACEUTICALS INC.</w:t>
            </w:r>
          </w:p>
        </w:tc>
      </w:tr>
      <w:tr>
        <w:trPr/>
        <w:tc>
          <w:tcPr>
            <w:tcW w:w="5895" w:type="dxa"/>
            <w:tcBorders/>
            <w:shd w:fill="auto" w:val="clear"/>
          </w:tcPr>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t xml:space="preserve">By: </w:t>
            </w:r>
            <w:r>
              <w:rPr>
                <w:i/>
                <w:u w:val="single"/>
              </w:rPr>
              <w:t>/s/ Andrew R. Boll                                      </w:t>
            </w:r>
          </w:p>
          <w:p>
            <w:pPr>
              <w:pStyle w:val="TableContents"/>
              <w:spacing w:before="0" w:after="0"/>
              <w:ind w:left="0" w:right="0" w:hanging="0"/>
              <w:rPr/>
            </w:pPr>
            <w:r>
              <w:rPr/>
              <w:t>     </w:t>
            </w:r>
            <w:r>
              <w:rPr/>
              <w:t>Name: Andrew R. Boll</w:t>
            </w:r>
          </w:p>
          <w:p>
            <w:pPr>
              <w:pStyle w:val="TableContents"/>
              <w:spacing w:before="0" w:after="0"/>
              <w:ind w:left="0" w:right="0" w:hanging="0"/>
              <w:rPr/>
            </w:pPr>
            <w:r>
              <w:rPr/>
              <w:t>     </w:t>
            </w:r>
            <w:r>
              <w:rPr/>
              <w:t>Title: Vice-President, Accounting &amp; Public Reporting</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pPr>
      <w:r>
        <w:rPr/>
        <w:t>9</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b/>
        </w:rPr>
      </w:pPr>
      <w:r>
        <w:rPr>
          <w:b/>
        </w:rPr>
        <w:t>NOTICE OF EXERCISE</w:t>
      </w:r>
    </w:p>
    <w:p>
      <w:pPr>
        <w:pStyle w:val="TextBody"/>
        <w:spacing w:before="0" w:after="0"/>
        <w:ind w:left="0" w:right="0" w:hanging="0"/>
        <w:rPr/>
      </w:pPr>
      <w:r>
        <w:rPr/>
      </w:r>
    </w:p>
    <w:p>
      <w:pPr>
        <w:pStyle w:val="TextBody"/>
        <w:spacing w:before="0" w:after="0"/>
        <w:ind w:left="0" w:right="0" w:hanging="30"/>
        <w:jc w:val="both"/>
        <w:rPr/>
      </w:pPr>
      <w:r>
        <w:rPr/>
        <w:t>IMPRIMIS PHARMACEUTICALS INC.</w:t>
      </w:r>
      <w:r>
        <mc:AlternateContent>
          <mc:Choice Requires="wps">
            <w:drawing>
              <wp:anchor behindDoc="0" distT="0" distB="0" distL="0" distR="0" simplePos="0" locked="0" layoutInCell="1" allowOverlap="1" relativeHeight="159">
                <wp:simplePos x="0" y="0"/>
                <wp:positionH relativeFrom="column">
                  <wp:align>left</wp:align>
                </wp:positionH>
                <wp:positionV relativeFrom="line">
                  <wp:posOffset>635</wp:posOffset>
                </wp:positionV>
                <wp:extent cx="457200" cy="175260"/>
                <wp:effectExtent l="0" t="0" r="0" b="0"/>
                <wp:wrapSquare wrapText="largest"/>
                <wp:docPr id="158" name="Frame158"/>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TO:</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TO:</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The undersigned hereby elects to purchase ________ Warrant Shares of the Company pursuant to the terms of the attached Warrant (only if exercised in full), and tenders herewith payment of the exercise price in full, together with all applicable transfer taxes, if any.</w:t>
      </w:r>
      <w:r>
        <mc:AlternateContent>
          <mc:Choice Requires="wps">
            <w:drawing>
              <wp:anchor behindDoc="0" distT="0" distB="0" distL="0" distR="0" simplePos="0" locked="0" layoutInCell="1" allowOverlap="1" relativeHeight="160">
                <wp:simplePos x="0" y="0"/>
                <wp:positionH relativeFrom="column">
                  <wp:align>left</wp:align>
                </wp:positionH>
                <wp:positionV relativeFrom="line">
                  <wp:posOffset>635</wp:posOffset>
                </wp:positionV>
                <wp:extent cx="914400" cy="175260"/>
                <wp:effectExtent l="0" t="0" r="0" b="0"/>
                <wp:wrapSquare wrapText="largest"/>
                <wp:docPr id="159" name="Frame159"/>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(1)</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Payment shall take the form of lawful money of the United States.</w:t>
      </w:r>
      <w:r>
        <mc:AlternateContent>
          <mc:Choice Requires="wps">
            <w:drawing>
              <wp:anchor behindDoc="0" distT="0" distB="0" distL="0" distR="0" simplePos="0" locked="0" layoutInCell="1" allowOverlap="1" relativeHeight="161">
                <wp:simplePos x="0" y="0"/>
                <wp:positionH relativeFrom="column">
                  <wp:align>left</wp:align>
                </wp:positionH>
                <wp:positionV relativeFrom="line">
                  <wp:posOffset>635</wp:posOffset>
                </wp:positionV>
                <wp:extent cx="914400" cy="175260"/>
                <wp:effectExtent l="0" t="0" r="0" b="0"/>
                <wp:wrapSquare wrapText="largest"/>
                <wp:docPr id="160" name="Frame160"/>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(2)</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Please issue a certificate or certificates representing said Warrant Shares in the name of the undersigned or in such other name as is specified below:</w:t>
      </w:r>
      <w:r>
        <mc:AlternateContent>
          <mc:Choice Requires="wps">
            <w:drawing>
              <wp:anchor behindDoc="0" distT="0" distB="0" distL="0" distR="0" simplePos="0" locked="0" layoutInCell="1" allowOverlap="1" relativeHeight="162">
                <wp:simplePos x="0" y="0"/>
                <wp:positionH relativeFrom="column">
                  <wp:align>left</wp:align>
                </wp:positionH>
                <wp:positionV relativeFrom="line">
                  <wp:posOffset>635</wp:posOffset>
                </wp:positionV>
                <wp:extent cx="914400" cy="175260"/>
                <wp:effectExtent l="0" t="0" r="0" b="0"/>
                <wp:wrapSquare wrapText="largest"/>
                <wp:docPr id="161" name="Frame161"/>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(3)</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(3)</w:t>
                      </w:r>
                    </w:p>
                  </w:txbxContent>
                </v:textbox>
                <w10:wrap type="square" side="right"/>
              </v:rect>
            </w:pict>
          </mc:Fallback>
        </mc:AlternateContent>
      </w:r>
    </w:p>
    <w:p>
      <w:pPr>
        <w:pStyle w:val="TextBody"/>
        <w:spacing w:before="0" w:after="0"/>
        <w:ind w:left="0" w:right="0" w:firstLine="2160"/>
        <w:jc w:val="both"/>
        <w:rPr/>
      </w:pPr>
      <w:r>
        <w:rPr/>
        <w:t>_______________________________</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t>The Warrant Shares shall be delivered to the following DWAC Account Number or by physical delivery of a certificate to:</w:t>
      </w:r>
    </w:p>
    <w:p>
      <w:pPr>
        <w:pStyle w:val="TextBody"/>
        <w:spacing w:before="0" w:after="0"/>
        <w:ind w:left="0" w:right="0" w:hanging="0"/>
        <w:jc w:val="both"/>
        <w:rPr/>
      </w:pPr>
      <w:r>
        <w:rPr/>
      </w:r>
    </w:p>
    <w:p>
      <w:pPr>
        <w:pStyle w:val="TextBody"/>
        <w:spacing w:before="0" w:after="0"/>
        <w:ind w:left="0" w:right="0" w:firstLine="2160"/>
        <w:jc w:val="both"/>
        <w:rPr/>
      </w:pPr>
      <w:r>
        <w:rPr/>
        <w:t>_______________________________</w:t>
      </w:r>
    </w:p>
    <w:p>
      <w:pPr>
        <w:pStyle w:val="TextBody"/>
        <w:spacing w:before="0" w:after="0"/>
        <w:ind w:left="0" w:right="0" w:hanging="0"/>
        <w:jc w:val="both"/>
        <w:rPr/>
      </w:pPr>
      <w:r>
        <w:rPr/>
      </w:r>
    </w:p>
    <w:p>
      <w:pPr>
        <w:pStyle w:val="TextBody"/>
        <w:spacing w:before="0" w:after="0"/>
        <w:ind w:left="0" w:right="0" w:firstLine="2160"/>
        <w:jc w:val="both"/>
        <w:rPr/>
      </w:pPr>
      <w:r>
        <w:rPr/>
        <w:t>_______________________________</w:t>
      </w:r>
    </w:p>
    <w:p>
      <w:pPr>
        <w:pStyle w:val="TextBody"/>
        <w:spacing w:before="0" w:after="0"/>
        <w:ind w:left="0" w:right="0" w:hanging="0"/>
        <w:jc w:val="both"/>
        <w:rPr/>
      </w:pPr>
      <w:r>
        <w:rPr/>
      </w:r>
    </w:p>
    <w:p>
      <w:pPr>
        <w:pStyle w:val="TextBody"/>
        <w:spacing w:before="0" w:after="0"/>
        <w:ind w:left="0" w:right="0" w:firstLine="2160"/>
        <w:jc w:val="both"/>
        <w:rPr/>
      </w:pPr>
      <w:r>
        <w:rPr/>
        <w:t>_______________________________</w:t>
      </w:r>
    </w:p>
    <w:p>
      <w:pPr>
        <w:pStyle w:val="TextBody"/>
        <w:spacing w:before="0" w:after="0"/>
        <w:ind w:left="0" w:right="0" w:hanging="0"/>
        <w:jc w:val="both"/>
        <w:rPr/>
      </w:pPr>
      <w:r>
        <w:rPr/>
      </w:r>
    </w:p>
    <w:p>
      <w:pPr>
        <w:pStyle w:val="TextBody"/>
        <w:spacing w:before="0" w:after="0"/>
        <w:ind w:left="0" w:right="0" w:firstLine="720"/>
        <w:jc w:val="both"/>
        <w:rPr/>
      </w:pPr>
      <w:r>
        <w:rPr/>
        <w:t>(4)</w:t>
      </w:r>
    </w:p>
    <w:p>
      <w:pPr>
        <w:pStyle w:val="TextBody"/>
        <w:spacing w:before="0" w:after="0"/>
        <w:ind w:left="0" w:right="0" w:hanging="30"/>
        <w:jc w:val="both"/>
        <w:rPr/>
      </w:pPr>
      <w:r>
        <w:rPr>
          <w:u w:val="single"/>
        </w:rPr>
        <w:t>Accredited Investor</w:t>
      </w:r>
      <w:r>
        <w:rPr/>
        <w:t>.  The undersigned is an accredited investor as defined in Regulation D promulgated under the Securities Act of 1933, as amended.</w:t>
      </w:r>
    </w:p>
    <w:p>
      <w:pPr>
        <w:pStyle w:val="TextBody"/>
        <w:spacing w:before="0" w:after="0"/>
        <w:ind w:left="0" w:right="0" w:hanging="0"/>
        <w:jc w:val="both"/>
        <w:rPr/>
      </w:pPr>
      <w:r>
        <w:rPr/>
      </w:r>
    </w:p>
    <w:p>
      <w:pPr>
        <w:pStyle w:val="TextBody"/>
        <w:spacing w:before="0" w:after="0"/>
        <w:ind w:left="0" w:right="0" w:hanging="0"/>
        <w:jc w:val="both"/>
        <w:rPr/>
      </w:pPr>
      <w:r>
        <w:rPr/>
        <w:t>[SIGNATURE OF HOLDER]</w:t>
      </w:r>
    </w:p>
    <w:p>
      <w:pPr>
        <w:pStyle w:val="TextBody"/>
        <w:spacing w:before="0" w:after="0"/>
        <w:ind w:left="0" w:right="0" w:hanging="0"/>
        <w:jc w:val="both"/>
        <w:rPr/>
      </w:pPr>
      <w:r>
        <w:rPr/>
      </w:r>
    </w:p>
    <w:p>
      <w:pPr>
        <w:pStyle w:val="TextBody"/>
        <w:spacing w:before="0" w:after="0"/>
        <w:ind w:left="0" w:right="0" w:hanging="0"/>
        <w:jc w:val="both"/>
        <w:rPr/>
      </w:pPr>
      <w:r>
        <w:rPr/>
        <w:t>Name of Investing Entity: ________________________________________________________________________</w:t>
      </w:r>
    </w:p>
    <w:p>
      <w:pPr>
        <w:pStyle w:val="TextBody"/>
        <w:spacing w:before="0" w:after="0"/>
        <w:ind w:left="0" w:right="0" w:hanging="0"/>
        <w:jc w:val="both"/>
        <w:rPr/>
      </w:pPr>
      <w:r>
        <w:rPr/>
      </w:r>
    </w:p>
    <w:p>
      <w:pPr>
        <w:pStyle w:val="TextBody"/>
        <w:spacing w:before="0" w:after="0"/>
        <w:ind w:left="0" w:right="0" w:hanging="0"/>
        <w:jc w:val="both"/>
        <w:rPr/>
      </w:pPr>
      <w:r>
        <w:rPr>
          <w:i/>
        </w:rPr>
        <w:t>Signature of Authorized Signatory of Investing Entity</w:t>
      </w:r>
      <w:r>
        <w:rPr/>
        <w:t>: _________________________________________________</w:t>
      </w:r>
    </w:p>
    <w:p>
      <w:pPr>
        <w:pStyle w:val="TextBody"/>
        <w:spacing w:before="0" w:after="0"/>
        <w:ind w:left="0" w:right="0" w:hanging="0"/>
        <w:jc w:val="both"/>
        <w:rPr/>
      </w:pPr>
      <w:r>
        <w:rPr/>
      </w:r>
    </w:p>
    <w:p>
      <w:pPr>
        <w:pStyle w:val="TextBody"/>
        <w:spacing w:before="0" w:after="0"/>
        <w:ind w:left="0" w:right="0" w:hanging="0"/>
        <w:jc w:val="both"/>
        <w:rPr/>
      </w:pPr>
      <w:r>
        <w:rPr/>
        <w:t>Name of Authorized Signatory: ___________________________________________________________________</w:t>
      </w:r>
    </w:p>
    <w:p>
      <w:pPr>
        <w:pStyle w:val="TextBody"/>
        <w:spacing w:before="0" w:after="0"/>
        <w:ind w:left="0" w:right="0" w:hanging="0"/>
        <w:jc w:val="both"/>
        <w:rPr/>
      </w:pPr>
      <w:r>
        <w:rPr/>
      </w:r>
    </w:p>
    <w:p>
      <w:pPr>
        <w:pStyle w:val="TextBody"/>
        <w:spacing w:before="0" w:after="0"/>
        <w:ind w:left="0" w:right="0" w:hanging="0"/>
        <w:jc w:val="both"/>
        <w:rPr/>
      </w:pPr>
      <w:r>
        <w:rPr/>
        <w:t>Title of Authorized Signatory: ____________________________________________________________________</w:t>
      </w:r>
    </w:p>
    <w:p>
      <w:pPr>
        <w:pStyle w:val="TextBody"/>
        <w:spacing w:before="0" w:after="0"/>
        <w:ind w:left="0" w:right="0" w:hanging="0"/>
        <w:jc w:val="both"/>
        <w:rPr/>
      </w:pPr>
      <w:r>
        <w:rPr/>
      </w:r>
    </w:p>
    <w:p>
      <w:pPr>
        <w:pStyle w:val="TextBody"/>
        <w:spacing w:before="0" w:after="0"/>
        <w:ind w:left="0" w:right="0" w:hanging="0"/>
        <w:jc w:val="both"/>
        <w:rPr/>
      </w:pPr>
      <w:r>
        <w:rPr/>
        <w:t>Date: ________________________________________________________________________________________</w:t>
      </w:r>
    </w:p>
    <w:p>
      <w:pPr>
        <w:pStyle w:val="TextBody"/>
        <w:spacing w:before="0" w:after="0"/>
        <w:ind w:left="0" w:right="0" w:hanging="0"/>
        <w:rPr/>
      </w:pPr>
      <w:r>
        <w:rPr/>
      </w:r>
    </w:p>
    <w:p>
      <w:pPr>
        <w:pStyle w:val="TextBody"/>
        <w:spacing w:before="0" w:after="0"/>
        <w:ind w:left="0" w:right="0" w:hanging="0"/>
        <w:jc w:val="center"/>
        <w:rPr/>
      </w:pPr>
      <w:r>
        <w:rPr/>
        <w:t>10</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b/>
        </w:rPr>
      </w:pPr>
      <w:r>
        <w:rPr>
          <w:b/>
        </w:rPr>
        <w:t>ASSIGNMENT FORM</w:t>
      </w:r>
    </w:p>
    <w:p>
      <w:pPr>
        <w:pStyle w:val="TextBody"/>
        <w:spacing w:before="0" w:after="0"/>
        <w:ind w:left="0" w:right="0" w:hanging="0"/>
        <w:jc w:val="center"/>
        <w:rPr/>
      </w:pPr>
      <w:r>
        <w:rPr/>
        <w:t>(To assign the foregoing warrant, execute</w:t>
        <w:br/>
        <w:t>this form and supply required information.  </w:t>
        <w:br/>
        <w:t xml:space="preserve">Do not use this form to exercise the warrant.)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t>FOR VALUE RECEIVED, [____] all of or [_______] shares of the foregoing Warrant and all rights evidenced thereby are hereby assigned to</w:t>
      </w:r>
    </w:p>
    <w:p>
      <w:pPr>
        <w:pStyle w:val="TextBody"/>
        <w:spacing w:before="0" w:after="0"/>
        <w:ind w:left="0" w:right="0" w:hanging="0"/>
        <w:rPr/>
      </w:pPr>
      <w:r>
        <w:rPr/>
      </w:r>
    </w:p>
    <w:p>
      <w:pPr>
        <w:pStyle w:val="TextBody"/>
        <w:spacing w:before="0" w:after="0"/>
        <w:ind w:left="0" w:right="0" w:hanging="0"/>
        <w:rPr/>
      </w:pPr>
      <w:r>
        <w:rPr/>
        <w:t>_______________________________________________ whose address is</w:t>
      </w:r>
    </w:p>
    <w:p>
      <w:pPr>
        <w:pStyle w:val="TextBody"/>
        <w:spacing w:before="0" w:after="0"/>
        <w:ind w:left="0" w:right="0" w:hanging="0"/>
        <w:rPr/>
      </w:pPr>
      <w:r>
        <w:rPr/>
      </w:r>
    </w:p>
    <w:p>
      <w:pPr>
        <w:pStyle w:val="TextBody"/>
        <w:spacing w:before="0" w:after="0"/>
        <w:ind w:left="0" w:right="0" w:hanging="0"/>
        <w:rPr/>
      </w:pPr>
      <w:r>
        <w:rPr/>
        <w:t>_______________________________________________________________.</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t>_______________________________________________________________</w:t>
      </w:r>
    </w:p>
    <w:p>
      <w:pPr>
        <w:pStyle w:val="TextBody"/>
        <w:spacing w:before="0" w:after="0"/>
        <w:ind w:left="0" w:right="0" w:hanging="0"/>
        <w:rPr/>
      </w:pPr>
      <w:r>
        <w:rPr/>
      </w:r>
    </w:p>
    <w:p>
      <w:pPr>
        <w:pStyle w:val="TextBody"/>
        <w:spacing w:before="0" w:after="0"/>
        <w:ind w:left="0" w:right="0" w:firstLine="5040"/>
        <w:rPr/>
      </w:pPr>
      <w:r>
        <w:rPr/>
        <w:t>Dated:  ______________, _______</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30"/>
        <w:rPr/>
      </w:pPr>
      <w:r>
        <w:rPr/>
        <w:t>_____________________________</w:t>
      </w:r>
      <w:r>
        <mc:AlternateContent>
          <mc:Choice Requires="wps">
            <w:drawing>
              <wp:anchor behindDoc="0" distT="0" distB="0" distL="0" distR="0" simplePos="0" locked="0" layoutInCell="1" allowOverlap="1" relativeHeight="163">
                <wp:simplePos x="0" y="0"/>
                <wp:positionH relativeFrom="column">
                  <wp:align>left</wp:align>
                </wp:positionH>
                <wp:positionV relativeFrom="line">
                  <wp:posOffset>635</wp:posOffset>
                </wp:positionV>
                <wp:extent cx="2743200" cy="175260"/>
                <wp:effectExtent l="0" t="0" r="0" b="0"/>
                <wp:wrapSquare wrapText="largest"/>
                <wp:docPr id="162" name="Frame162"/>
                <a:graphic xmlns:a="http://schemas.openxmlformats.org/drawingml/2006/main">
                  <a:graphicData uri="http://schemas.microsoft.com/office/word/2010/wordprocessingShape">
                    <wps:wsp>
                      <wps:cNvSpPr txBox="1"/>
                      <wps:spPr>
                        <a:xfrm>
                          <a:off x="0" y="0"/>
                          <a:ext cx="2743200" cy="175260"/>
                        </a:xfrm>
                        <a:prstGeom prst="rect"/>
                      </wps:spPr>
                      <wps:txbx>
                        <w:txbxContent>
                          <w:p>
                            <w:pPr>
                              <w:pStyle w:val="TextBody"/>
                              <w:spacing w:before="0" w:after="283"/>
                              <w:rPr/>
                            </w:pPr>
                            <w:r>
                              <w:rPr/>
                              <w:t>Holders Signature:</w:t>
                            </w:r>
                          </w:p>
                        </w:txbxContent>
                      </wps:txbx>
                      <wps:bodyPr anchor="t" lIns="0" tIns="0" rIns="0" bIns="0">
                        <a:noAutofit/>
                      </wps:bodyPr>
                    </wps:wsp>
                  </a:graphicData>
                </a:graphic>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Holders Signature:</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30"/>
        <w:rPr/>
      </w:pPr>
      <w:r>
        <w:rPr/>
        <w:t>_____________________________</w:t>
      </w:r>
      <w:r>
        <mc:AlternateContent>
          <mc:Choice Requires="wps">
            <w:drawing>
              <wp:anchor behindDoc="0" distT="0" distB="0" distL="0" distR="0" simplePos="0" locked="0" layoutInCell="1" allowOverlap="1" relativeHeight="164">
                <wp:simplePos x="0" y="0"/>
                <wp:positionH relativeFrom="column">
                  <wp:align>left</wp:align>
                </wp:positionH>
                <wp:positionV relativeFrom="line">
                  <wp:posOffset>635</wp:posOffset>
                </wp:positionV>
                <wp:extent cx="2743200" cy="175260"/>
                <wp:effectExtent l="0" t="0" r="0" b="0"/>
                <wp:wrapSquare wrapText="largest"/>
                <wp:docPr id="163" name="Frame163"/>
                <a:graphic xmlns:a="http://schemas.openxmlformats.org/drawingml/2006/main">
                  <a:graphicData uri="http://schemas.microsoft.com/office/word/2010/wordprocessingShape">
                    <wps:wsp>
                      <wps:cNvSpPr txBox="1"/>
                      <wps:spPr>
                        <a:xfrm>
                          <a:off x="0" y="0"/>
                          <a:ext cx="2743200" cy="175260"/>
                        </a:xfrm>
                        <a:prstGeom prst="rect"/>
                      </wps:spPr>
                      <wps:txbx>
                        <w:txbxContent>
                          <w:p>
                            <w:pPr>
                              <w:pStyle w:val="TextBody"/>
                              <w:spacing w:before="0" w:after="283"/>
                              <w:rPr/>
                            </w:pPr>
                            <w:r>
                              <w:rPr/>
                              <w:t>Holders Address:</w:t>
                            </w:r>
                          </w:p>
                        </w:txbxContent>
                      </wps:txbx>
                      <wps:bodyPr anchor="t" lIns="0" tIns="0" rIns="0" bIns="0">
                        <a:noAutofit/>
                      </wps:bodyPr>
                    </wps:wsp>
                  </a:graphicData>
                </a:graphic>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Holders Address:</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firstLine="4320"/>
        <w:rPr/>
      </w:pPr>
      <w:r>
        <w:rPr/>
        <w:t>_____________________________</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t>Signature Guaranteed:  ___________________________________________</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pPr>
      <w:r>
        <w:rPr/>
        <w:t>NOTE:  The signature to this Assignment Form must correspond with the name as it appears on the face of the Warrant, without alteration or enlargement or any change whatsoever, and must be guaranteed by a bank or trust company.  Officers of corporations and those acting in a fiduciary or other representative capacity should file proper evidence of authority to assign the foregoing Warrant.</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pPr>
      <w:r>
        <w:rPr/>
        <w:t>11</w:t>
      </w:r>
    </w:p>
    <w:p>
      <w:pPr>
        <w:pStyle w:val="TextBody"/>
        <w:spacing w:before="0" w:after="0"/>
        <w:ind w:left="0" w:right="0" w:hanging="0"/>
        <w:rPr/>
      </w:pPr>
      <w:r>
        <w:rPr/>
      </w:r>
      <w:r>
        <w:br w:type="page"/>
      </w:r>
    </w:p>
    <w:p>
      <w:pPr>
        <w:pStyle w:val="TextBody"/>
        <w:spacing w:before="0" w:after="0"/>
        <w:ind w:left="0" w:right="0" w:hanging="0"/>
        <w:jc w:val="center"/>
        <w:rPr>
          <w:b/>
        </w:rPr>
      </w:pPr>
      <w:bookmarkStart w:id="20" w:name="f8k042712_ex10z3.htm"/>
      <w:bookmarkStart w:id="21" w:name="ksf8k042712_ex10z3"/>
      <w:bookmarkEnd w:id="20"/>
      <w:bookmarkEnd w:id="21"/>
      <w:r>
        <w:rPr>
          <w:b/>
        </w:rPr>
        <w:commentReference w:id="2"/>
      </w:r>
      <w:r>
        <w:rPr>
          <w:b/>
        </w:rPr>
        <w:t>Exhibit 10.3</w:t>
      </w:r>
    </w:p>
    <w:p>
      <w:pPr>
        <w:pStyle w:val="TextBody"/>
        <w:spacing w:before="0" w:after="0"/>
        <w:ind w:left="0" w:right="0" w:hanging="0"/>
        <w:jc w:val="center"/>
        <w:rPr/>
      </w:pPr>
      <w:r>
        <w:rPr/>
      </w:r>
    </w:p>
    <w:p>
      <w:pPr>
        <w:pStyle w:val="TextBody"/>
        <w:spacing w:before="0" w:after="0"/>
        <w:ind w:left="0" w:right="0" w:hanging="0"/>
        <w:jc w:val="center"/>
        <w:rPr>
          <w:b/>
        </w:rPr>
      </w:pPr>
      <w:r>
        <w:rPr>
          <w:b/>
        </w:rPr>
        <w:t>PROMISSORY NOTE CONVERSION AGREEMENT</w:t>
      </w:r>
    </w:p>
    <w:p>
      <w:pPr>
        <w:pStyle w:val="TextBody"/>
        <w:spacing w:before="0" w:after="0"/>
        <w:ind w:left="0" w:right="0" w:hanging="0"/>
        <w:rPr/>
      </w:pPr>
      <w:r>
        <w:rPr/>
      </w:r>
    </w:p>
    <w:p>
      <w:pPr>
        <w:pStyle w:val="TextBody"/>
        <w:spacing w:before="0" w:after="0"/>
        <w:ind w:left="0" w:right="0" w:firstLine="720"/>
        <w:jc w:val="both"/>
        <w:rPr/>
      </w:pPr>
      <w:r>
        <w:rPr/>
        <w:t>THIS PROMISSORY NOTE CONVERSION AGREEMENT (the </w:t>
      </w:r>
      <w:r>
        <w:rPr>
          <w:u w:val="single"/>
        </w:rPr>
        <w:t>Agreement</w:t>
      </w:r>
      <w:r>
        <w:rPr/>
        <w:t>), is effective as of April 20, 2012, by and between Imprimis Pharmaceuticals, Inc. (the </w:t>
      </w:r>
      <w:r>
        <w:rPr>
          <w:u w:val="single"/>
        </w:rPr>
        <w:t>Company</w:t>
      </w:r>
      <w:r>
        <w:rPr/>
        <w:t>) and DermaStar International, LLC (the </w:t>
      </w:r>
      <w:r>
        <w:rPr>
          <w:u w:val="single"/>
        </w:rPr>
        <w:t>DermaStar</w:t>
      </w:r>
      <w:r>
        <w:rPr/>
        <w:t>) (Individually, the Company and DermaStar may be referred to herein as a </w:t>
      </w:r>
      <w:r>
        <w:rPr>
          <w:u w:val="single"/>
        </w:rPr>
        <w:t>Party</w:t>
      </w:r>
      <w:r>
        <w:rPr/>
        <w:t>, and collectively as the </w:t>
      </w:r>
      <w:r>
        <w:rPr>
          <w:u w:val="single"/>
        </w:rPr>
        <w:t>Parties</w:t>
      </w:r>
      <w:r>
        <w:rPr/>
        <w:t>).  </w:t>
      </w:r>
    </w:p>
    <w:p>
      <w:pPr>
        <w:pStyle w:val="TextBody"/>
        <w:spacing w:before="0" w:after="0"/>
        <w:ind w:left="0" w:right="0" w:hanging="0"/>
        <w:rPr/>
      </w:pPr>
      <w:r>
        <w:rPr/>
      </w:r>
    </w:p>
    <w:p>
      <w:pPr>
        <w:pStyle w:val="TextBody"/>
        <w:spacing w:before="0" w:after="0"/>
        <w:ind w:left="0" w:right="0" w:hanging="0"/>
        <w:jc w:val="center"/>
        <w:rPr>
          <w:b/>
          <w:u w:val="single"/>
        </w:rPr>
      </w:pPr>
      <w:r>
        <w:rPr>
          <w:b/>
          <w:u w:val="single"/>
        </w:rPr>
        <w:t>RECITALS</w:t>
      </w:r>
    </w:p>
    <w:p>
      <w:pPr>
        <w:pStyle w:val="TextBody"/>
        <w:spacing w:before="0" w:after="0"/>
        <w:ind w:left="0" w:right="0" w:hanging="0"/>
        <w:rPr/>
      </w:pPr>
      <w:r>
        <w:rPr/>
      </w:r>
    </w:p>
    <w:p>
      <w:pPr>
        <w:pStyle w:val="TextBody"/>
        <w:spacing w:before="0" w:after="0"/>
        <w:ind w:left="0" w:right="0" w:firstLine="720"/>
        <w:jc w:val="both"/>
        <w:rPr/>
      </w:pPr>
      <w:r>
        <w:rPr/>
        <w:t>WHEREAS, on or about November 21, 2011, the Company and DermaStar entered into a Secured Line of Credit Letter Agreement (the </w:t>
      </w:r>
      <w:r>
        <w:rPr>
          <w:u w:val="single"/>
        </w:rPr>
        <w:t>Line of Credit Agreement</w:t>
      </w:r>
      <w:r>
        <w:rPr/>
        <w:t>) and related Security Agreement (the </w:t>
      </w:r>
      <w:r>
        <w:rPr>
          <w:u w:val="single"/>
        </w:rPr>
        <w:t>Security Agreement</w:t>
      </w:r>
      <w:r>
        <w:rPr/>
        <w:t>) and an Intellectual Property Security Agreement (</w:t>
      </w:r>
      <w:r>
        <w:rPr>
          <w:u w:val="single"/>
        </w:rPr>
        <w:t>IP Security Agreement</w:t>
      </w:r>
      <w:r>
        <w:rPr/>
        <w:t xml:space="preserve">) with DermaStar, pursuant to which the Company granted to DermaStar a blanket security interest in all of its assets, including its intellectual property. </w:t>
      </w:r>
    </w:p>
    <w:p>
      <w:pPr>
        <w:pStyle w:val="TextBody"/>
        <w:spacing w:before="0" w:after="0"/>
        <w:ind w:left="0" w:right="0" w:hanging="0"/>
        <w:jc w:val="both"/>
        <w:rPr/>
      </w:pPr>
      <w:r>
        <w:rPr/>
      </w:r>
    </w:p>
    <w:p>
      <w:pPr>
        <w:pStyle w:val="TextBody"/>
        <w:spacing w:before="0" w:after="0"/>
        <w:ind w:left="0" w:right="0" w:firstLine="720"/>
        <w:jc w:val="both"/>
        <w:rPr/>
      </w:pPr>
      <w:r>
        <w:rPr/>
        <w:t>WHEREAS, the Line of Credit Agreement provides that DermaStar make advances to the Company of up to an aggregate of $750,000 under certain circumstances (the </w:t>
      </w:r>
      <w:r>
        <w:rPr>
          <w:u w:val="single"/>
        </w:rPr>
        <w:t>Line of Credit</w:t>
      </w:r>
      <w:r>
        <w:rPr/>
        <w:t>).  </w:t>
      </w:r>
    </w:p>
    <w:p>
      <w:pPr>
        <w:pStyle w:val="TextBody"/>
        <w:spacing w:before="0" w:after="0"/>
        <w:ind w:left="0" w:right="0" w:hanging="0"/>
        <w:jc w:val="both"/>
        <w:rPr/>
      </w:pPr>
      <w:r>
        <w:rPr/>
      </w:r>
    </w:p>
    <w:p>
      <w:pPr>
        <w:pStyle w:val="TextBody"/>
        <w:spacing w:before="0" w:after="0"/>
        <w:ind w:left="0" w:right="0" w:firstLine="720"/>
        <w:jc w:val="both"/>
        <w:rPr/>
      </w:pPr>
      <w:r>
        <w:rPr/>
        <w:t>WHEREAS, as of the date of this Agreement, DermaStar had advanced the total maximum $750,000 pursuant to four separate promissory notes issued to the Comapny (the </w:t>
      </w:r>
      <w:r>
        <w:rPr>
          <w:u w:val="single"/>
        </w:rPr>
        <w:t>Promissory Notes</w:t>
      </w:r>
      <w:r>
        <w:rPr/>
        <w:t>), and the Company owed to DermaaStar an aggregate of $762,534.25 in principal and accrued but unpaid interest under the Line of Credit (the </w:t>
      </w:r>
      <w:r>
        <w:rPr>
          <w:u w:val="single"/>
        </w:rPr>
        <w:t>Promissory Note Balance</w:t>
      </w:r>
      <w:r>
        <w:rPr/>
        <w:t>).  </w:t>
      </w:r>
    </w:p>
    <w:p>
      <w:pPr>
        <w:pStyle w:val="TextBody"/>
        <w:spacing w:before="0" w:after="0"/>
        <w:ind w:left="0" w:right="0" w:hanging="0"/>
        <w:jc w:val="both"/>
        <w:rPr/>
      </w:pPr>
      <w:r>
        <w:rPr/>
      </w:r>
    </w:p>
    <w:p>
      <w:pPr>
        <w:pStyle w:val="TextBody"/>
        <w:spacing w:before="0" w:after="0"/>
        <w:ind w:left="0" w:right="0" w:firstLine="720"/>
        <w:jc w:val="both"/>
        <w:rPr/>
      </w:pPr>
      <w:r>
        <w:rPr>
          <w:highlight w:val="white"/>
        </w:rPr>
        <w:t xml:space="preserve">WHEREAS, on April 20, 2012, the Company entered into a Securities Purchase Agreement in the form attached hereto as </w:t>
      </w:r>
      <w:r>
        <w:rPr>
          <w:b/>
          <w:i/>
          <w:highlight w:val="white"/>
        </w:rPr>
        <w:t>Exhibit A</w:t>
      </w:r>
      <w:r>
        <w:rPr>
          <w:highlight w:val="white"/>
        </w:rPr>
        <w:t xml:space="preserve"> (the </w:t>
      </w:r>
      <w:r>
        <w:rPr>
          <w:highlight w:val="white"/>
          <w:u w:val="single"/>
        </w:rPr>
        <w:t>SPA</w:t>
      </w:r>
      <w:r>
        <w:rPr>
          <w:highlight w:val="white"/>
        </w:rPr>
        <w:t>,) relating to the sale and issuance of 10,058,455 units (each, a </w:t>
      </w:r>
      <w:r>
        <w:rPr>
          <w:highlight w:val="white"/>
          <w:u w:val="single"/>
        </w:rPr>
        <w:t>Unit</w:t>
      </w:r>
      <w:r>
        <w:rPr>
          <w:highlight w:val="white"/>
        </w:rPr>
        <w:t>) consisting of one share of the Companys common stock (</w:t>
      </w:r>
      <w:r>
        <w:rPr>
          <w:highlight w:val="white"/>
          <w:u w:val="single"/>
        </w:rPr>
        <w:t>Common Stock</w:t>
      </w:r>
      <w:r>
        <w:rPr>
          <w:highlight w:val="white"/>
        </w:rPr>
        <w:t xml:space="preserve">) and a warrant in the form attached hereto as </w:t>
      </w:r>
      <w:r>
        <w:rPr>
          <w:b/>
          <w:i/>
          <w:highlight w:val="white"/>
        </w:rPr>
        <w:t>Exhibit B</w:t>
      </w:r>
      <w:r>
        <w:rPr>
          <w:highlight w:val="white"/>
        </w:rPr>
        <w:t xml:space="preserve"> (each, a </w:t>
      </w:r>
      <w:r>
        <w:rPr>
          <w:highlight w:val="white"/>
          <w:u w:val="single"/>
        </w:rPr>
        <w:t>Warrant</w:t>
      </w:r>
      <w:r>
        <w:rPr>
          <w:highlight w:val="white"/>
        </w:rPr>
        <w:t>) to purchase up to one-fourth of a share of the Companys Common Stock at an exercise price of $1.185 per share, at a price per Unit of $0.79 (the </w:t>
      </w:r>
      <w:r>
        <w:rPr>
          <w:highlight w:val="white"/>
          <w:u w:val="single"/>
        </w:rPr>
        <w:t>Offering</w:t>
      </w:r>
      <w:r>
        <w:rPr>
          <w:highlight w:val="white"/>
        </w:rPr>
        <w:t>).  The Private Placement closed on April 25, 2012 (the Closing Date).  In connection with the Private Placement, the Company issued an aggregate of 10,058,455 shares of Common Stock and Warrants to purchase an aggregate of 2,514,642 shares of Common Stock, for aggregate gross proceeds to the Company of approximately $7.95 million.  The Investors are not entitled to any registration rights with respect to the Common Stock and Warrants issued in the Private Placement.</w:t>
      </w:r>
      <w:r>
        <w:rPr/>
        <w:t xml:space="preserve">  </w:t>
      </w:r>
    </w:p>
    <w:p>
      <w:pPr>
        <w:pStyle w:val="TextBody"/>
        <w:spacing w:before="0" w:after="0"/>
        <w:ind w:left="0" w:right="0" w:hanging="0"/>
        <w:jc w:val="both"/>
        <w:rPr/>
      </w:pPr>
      <w:r>
        <w:rPr/>
      </w:r>
    </w:p>
    <w:p>
      <w:pPr>
        <w:pStyle w:val="TextBody"/>
        <w:spacing w:before="0" w:after="0"/>
        <w:ind w:left="0" w:right="0" w:firstLine="720"/>
        <w:jc w:val="both"/>
        <w:rPr/>
      </w:pPr>
      <w:r>
        <w:rPr/>
        <w:t>WHEREAS, the Parties desire to convert the entire outstanding principal balance of the Promissory Notes and all related accrued interest into Units at a rate of $0.79 per Unit (the </w:t>
      </w:r>
      <w:r>
        <w:rPr>
          <w:u w:val="single"/>
        </w:rPr>
        <w:t>Unit Price</w:t>
      </w:r>
      <w:r>
        <w:rPr/>
        <w:t>), consistent with the terms of the issuance of the Units in the Offering, effective upon the closing of the Offering</w:t>
      </w:r>
    </w:p>
    <w:p>
      <w:pPr>
        <w:pStyle w:val="TextBody"/>
        <w:spacing w:before="0" w:after="0"/>
        <w:ind w:left="0" w:right="0" w:hanging="0"/>
        <w:rPr/>
      </w:pPr>
      <w:r>
        <w:rPr/>
      </w:r>
    </w:p>
    <w:p>
      <w:pPr>
        <w:pStyle w:val="TextBody"/>
        <w:spacing w:before="0" w:after="0"/>
        <w:ind w:left="0" w:right="0" w:hanging="0"/>
        <w:jc w:val="center"/>
        <w:rPr>
          <w:b/>
          <w:u w:val="single"/>
        </w:rPr>
      </w:pPr>
      <w:r>
        <w:rPr>
          <w:b/>
          <w:u w:val="single"/>
        </w:rPr>
        <w:t>AGREEMENT</w:t>
      </w:r>
    </w:p>
    <w:p>
      <w:pPr>
        <w:pStyle w:val="TextBody"/>
        <w:spacing w:before="0" w:after="0"/>
        <w:ind w:left="0" w:right="0" w:hanging="0"/>
        <w:jc w:val="both"/>
        <w:rPr/>
      </w:pPr>
      <w:r>
        <w:rPr/>
      </w:r>
    </w:p>
    <w:p>
      <w:pPr>
        <w:pStyle w:val="TextBody"/>
        <w:spacing w:before="0" w:after="0"/>
        <w:ind w:left="0" w:right="0" w:firstLine="720"/>
        <w:jc w:val="both"/>
        <w:rPr/>
      </w:pPr>
      <w:r>
        <w:rPr/>
        <w:t>NOW, THEREFORE, in consideration of the mutual covenants hereinafter stated, it is agreed as follows:</w:t>
      </w:r>
    </w:p>
    <w:p>
      <w:pPr>
        <w:pStyle w:val="TextBody"/>
        <w:spacing w:before="0" w:after="0"/>
        <w:ind w:left="0" w:right="0" w:hanging="0"/>
        <w:jc w:val="both"/>
        <w:rPr/>
      </w:pPr>
      <w:r>
        <w:rPr/>
      </w:r>
    </w:p>
    <w:p>
      <w:pPr>
        <w:pStyle w:val="TextBody"/>
        <w:spacing w:before="0" w:after="0"/>
        <w:ind w:left="0" w:right="0" w:hanging="30"/>
        <w:jc w:val="both"/>
        <w:rPr/>
      </w:pPr>
      <w:r>
        <w:rPr>
          <w:b/>
          <w:u w:val="single"/>
        </w:rPr>
        <w:t>CONVERSION TERMS</w:t>
      </w:r>
      <w:r>
        <w:rPr>
          <w:b/>
        </w:rPr>
        <w:t>.   </w:t>
      </w:r>
      <w:r>
        <w:rPr/>
        <w:t>Pursuant to the terms of the Offering, DermaStar hereby agrees to convert the entire Promissory Note Balance of $762,534.25 into the Securities (the </w:t>
      </w:r>
      <w:r>
        <w:rPr>
          <w:u w:val="single"/>
        </w:rPr>
        <w:t>Conversion</w:t>
      </w:r>
      <w:r>
        <w:rPr/>
        <w:t>) at the Unit Price, effective as of the closing of the Offering (the </w:t>
      </w:r>
      <w:r>
        <w:rPr>
          <w:u w:val="single"/>
        </w:rPr>
        <w:t>Effective Date</w:t>
      </w:r>
      <w:r>
        <w:rPr/>
        <w:t xml:space="preserve">), resulting in the issuance of: (i) 965,233 shares of Common Stock; and (ii) Warrants to purchase a total of 241,308 shares of Common Stock at an exercise price of $1.185, such Warrants to be issued pursuant to the form of Warrant attached hereto as </w:t>
      </w:r>
      <w:r>
        <w:rPr>
          <w:u w:val="single"/>
        </w:rPr>
        <w:t>Exhibit B</w:t>
      </w:r>
      <w:r>
        <w:rPr/>
        <w:t xml:space="preserve">, </w:t>
      </w:r>
      <w:r>
        <w:rPr>
          <w:u w:val="single"/>
        </w:rPr>
        <w:t>provided</w:t>
      </w:r>
      <w:r>
        <w:rPr/>
        <w:t>, that Section 2(e) of the Warrant shall be deleted and shall be replaced with the phrase Intentionally Omitted.  </w:t>
      </w:r>
      <w:r>
        <mc:AlternateContent>
          <mc:Choice Requires="wps">
            <w:drawing>
              <wp:anchor behindDoc="0" distT="0" distB="0" distL="0" distR="0" simplePos="0" locked="0" layoutInCell="1" allowOverlap="1" relativeHeight="165">
                <wp:simplePos x="0" y="0"/>
                <wp:positionH relativeFrom="column">
                  <wp:align>left</wp:align>
                </wp:positionH>
                <wp:positionV relativeFrom="line">
                  <wp:posOffset>635</wp:posOffset>
                </wp:positionV>
                <wp:extent cx="914400" cy="175260"/>
                <wp:effectExtent l="0" t="0" r="0" b="0"/>
                <wp:wrapSquare wrapText="largest"/>
                <wp:docPr id="164" name="Frame164"/>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1.</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b/>
          <w:u w:val="single"/>
        </w:rPr>
        <w:t>TERMINATION OF EXISTING AGREEMENTS</w:t>
      </w:r>
      <w:r>
        <w:rPr>
          <w:b/>
        </w:rPr>
        <w:t>.   </w:t>
      </w:r>
      <w:r>
        <w:rPr/>
        <w:t>Pursuant to the terms of the Conversion, as of the Effective Date, all existing rights, privileges and preferences provided under the Line of Credit Agreement, Security Agreement, Intellectual Property Security Agreement and Promissory Notes are hereby terminated in their entirety.  </w:t>
      </w:r>
      <w:r>
        <mc:AlternateContent>
          <mc:Choice Requires="wps">
            <w:drawing>
              <wp:anchor behindDoc="0" distT="0" distB="0" distL="0" distR="0" simplePos="0" locked="0" layoutInCell="1" allowOverlap="1" relativeHeight="166">
                <wp:simplePos x="0" y="0"/>
                <wp:positionH relativeFrom="column">
                  <wp:align>left</wp:align>
                </wp:positionH>
                <wp:positionV relativeFrom="line">
                  <wp:posOffset>635</wp:posOffset>
                </wp:positionV>
                <wp:extent cx="914400" cy="175260"/>
                <wp:effectExtent l="0" t="0" r="0" b="0"/>
                <wp:wrapSquare wrapText="largest"/>
                <wp:docPr id="165" name="Frame165"/>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2.</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b/>
          <w:u w:val="single"/>
        </w:rPr>
        <w:t>COMPLIANCE WITH SECURITIES LAWS</w:t>
      </w:r>
      <w:r>
        <w:rPr>
          <w:b/>
        </w:rPr>
        <w:t>.</w:t>
      </w:r>
      <w:r>
        <w:rPr/>
        <w:t xml:space="preserve">    DermaStar represents and warrants to the Company as follows:    </w:t>
      </w:r>
      <w:r>
        <mc:AlternateContent>
          <mc:Choice Requires="wps">
            <w:drawing>
              <wp:anchor behindDoc="0" distT="0" distB="0" distL="0" distR="0" simplePos="0" locked="0" layoutInCell="1" allowOverlap="1" relativeHeight="167">
                <wp:simplePos x="0" y="0"/>
                <wp:positionH relativeFrom="column">
                  <wp:align>left</wp:align>
                </wp:positionH>
                <wp:positionV relativeFrom="line">
                  <wp:posOffset>635</wp:posOffset>
                </wp:positionV>
                <wp:extent cx="914400" cy="175260"/>
                <wp:effectExtent l="0" t="0" r="0" b="0"/>
                <wp:wrapSquare wrapText="largest"/>
                <wp:docPr id="166" name="Frame166"/>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3.</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DermaStar acknowledges that it understands that the Securities are restricted securities and have not been registered under the Securities Act of 1933 (the </w:t>
      </w:r>
      <w:r>
        <w:rPr>
          <w:u w:val="single"/>
        </w:rPr>
        <w:t>Act</w:t>
      </w:r>
      <w:r>
        <w:rPr/>
        <w:t>) or any applicable state securities law, that the Securities will include a restrictive legend to that effect, and, that accordingly, the Securities may not be offered or sold except pursuant to an effective registration statement under the Act or pursuant to an available exemption from, or in a transaction not subject to, the registration requirements of the Act and in accordance with applicable state securities laws.</w:t>
      </w:r>
      <w:r>
        <mc:AlternateContent>
          <mc:Choice Requires="wps">
            <w:drawing>
              <wp:anchor behindDoc="0" distT="0" distB="0" distL="0" distR="0" simplePos="0" locked="0" layoutInCell="1" allowOverlap="1" relativeHeight="168">
                <wp:simplePos x="0" y="0"/>
                <wp:positionH relativeFrom="column">
                  <wp:align>left</wp:align>
                </wp:positionH>
                <wp:positionV relativeFrom="line">
                  <wp:posOffset>635</wp:posOffset>
                </wp:positionV>
                <wp:extent cx="1371600" cy="175260"/>
                <wp:effectExtent l="0" t="0" r="0" b="0"/>
                <wp:wrapSquare wrapText="largest"/>
                <wp:docPr id="167" name="Frame167"/>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30"/>
        <w:jc w:val="both"/>
        <w:rPr/>
      </w:pPr>
      <w:r>
        <w:rPr/>
        <w:t>DermaStar has adequate means of providing for current needs and contingencies, has no need for liquidity in the Securities, and is able to bear the economic risk of an investment in the Securities. DermaStar represents that it is able to bear the economic risk of the investment and at the present time could afford a complete loss of such investment in the Securities.</w:t>
      </w:r>
      <w:r>
        <mc:AlternateContent>
          <mc:Choice Requires="wps">
            <w:drawing>
              <wp:anchor behindDoc="0" distT="0" distB="0" distL="0" distR="0" simplePos="0" locked="0" layoutInCell="1" allowOverlap="1" relativeHeight="169">
                <wp:simplePos x="0" y="0"/>
                <wp:positionH relativeFrom="column">
                  <wp:align>left</wp:align>
                </wp:positionH>
                <wp:positionV relativeFrom="line">
                  <wp:posOffset>635</wp:posOffset>
                </wp:positionV>
                <wp:extent cx="1371600" cy="175260"/>
                <wp:effectExtent l="0" t="0" r="0" b="0"/>
                <wp:wrapSquare wrapText="largest"/>
                <wp:docPr id="168" name="Frame168"/>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DermaStar is an accredited investor as defined in Regulation D of the Securities Act and has sufficient knowledge and experience in financial and business matters that DermaStar is capable of evaluating the merits and risks of an investment in the Securities and of making an informed investment decision with respect thereto and has the capacity to protect its own interests in connection with the issuance of the Securities.</w:t>
      </w:r>
      <w:r>
        <mc:AlternateContent>
          <mc:Choice Requires="wps">
            <w:drawing>
              <wp:anchor behindDoc="0" distT="0" distB="0" distL="0" distR="0" simplePos="0" locked="0" layoutInCell="1" allowOverlap="1" relativeHeight="170">
                <wp:simplePos x="0" y="0"/>
                <wp:positionH relativeFrom="column">
                  <wp:align>left</wp:align>
                </wp:positionH>
                <wp:positionV relativeFrom="line">
                  <wp:posOffset>635</wp:posOffset>
                </wp:positionV>
                <wp:extent cx="1371600" cy="175260"/>
                <wp:effectExtent l="0" t="0" r="0" b="0"/>
                <wp:wrapSquare wrapText="largest"/>
                <wp:docPr id="169" name="Frame169"/>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(c)</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(c)</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DermaStar has no present intention of distributing any of such Securities in violation of the Act or any applicable state securities law, has no direct or indirect arrangement or understandings with any other persons to distribute or regarding the distribution of such Securities in violation of the Securities Act or any applicable state securities law and is acquiring the Securities solely for DermaStars own account as principal, for investment purposes only and not with a view to the resale or distribution thereof, in whole or in part.</w:t>
      </w:r>
      <w:r>
        <mc:AlternateContent>
          <mc:Choice Requires="wps">
            <w:drawing>
              <wp:anchor behindDoc="0" distT="0" distB="0" distL="0" distR="0" simplePos="0" locked="0" layoutInCell="1" allowOverlap="1" relativeHeight="171">
                <wp:simplePos x="0" y="0"/>
                <wp:positionH relativeFrom="column">
                  <wp:align>left</wp:align>
                </wp:positionH>
                <wp:positionV relativeFrom="line">
                  <wp:posOffset>635</wp:posOffset>
                </wp:positionV>
                <wp:extent cx="1371600" cy="175260"/>
                <wp:effectExtent l="0" t="0" r="0" b="0"/>
                <wp:wrapSquare wrapText="largest"/>
                <wp:docPr id="170" name="Frame170"/>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(d)</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DermaStar will not sell or otherwise transfer the Securities without registration under the Act or an exemption therefrom and fully understands and agrees that DermaStar must bear the economic risk for an indefinite period of time because, among other reasons, the Securities have not been registered under the Act or under the securities laws of any state and, therefore, cannot be resold, pledged, assigned or otherwise disposed of unless they are subsequently registered under the Act and under the applicable securities laws of such states or unless an exemption from such registration is available.</w:t>
      </w:r>
      <w:r>
        <mc:AlternateContent>
          <mc:Choice Requires="wps">
            <w:drawing>
              <wp:anchor behindDoc="0" distT="0" distB="0" distL="0" distR="0" simplePos="0" locked="0" layoutInCell="1" allowOverlap="1" relativeHeight="172">
                <wp:simplePos x="0" y="0"/>
                <wp:positionH relativeFrom="column">
                  <wp:align>left</wp:align>
                </wp:positionH>
                <wp:positionV relativeFrom="line">
                  <wp:posOffset>635</wp:posOffset>
                </wp:positionV>
                <wp:extent cx="1371600" cy="175260"/>
                <wp:effectExtent l="0" t="0" r="0" b="0"/>
                <wp:wrapSquare wrapText="largest"/>
                <wp:docPr id="171" name="Frame171"/>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(e)</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(e)</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30"/>
        <w:jc w:val="both"/>
        <w:rPr/>
      </w:pPr>
      <w:r>
        <w:rPr/>
        <w:t xml:space="preserve">The terms and conditions under which the Securities were issued were directly communicated to DermaStar by the Company in such a manner that DermaStar was able to ask questions of and receive answers from concerning the terms and conditions of this transaction.  At no time was DermaStar presented with or solicited by or through any article, notice or other communication published in any newspaper or other leaflet, public promotional meeting, television, radio or other broadcast or transmittal advertisement or any other form of general advertising. </w:t>
      </w:r>
      <w:r>
        <mc:AlternateContent>
          <mc:Choice Requires="wps">
            <w:drawing>
              <wp:anchor behindDoc="0" distT="0" distB="0" distL="0" distR="0" simplePos="0" locked="0" layoutInCell="1" allowOverlap="1" relativeHeight="173">
                <wp:simplePos x="0" y="0"/>
                <wp:positionH relativeFrom="column">
                  <wp:align>left</wp:align>
                </wp:positionH>
                <wp:positionV relativeFrom="line">
                  <wp:posOffset>635</wp:posOffset>
                </wp:positionV>
                <wp:extent cx="1371600" cy="175260"/>
                <wp:effectExtent l="0" t="0" r="0" b="0"/>
                <wp:wrapSquare wrapText="largest"/>
                <wp:docPr id="172" name="Frame172"/>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(f)</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(f)</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b/>
        </w:rPr>
      </w:pPr>
      <w:r>
        <w:rPr>
          <w:b/>
          <w:u w:val="single"/>
        </w:rPr>
        <w:t>MISCELLANEOUS</w:t>
      </w:r>
      <w:r>
        <w:rPr>
          <w:b/>
        </w:rPr>
        <w:t>.</w:t>
      </w:r>
      <w:r>
        <mc:AlternateContent>
          <mc:Choice Requires="wps">
            <w:drawing>
              <wp:anchor behindDoc="0" distT="0" distB="0" distL="0" distR="0" simplePos="0" locked="0" layoutInCell="1" allowOverlap="1" relativeHeight="174">
                <wp:simplePos x="0" y="0"/>
                <wp:positionH relativeFrom="column">
                  <wp:align>left</wp:align>
                </wp:positionH>
                <wp:positionV relativeFrom="line">
                  <wp:posOffset>635</wp:posOffset>
                </wp:positionV>
                <wp:extent cx="914400" cy="175260"/>
                <wp:effectExtent l="0" t="0" r="0" b="0"/>
                <wp:wrapSquare wrapText="largest"/>
                <wp:docPr id="173" name="Frame173"/>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4.</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4.</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Entire Agreement; Modifications; Waiver</w:t>
      </w:r>
      <w:r>
        <w:rPr/>
        <w:t>.  This Agreement constitutes the entire agreement between the Parties pertaining to the subject matter contained in it, except for any other agreements referenced herein. This Agreement supersedes all prior and contemporaneous agreements (other than those entered into in writing simultaneously with this Agreement), representations, and understandings of the Parties.  No supplement, modification, or amendment of this Agreement shall be binding unless executed in writing by all the Parties.  No waiver of any of the provisions of this Agreement shall be deemed, or shall constitute, a waiver of any other provisions, whether or not similar, nor shall any waiver constitute a continuing waiver.  No waiver shall be binding unless executed in writing by the Party making the waiver.  </w:t>
      </w:r>
      <w:r>
        <mc:AlternateContent>
          <mc:Choice Requires="wps">
            <w:drawing>
              <wp:anchor behindDoc="0" distT="0" distB="0" distL="0" distR="0" simplePos="0" locked="0" layoutInCell="1" allowOverlap="1" relativeHeight="175">
                <wp:simplePos x="0" y="0"/>
                <wp:positionH relativeFrom="column">
                  <wp:align>left</wp:align>
                </wp:positionH>
                <wp:positionV relativeFrom="line">
                  <wp:posOffset>635</wp:posOffset>
                </wp:positionV>
                <wp:extent cx="1371600" cy="175260"/>
                <wp:effectExtent l="0" t="0" r="0" b="0"/>
                <wp:wrapSquare wrapText="largest"/>
                <wp:docPr id="174" name="Frame174"/>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Notices</w:t>
      </w:r>
      <w:r>
        <w:rPr/>
        <w:t>.  Any notice required or permitted to be given hereunder shall be in writing and shall be mailed, faxed or otherwise delivered in person to the Parties at the their respective addresses of record.  </w:t>
      </w:r>
      <w:r>
        <mc:AlternateContent>
          <mc:Choice Requires="wps">
            <w:drawing>
              <wp:anchor behindDoc="0" distT="0" distB="0" distL="0" distR="0" simplePos="0" locked="0" layoutInCell="1" allowOverlap="1" relativeHeight="176">
                <wp:simplePos x="0" y="0"/>
                <wp:positionH relativeFrom="column">
                  <wp:align>left</wp:align>
                </wp:positionH>
                <wp:positionV relativeFrom="line">
                  <wp:posOffset>635</wp:posOffset>
                </wp:positionV>
                <wp:extent cx="1371600" cy="175260"/>
                <wp:effectExtent l="0" t="0" r="0" b="0"/>
                <wp:wrapSquare wrapText="largest"/>
                <wp:docPr id="175" name="Frame175"/>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Necessary Acts</w:t>
      </w:r>
      <w:r>
        <w:rPr/>
        <w:t>.  Each Party to this Agreement agrees to perform any further acts and execute and deliver any further documents that may be reasonably necessary to carry out the provisions of this Agreement.  </w:t>
      </w:r>
      <w:r>
        <mc:AlternateContent>
          <mc:Choice Requires="wps">
            <w:drawing>
              <wp:anchor behindDoc="0" distT="0" distB="0" distL="0" distR="0" simplePos="0" locked="0" layoutInCell="1" allowOverlap="1" relativeHeight="177">
                <wp:simplePos x="0" y="0"/>
                <wp:positionH relativeFrom="column">
                  <wp:align>left</wp:align>
                </wp:positionH>
                <wp:positionV relativeFrom="line">
                  <wp:posOffset>635</wp:posOffset>
                </wp:positionV>
                <wp:extent cx="1371600" cy="175260"/>
                <wp:effectExtent l="0" t="0" r="0" b="0"/>
                <wp:wrapSquare wrapText="largest"/>
                <wp:docPr id="176" name="Frame176"/>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(c)</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(c)</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Waiver</w:t>
      </w:r>
      <w:r>
        <w:rPr/>
        <w:t>.  Any waiver by either Party of a breach of any provision of this Agreement shall not operate as or be construed to be a waiver of any other breach of that provision or of any breach of any other provision of this Agreement.  The failure of a Party to insist upon strict adherence to any term of this Agreement on one or more occasions will not be considered a waiver or deprive that Party of the right thereafter to insist upon adherence to that term of any other term of this Agreement.  </w:t>
      </w:r>
      <w:r>
        <mc:AlternateContent>
          <mc:Choice Requires="wps">
            <w:drawing>
              <wp:anchor behindDoc="0" distT="0" distB="0" distL="0" distR="0" simplePos="0" locked="0" layoutInCell="1" allowOverlap="1" relativeHeight="178">
                <wp:simplePos x="0" y="0"/>
                <wp:positionH relativeFrom="column">
                  <wp:align>left</wp:align>
                </wp:positionH>
                <wp:positionV relativeFrom="line">
                  <wp:posOffset>635</wp:posOffset>
                </wp:positionV>
                <wp:extent cx="1371600" cy="175260"/>
                <wp:effectExtent l="0" t="0" r="0" b="0"/>
                <wp:wrapSquare wrapText="largest"/>
                <wp:docPr id="177" name="Frame177"/>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(d)</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Severability</w:t>
      </w:r>
      <w:r>
        <w:rPr/>
        <w:t>.  If any provision of this Agreement is invalid, illegal, or unenforceable, the balance of this Agreement shall remain in effect.  If any provision is inapplicable to any person or circumstance, it shall nevertheless remain applicable to all other persons and circumstances.  </w:t>
      </w:r>
      <w:r>
        <mc:AlternateContent>
          <mc:Choice Requires="wps">
            <w:drawing>
              <wp:anchor behindDoc="0" distT="0" distB="0" distL="0" distR="0" simplePos="0" locked="0" layoutInCell="1" allowOverlap="1" relativeHeight="179">
                <wp:simplePos x="0" y="0"/>
                <wp:positionH relativeFrom="column">
                  <wp:align>left</wp:align>
                </wp:positionH>
                <wp:positionV relativeFrom="line">
                  <wp:posOffset>635</wp:posOffset>
                </wp:positionV>
                <wp:extent cx="1371600" cy="175260"/>
                <wp:effectExtent l="0" t="0" r="0" b="0"/>
                <wp:wrapSquare wrapText="largest"/>
                <wp:docPr id="178" name="Frame178"/>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(e)</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(e)</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Disputes</w:t>
      </w:r>
      <w:r>
        <w:rPr/>
        <w:t xml:space="preserve">.  Any dispute or other disagreement arising from or out of this Agreement shall be resolved in state court in California.  Any such disputes may only be resolved by a bench trial.  The interpretation and the enforcement of this Agreement shall be governed by California Law as applied to residents of the State of California relating to contracts executed in and to be performed solely within the State of California.  (For additional terms related to Disputes, see Section (g) below). </w:t>
      </w:r>
      <w:r>
        <mc:AlternateContent>
          <mc:Choice Requires="wps">
            <w:drawing>
              <wp:anchor behindDoc="0" distT="0" distB="0" distL="0" distR="0" simplePos="0" locked="0" layoutInCell="1" allowOverlap="1" relativeHeight="180">
                <wp:simplePos x="0" y="0"/>
                <wp:positionH relativeFrom="column">
                  <wp:align>left</wp:align>
                </wp:positionH>
                <wp:positionV relativeFrom="line">
                  <wp:posOffset>635</wp:posOffset>
                </wp:positionV>
                <wp:extent cx="1371600" cy="175260"/>
                <wp:effectExtent l="0" t="0" r="0" b="0"/>
                <wp:wrapSquare wrapText="largest"/>
                <wp:docPr id="179" name="Frame179"/>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(f)</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(f)</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0"/>
        <w:jc w:val="center"/>
        <w:rPr/>
      </w:pPr>
      <w:r>
        <w:rPr/>
        <w:t>Page 2 of 6</w:t>
      </w:r>
      <w:r>
        <mc:AlternateContent>
          <mc:Choice Requires="wps">
            <w:drawing>
              <wp:anchor behindDoc="0" distT="0" distB="0" distL="0" distR="0" simplePos="0" locked="0" layoutInCell="1" allowOverlap="1" relativeHeight="181">
                <wp:simplePos x="0" y="0"/>
                <wp:positionH relativeFrom="column">
                  <wp:align>left</wp:align>
                </wp:positionH>
                <wp:positionV relativeFrom="line">
                  <wp:posOffset>635</wp:posOffset>
                </wp:positionV>
                <wp:extent cx="6858000" cy="175260"/>
                <wp:effectExtent l="0" t="0" r="0" b="0"/>
                <wp:wrapSquare wrapText="largest"/>
                <wp:docPr id="180" name="Frame180"/>
                <a:graphic xmlns:a="http://schemas.openxmlformats.org/drawingml/2006/main">
                  <a:graphicData uri="http://schemas.microsoft.com/office/word/2010/wordprocessingShape">
                    <wps:wsp>
                      <wps:cNvSpPr txBox="1"/>
                      <wps:spPr>
                        <a:xfrm>
                          <a:off x="0" y="0"/>
                          <a:ext cx="6858000" cy="175260"/>
                        </a:xfrm>
                        <a:prstGeom prst="rect"/>
                      </wps:spPr>
                      <wps:txbx>
                        <w:txbxContent>
                          <w:p>
                            <w:pPr>
                              <w:pStyle w:val="TextBody"/>
                              <w:spacing w:before="0" w:after="283"/>
                              <w:rPr/>
                            </w:pPr>
                            <w:r>
                              <w:rPr/>
                              <w:t>_____Company</w:t>
                            </w:r>
                          </w:p>
                        </w:txbxContent>
                      </wps:txbx>
                      <wps:bodyPr anchor="t" lIns="0" tIns="0" rIns="0" bIns="0">
                        <a:noAutofit/>
                      </wps:bodyPr>
                    </wps:wsp>
                  </a:graphicData>
                </a:graphic>
              </wp:anchor>
            </w:drawing>
          </mc:Choice>
          <mc:Fallback>
            <w:pict>
              <v:rect style="position:absolute;rotation:0;width:540pt;height:13.8pt;mso-wrap-distance-left:0pt;mso-wrap-distance-right:0pt;mso-wrap-distance-top:0pt;mso-wrap-distance-bottom:0pt;margin-top:0pt;mso-position-vertical:top;mso-position-vertical-relative:text;margin-left:-1.45pt;mso-position-horizontal:left;mso-position-horizontal-relative:text">
                <v:textbox>
                  <w:txbxContent>
                    <w:p>
                      <w:pPr>
                        <w:pStyle w:val="TextBody"/>
                        <w:spacing w:before="0" w:after="283"/>
                        <w:rPr/>
                      </w:pPr>
                      <w:r>
                        <w:rPr/>
                        <w:t>_____Company</w:t>
                      </w:r>
                    </w:p>
                  </w:txbxContent>
                </v:textbox>
                <w10:wrap type="square" side="right"/>
              </v:rect>
            </w:pict>
          </mc:Fallback>
        </mc:AlternateContent>
      </w:r>
      <w:r>
        <mc:AlternateContent>
          <mc:Choice Requires="wps">
            <w:drawing>
              <wp:anchor behindDoc="0" distT="0" distB="0" distL="0" distR="0" simplePos="0" locked="0" layoutInCell="1" allowOverlap="1" relativeHeight="182">
                <wp:simplePos x="0" y="0"/>
                <wp:positionH relativeFrom="column">
                  <wp:align>left</wp:align>
                </wp:positionH>
                <wp:positionV relativeFrom="line">
                  <wp:posOffset>635</wp:posOffset>
                </wp:positionV>
                <wp:extent cx="6105525" cy="175260"/>
                <wp:effectExtent l="0" t="0" r="0" b="0"/>
                <wp:wrapSquare wrapText="largest"/>
                <wp:docPr id="181" name="Frame181"/>
                <a:graphic xmlns:a="http://schemas.openxmlformats.org/drawingml/2006/main">
                  <a:graphicData uri="http://schemas.microsoft.com/office/word/2010/wordprocessingShape">
                    <wps:wsp>
                      <wps:cNvSpPr txBox="1"/>
                      <wps:spPr>
                        <a:xfrm>
                          <a:off x="0" y="0"/>
                          <a:ext cx="6105525" cy="175260"/>
                        </a:xfrm>
                        <a:prstGeom prst="rect"/>
                      </wps:spPr>
                      <wps:txbx>
                        <w:txbxContent>
                          <w:p>
                            <w:pPr>
                              <w:pStyle w:val="TextBody"/>
                              <w:spacing w:before="0" w:after="283"/>
                              <w:jc w:val="right"/>
                              <w:rPr/>
                            </w:pPr>
                            <w:r>
                              <w:rPr/>
                              <w:t>_____DermaStar</w:t>
                            </w:r>
                          </w:p>
                        </w:txbxContent>
                      </wps:txbx>
                      <wps:bodyPr anchor="t" lIns="0" tIns="0" rIns="0" bIns="0">
                        <a:noAutofit/>
                      </wps:bodyPr>
                    </wps:wsp>
                  </a:graphicData>
                </a:graphic>
              </wp:anchor>
            </w:drawing>
          </mc:Choice>
          <mc:Fallback>
            <w:pict>
              <v:rect style="position:absolute;rotation:0;width:48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jc w:val="right"/>
                        <w:rPr/>
                      </w:pPr>
                      <w:r>
                        <w:rPr/>
                        <w:t>_____DermaStar</w:t>
                      </w:r>
                    </w:p>
                  </w:txbxContent>
                </v:textbox>
                <w10:wrap type="square" side="right"/>
              </v:rect>
            </w:pict>
          </mc:Fallback>
        </mc:AlternateConten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rPr/>
      </w:pPr>
      <w:r>
        <w:rPr/>
      </w:r>
    </w:p>
    <w:p>
      <w:pPr>
        <w:pStyle w:val="TextBody"/>
        <w:spacing w:before="0" w:after="0"/>
        <w:ind w:left="0" w:right="0" w:hanging="30"/>
        <w:jc w:val="both"/>
        <w:rPr/>
      </w:pPr>
      <w:r>
        <w:rPr>
          <w:u w:val="single"/>
        </w:rPr>
        <w:t>Governing Law</w:t>
      </w:r>
      <w:r>
        <w:rPr/>
        <w:t>.  The subject matter of this Agreement shall be governed by and construed in accordance with the laws of the State of California (without reference to its choice of law principles), and to the exclusion of the law of any other forum, without regard to the jurisdiction in which any action or special proceeding may be instituted.  EACH PARTY HERETO AGREES TO SUBMIT TO THE PERSONAL JURISDICTION AND VENUE OF THE STATE COURTS LOCATED IN NORTH COUNTY SAN DIEGO, CALIFORNIA FOR RESOLUTION OF ALL DISPUTES ARISING OUT OF, IN CONNECTION WITH, OR BY REASON OF THE INTERPRETATION, CONSTRUCTION, AND ENFORCEMENT OF THIS AGREEMENT, AND HEREBY WAIVES THE CLAIM OR DEFENSE THEREIN THAT SUCH COURTS CONSTITUTE AN INCONVENIENT FORUM.  AS A MATERIAL INDUCEMENT FOR THIS AGREEMENT, EACH PARTY SPECIFICALLY WAIVES THE RIGHT TO TRIAL BY JURY OF ANY ISSUES SO TRIABLE.   If it becomes necessary for any Party to institute legal action to enforce the terms and conditions of this Agreement, the prevailing Party shall be awarded reasonable attorneys fees, expenses and costs.  </w:t>
      </w:r>
      <w:r>
        <mc:AlternateContent>
          <mc:Choice Requires="wps">
            <w:drawing>
              <wp:anchor behindDoc="0" distT="0" distB="0" distL="0" distR="0" simplePos="0" locked="0" layoutInCell="1" allowOverlap="1" relativeHeight="183">
                <wp:simplePos x="0" y="0"/>
                <wp:positionH relativeFrom="column">
                  <wp:align>left</wp:align>
                </wp:positionH>
                <wp:positionV relativeFrom="line">
                  <wp:posOffset>635</wp:posOffset>
                </wp:positionV>
                <wp:extent cx="1371600" cy="175260"/>
                <wp:effectExtent l="0" t="0" r="0" b="0"/>
                <wp:wrapSquare wrapText="largest"/>
                <wp:docPr id="182" name="Frame182"/>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(g)</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(g)</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Attorneys Fees</w:t>
      </w:r>
      <w:r>
        <w:rPr/>
        <w:t>.  Should any Party hereto employ an attorney for the purpose of enforcing or constituting this Agreement, or any judgment based on this Agreement, in any legal proceeding whatsoever, including insolvency, bankruptcy, arbitration, declaratory relief or other litigation, the prevailing party shall be entitled to receive from the other Party or Parties thereto reimbursement for all reasonable attorneys fees and all reasonable costs, including but not limited to service of process, filing fees, court and court reporter costs, investigative costs, expert witness fees, and the cost of any bonds, whether taxable or not, and that such reimbursement shall be included in any judgment or final order issued in that proceeding.  The prevailing party means the party determined by the court to most nearly prevail and not necessarily the one in whose favor a judgment is rendered.  </w:t>
      </w:r>
      <w:r>
        <mc:AlternateContent>
          <mc:Choice Requires="wps">
            <w:drawing>
              <wp:anchor behindDoc="0" distT="0" distB="0" distL="0" distR="0" simplePos="0" locked="0" layoutInCell="1" allowOverlap="1" relativeHeight="184">
                <wp:simplePos x="0" y="0"/>
                <wp:positionH relativeFrom="column">
                  <wp:align>left</wp:align>
                </wp:positionH>
                <wp:positionV relativeFrom="line">
                  <wp:posOffset>635</wp:posOffset>
                </wp:positionV>
                <wp:extent cx="1371600" cy="175260"/>
                <wp:effectExtent l="0" t="0" r="0" b="0"/>
                <wp:wrapSquare wrapText="largest"/>
                <wp:docPr id="183" name="Frame183"/>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(h)</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(h)</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Execution of the Agreement</w:t>
      </w:r>
      <w:r>
        <w:rPr/>
        <w:t>.  The Company, the party executing this Agreement on behalf of the Company, and DermaStar, have the requisite corporate power and authority to enter into and carry out the terms and conditions of this Agreement, as well as all transactions contemplated hereunder. All corporate proceedings have been taken and all corporate authorizations and approvals have been secured which are necessary to authorize the execution, delivery and performance by the Company and DermaStar of this Agreement.  This Agreement has been duly and validly executed and delivered by the Company and DermaStar and constitutes a valid and binding obligation, enforceable in accordance with the respective terms herein.  Upon delivery of this Agreement, this Agreement, and the other agreements and exhibits referred to herein, will constitute the valid and binding obligations of Company, and will be enforceable in accordance with their respective terms.  Delivery may take place via facsimile transmission.  </w:t>
      </w:r>
      <w:r>
        <mc:AlternateContent>
          <mc:Choice Requires="wps">
            <w:drawing>
              <wp:anchor behindDoc="0" distT="0" distB="0" distL="0" distR="0" simplePos="0" locked="0" layoutInCell="1" allowOverlap="1" relativeHeight="185">
                <wp:simplePos x="0" y="0"/>
                <wp:positionH relativeFrom="column">
                  <wp:align>left</wp:align>
                </wp:positionH>
                <wp:positionV relativeFrom="line">
                  <wp:posOffset>635</wp:posOffset>
                </wp:positionV>
                <wp:extent cx="1371600" cy="175260"/>
                <wp:effectExtent l="0" t="0" r="0" b="0"/>
                <wp:wrapSquare wrapText="largest"/>
                <wp:docPr id="184" name="Frame184"/>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(i)</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(i)</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b/>
          <w:i/>
        </w:rPr>
      </w:pPr>
      <w:r>
        <w:rPr>
          <w:b/>
          <w:i/>
        </w:rPr>
        <w:t>***SIGNATURE PAGE FOLLOWS***</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t>Page 3 of 6</w:t>
      </w:r>
      <w:r>
        <mc:AlternateContent>
          <mc:Choice Requires="wps">
            <w:drawing>
              <wp:anchor behindDoc="0" distT="0" distB="0" distL="0" distR="0" simplePos="0" locked="0" layoutInCell="1" allowOverlap="1" relativeHeight="186">
                <wp:simplePos x="0" y="0"/>
                <wp:positionH relativeFrom="column">
                  <wp:align>left</wp:align>
                </wp:positionH>
                <wp:positionV relativeFrom="line">
                  <wp:posOffset>635</wp:posOffset>
                </wp:positionV>
                <wp:extent cx="6858000" cy="175260"/>
                <wp:effectExtent l="0" t="0" r="0" b="0"/>
                <wp:wrapSquare wrapText="largest"/>
                <wp:docPr id="185" name="Frame185"/>
                <a:graphic xmlns:a="http://schemas.openxmlformats.org/drawingml/2006/main">
                  <a:graphicData uri="http://schemas.microsoft.com/office/word/2010/wordprocessingShape">
                    <wps:wsp>
                      <wps:cNvSpPr txBox="1"/>
                      <wps:spPr>
                        <a:xfrm>
                          <a:off x="0" y="0"/>
                          <a:ext cx="6858000" cy="175260"/>
                        </a:xfrm>
                        <a:prstGeom prst="rect"/>
                      </wps:spPr>
                      <wps:txbx>
                        <w:txbxContent>
                          <w:p>
                            <w:pPr>
                              <w:pStyle w:val="TextBody"/>
                              <w:spacing w:before="0" w:after="283"/>
                              <w:rPr/>
                            </w:pPr>
                            <w:r>
                              <w:rPr/>
                              <w:t>_____Company</w:t>
                            </w:r>
                          </w:p>
                        </w:txbxContent>
                      </wps:txbx>
                      <wps:bodyPr anchor="t" lIns="0" tIns="0" rIns="0" bIns="0">
                        <a:noAutofit/>
                      </wps:bodyPr>
                    </wps:wsp>
                  </a:graphicData>
                </a:graphic>
              </wp:anchor>
            </w:drawing>
          </mc:Choice>
          <mc:Fallback>
            <w:pict>
              <v:rect style="position:absolute;rotation:0;width:540pt;height:13.8pt;mso-wrap-distance-left:0pt;mso-wrap-distance-right:0pt;mso-wrap-distance-top:0pt;mso-wrap-distance-bottom:0pt;margin-top:0pt;mso-position-vertical:top;mso-position-vertical-relative:text;margin-left:-1.45pt;mso-position-horizontal:left;mso-position-horizontal-relative:text">
                <v:textbox>
                  <w:txbxContent>
                    <w:p>
                      <w:pPr>
                        <w:pStyle w:val="TextBody"/>
                        <w:spacing w:before="0" w:after="283"/>
                        <w:rPr/>
                      </w:pPr>
                      <w:r>
                        <w:rPr/>
                        <w:t>_____Company</w:t>
                      </w:r>
                    </w:p>
                  </w:txbxContent>
                </v:textbox>
                <w10:wrap type="square" side="right"/>
              </v:rect>
            </w:pict>
          </mc:Fallback>
        </mc:AlternateContent>
      </w:r>
      <w:r>
        <mc:AlternateContent>
          <mc:Choice Requires="wps">
            <w:drawing>
              <wp:anchor behindDoc="0" distT="0" distB="0" distL="0" distR="0" simplePos="0" locked="0" layoutInCell="1" allowOverlap="1" relativeHeight="187">
                <wp:simplePos x="0" y="0"/>
                <wp:positionH relativeFrom="column">
                  <wp:align>left</wp:align>
                </wp:positionH>
                <wp:positionV relativeFrom="line">
                  <wp:posOffset>635</wp:posOffset>
                </wp:positionV>
                <wp:extent cx="6105525" cy="175260"/>
                <wp:effectExtent l="0" t="0" r="0" b="0"/>
                <wp:wrapSquare wrapText="largest"/>
                <wp:docPr id="186" name="Frame186"/>
                <a:graphic xmlns:a="http://schemas.openxmlformats.org/drawingml/2006/main">
                  <a:graphicData uri="http://schemas.microsoft.com/office/word/2010/wordprocessingShape">
                    <wps:wsp>
                      <wps:cNvSpPr txBox="1"/>
                      <wps:spPr>
                        <a:xfrm>
                          <a:off x="0" y="0"/>
                          <a:ext cx="6105525" cy="175260"/>
                        </a:xfrm>
                        <a:prstGeom prst="rect"/>
                      </wps:spPr>
                      <wps:txbx>
                        <w:txbxContent>
                          <w:p>
                            <w:pPr>
                              <w:pStyle w:val="TextBody"/>
                              <w:spacing w:before="0" w:after="283"/>
                              <w:jc w:val="right"/>
                              <w:rPr/>
                            </w:pPr>
                            <w:r>
                              <w:rPr/>
                              <w:t>_____DermaStar</w:t>
                            </w:r>
                          </w:p>
                        </w:txbxContent>
                      </wps:txbx>
                      <wps:bodyPr anchor="t" lIns="0" tIns="0" rIns="0" bIns="0">
                        <a:noAutofit/>
                      </wps:bodyPr>
                    </wps:wsp>
                  </a:graphicData>
                </a:graphic>
              </wp:anchor>
            </w:drawing>
          </mc:Choice>
          <mc:Fallback>
            <w:pict>
              <v:rect style="position:absolute;rotation:0;width:48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jc w:val="right"/>
                        <w:rPr/>
                      </w:pPr>
                      <w:r>
                        <w:rPr/>
                        <w:t>_____DermaStar</w:t>
                      </w:r>
                    </w:p>
                  </w:txbxContent>
                </v:textbox>
                <w10:wrap type="square" side="right"/>
              </v:rect>
            </w:pict>
          </mc:Fallback>
        </mc:AlternateConten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center"/>
        <w:rPr>
          <w:b/>
        </w:rPr>
      </w:pPr>
      <w:r>
        <w:rPr>
          <w:b/>
        </w:rPr>
        <w:t>SIGNATURE PAGE</w:t>
      </w:r>
    </w:p>
    <w:p>
      <w:pPr>
        <w:pStyle w:val="TextBody"/>
        <w:spacing w:before="0" w:after="0"/>
        <w:ind w:left="0" w:right="0" w:hanging="0"/>
        <w:rPr/>
      </w:pPr>
      <w:r>
        <w:rPr/>
      </w:r>
    </w:p>
    <w:p>
      <w:pPr>
        <w:pStyle w:val="TextBody"/>
        <w:spacing w:before="0" w:after="0"/>
        <w:ind w:left="0" w:right="0" w:firstLine="720"/>
        <w:rPr/>
      </w:pPr>
      <w:r>
        <w:rPr/>
        <w:t>IN WITNESS WHEREOF, this Promissory Note Conversion Agreement has been executed by the Parties as of the date first above written.  </w:t>
      </w:r>
    </w:p>
    <w:p>
      <w:pPr>
        <w:pStyle w:val="TextBody"/>
        <w:spacing w:before="0" w:after="0"/>
        <w:ind w:left="0" w:right="0" w:hanging="0"/>
        <w:rPr/>
      </w:pPr>
      <w:r>
        <w:rPr/>
      </w:r>
    </w:p>
    <w:p>
      <w:pPr>
        <w:pStyle w:val="TextBody"/>
        <w:spacing w:before="0" w:after="0"/>
        <w:ind w:left="0" w:right="0" w:hanging="0"/>
        <w:rPr/>
      </w:pPr>
      <w:r>
        <w:rPr/>
      </w:r>
    </w:p>
    <w:tbl>
      <w:tblPr>
        <w:tblW w:w="9600" w:type="dxa"/>
        <w:jc w:val="left"/>
        <w:tblInd w:w="0" w:type="dxa"/>
        <w:tblCellMar>
          <w:top w:w="0" w:type="dxa"/>
          <w:left w:w="0" w:type="dxa"/>
          <w:bottom w:w="0" w:type="dxa"/>
          <w:right w:w="0" w:type="dxa"/>
        </w:tblCellMar>
      </w:tblPr>
      <w:tblGrid>
        <w:gridCol w:w="4800"/>
        <w:gridCol w:w="4800"/>
      </w:tblGrid>
      <w:tr>
        <w:trPr/>
        <w:tc>
          <w:tcPr>
            <w:tcW w:w="4800" w:type="dxa"/>
            <w:tcBorders/>
            <w:shd w:fill="auto" w:val="clear"/>
            <w:vAlign w:val="center"/>
          </w:tcPr>
          <w:p>
            <w:pPr>
              <w:pStyle w:val="TableContents"/>
              <w:spacing w:before="0" w:after="283"/>
              <w:rPr>
                <w:sz w:val="4"/>
                <w:szCs w:val="4"/>
              </w:rPr>
            </w:pPr>
            <w:r>
              <w:rPr>
                <w:sz w:val="4"/>
                <w:szCs w:val="4"/>
              </w:rPr>
            </w:r>
          </w:p>
        </w:tc>
        <w:tc>
          <w:tcPr>
            <w:tcW w:w="4800" w:type="dxa"/>
            <w:tcBorders/>
            <w:shd w:fill="auto" w:val="clear"/>
            <w:vAlign w:val="center"/>
          </w:tcPr>
          <w:p>
            <w:pPr>
              <w:pStyle w:val="TableContents"/>
              <w:spacing w:before="0" w:after="283"/>
              <w:rPr>
                <w:sz w:val="4"/>
                <w:szCs w:val="4"/>
              </w:rPr>
            </w:pPr>
            <w:r>
              <w:rPr>
                <w:sz w:val="4"/>
                <w:szCs w:val="4"/>
              </w:rPr>
            </w:r>
          </w:p>
        </w:tc>
      </w:tr>
      <w:tr>
        <w:trPr/>
        <w:tc>
          <w:tcPr>
            <w:tcW w:w="4800" w:type="dxa"/>
            <w:tcBorders/>
            <w:shd w:fill="auto" w:val="clear"/>
            <w:vAlign w:val="center"/>
          </w:tcPr>
          <w:p>
            <w:pPr>
              <w:pStyle w:val="TableContents"/>
              <w:pBdr/>
              <w:spacing w:before="0" w:after="0"/>
              <w:ind w:left="0" w:right="0" w:hanging="0"/>
              <w:rPr/>
            </w:pPr>
            <w:r>
              <w:rPr/>
              <w:t> </w:t>
            </w:r>
          </w:p>
        </w:tc>
        <w:tc>
          <w:tcPr>
            <w:tcW w:w="4800" w:type="dxa"/>
            <w:tcBorders/>
            <w:shd w:fill="auto" w:val="clear"/>
            <w:vAlign w:val="center"/>
          </w:tcPr>
          <w:p>
            <w:pPr>
              <w:pStyle w:val="TableContents"/>
              <w:pBdr/>
              <w:spacing w:before="0" w:after="0"/>
              <w:ind w:left="0" w:right="0" w:hanging="0"/>
              <w:rPr/>
            </w:pPr>
            <w:r>
              <w:rPr/>
              <w:t> </w:t>
            </w:r>
          </w:p>
        </w:tc>
      </w:tr>
      <w:tr>
        <w:trPr/>
        <w:tc>
          <w:tcPr>
            <w:tcW w:w="4800" w:type="dxa"/>
            <w:tcBorders/>
            <w:shd w:fill="auto" w:val="clear"/>
          </w:tcPr>
          <w:p>
            <w:pPr>
              <w:pStyle w:val="TableContents"/>
              <w:spacing w:before="0" w:after="0"/>
              <w:ind w:left="0" w:right="0" w:hanging="0"/>
              <w:rPr>
                <w:b/>
              </w:rPr>
            </w:pPr>
            <w:r>
              <w:rPr>
                <w:b/>
              </w:rPr>
              <w:t>IMPRIMIS PHARMACEUTICAL, INC.</w:t>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t>___________________________________</w:t>
            </w:r>
          </w:p>
          <w:p>
            <w:pPr>
              <w:pStyle w:val="TableContents"/>
              <w:spacing w:before="0" w:after="0"/>
              <w:ind w:left="0" w:right="0" w:hanging="0"/>
              <w:rPr/>
            </w:pPr>
            <w:r>
              <w:rPr/>
              <w:t>By:  </w:t>
            </w:r>
          </w:p>
          <w:p>
            <w:pPr>
              <w:pStyle w:val="TableContents"/>
              <w:spacing w:before="0" w:after="0"/>
              <w:ind w:left="0" w:right="0" w:hanging="0"/>
              <w:rPr/>
            </w:pPr>
            <w:r>
              <w:rPr/>
              <w:t>Its:  </w:t>
            </w:r>
          </w:p>
        </w:tc>
        <w:tc>
          <w:tcPr>
            <w:tcW w:w="4800" w:type="dxa"/>
            <w:tcBorders/>
            <w:shd w:fill="auto" w:val="clear"/>
          </w:tcPr>
          <w:p>
            <w:pPr>
              <w:pStyle w:val="TableContents"/>
              <w:spacing w:before="0" w:after="0"/>
              <w:ind w:left="0" w:right="0" w:firstLine="180"/>
              <w:rPr>
                <w:b/>
              </w:rPr>
            </w:pPr>
            <w:r>
              <w:rPr>
                <w:b/>
              </w:rPr>
              <w:t>DERMASTAR INTERNATIONAL, LLC</w:t>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firstLine="180"/>
              <w:rPr/>
            </w:pPr>
            <w:r>
              <w:rPr/>
              <w:t>_________________________________</w:t>
            </w:r>
          </w:p>
          <w:p>
            <w:pPr>
              <w:pStyle w:val="TableContents"/>
              <w:spacing w:before="0" w:after="0"/>
              <w:ind w:left="0" w:right="0" w:firstLine="180"/>
              <w:rPr/>
            </w:pPr>
            <w:r>
              <w:rPr/>
              <w:t>By:</w:t>
            </w:r>
          </w:p>
          <w:p>
            <w:pPr>
              <w:pStyle w:val="TableContents"/>
              <w:spacing w:before="0" w:after="0"/>
              <w:ind w:left="0" w:right="0" w:firstLine="180"/>
              <w:rPr/>
            </w:pPr>
            <w:r>
              <w:rPr/>
              <w:t>Its:</w:t>
            </w:r>
          </w:p>
        </w:tc>
      </w:tr>
    </w:tbl>
    <w:p>
      <w:pPr>
        <w:pStyle w:val="TextBody"/>
        <w:spacing w:before="0" w:after="0"/>
        <w:ind w:left="0" w:right="0" w:hanging="0"/>
        <w:rPr/>
      </w:pPr>
      <w:r>
        <w:rPr/>
      </w:r>
    </w:p>
    <w:p>
      <w:pPr>
        <w:pStyle w:val="TextBody"/>
        <w:spacing w:before="0" w:after="0"/>
        <w:ind w:left="0" w:right="0" w:hanging="0"/>
        <w:jc w:val="center"/>
        <w:rPr/>
      </w:pPr>
      <w:r>
        <w:rPr>
          <w:b/>
        </w:rPr>
        <w:t>A FACSIMILE COPY OF THIS AGREEMENT SHALL HAVE THE SAME LEGAL EFFECT AS AN ORIGINAL OF THE SAME</w:t>
      </w:r>
      <w:r>
        <w:rPr/>
        <w:t>.</w:t>
      </w:r>
    </w:p>
    <w:p>
      <w:pPr>
        <w:pStyle w:val="TextBody"/>
        <w:spacing w:before="0" w:after="0"/>
        <w:ind w:left="0" w:right="0" w:hanging="0"/>
        <w:rPr/>
      </w:pPr>
      <w:r>
        <w:rPr/>
      </w:r>
    </w:p>
    <w:p>
      <w:pPr>
        <w:pStyle w:val="TextBody"/>
        <w:spacing w:before="0" w:after="0"/>
        <w:ind w:left="0" w:right="0" w:hanging="0"/>
        <w:jc w:val="center"/>
        <w:rPr/>
      </w:pPr>
      <w:r>
        <w:rPr/>
        <w:t>Page 4 of 6</w:t>
      </w:r>
      <w:r>
        <mc:AlternateContent>
          <mc:Choice Requires="wps">
            <w:drawing>
              <wp:anchor behindDoc="0" distT="0" distB="0" distL="0" distR="0" simplePos="0" locked="0" layoutInCell="1" allowOverlap="1" relativeHeight="188">
                <wp:simplePos x="0" y="0"/>
                <wp:positionH relativeFrom="column">
                  <wp:align>left</wp:align>
                </wp:positionH>
                <wp:positionV relativeFrom="line">
                  <wp:posOffset>635</wp:posOffset>
                </wp:positionV>
                <wp:extent cx="6858000" cy="175260"/>
                <wp:effectExtent l="0" t="0" r="0" b="0"/>
                <wp:wrapSquare wrapText="largest"/>
                <wp:docPr id="187" name="Frame187"/>
                <a:graphic xmlns:a="http://schemas.openxmlformats.org/drawingml/2006/main">
                  <a:graphicData uri="http://schemas.microsoft.com/office/word/2010/wordprocessingShape">
                    <wps:wsp>
                      <wps:cNvSpPr txBox="1"/>
                      <wps:spPr>
                        <a:xfrm>
                          <a:off x="0" y="0"/>
                          <a:ext cx="6858000" cy="175260"/>
                        </a:xfrm>
                        <a:prstGeom prst="rect"/>
                      </wps:spPr>
                      <wps:txbx>
                        <w:txbxContent>
                          <w:p>
                            <w:pPr>
                              <w:pStyle w:val="TextBody"/>
                              <w:spacing w:before="0" w:after="283"/>
                              <w:rPr/>
                            </w:pPr>
                            <w:r>
                              <w:rPr/>
                              <w:t>_____Company</w:t>
                            </w:r>
                          </w:p>
                        </w:txbxContent>
                      </wps:txbx>
                      <wps:bodyPr anchor="t" lIns="0" tIns="0" rIns="0" bIns="0">
                        <a:noAutofit/>
                      </wps:bodyPr>
                    </wps:wsp>
                  </a:graphicData>
                </a:graphic>
              </wp:anchor>
            </w:drawing>
          </mc:Choice>
          <mc:Fallback>
            <w:pict>
              <v:rect style="position:absolute;rotation:0;width:540pt;height:13.8pt;mso-wrap-distance-left:0pt;mso-wrap-distance-right:0pt;mso-wrap-distance-top:0pt;mso-wrap-distance-bottom:0pt;margin-top:0pt;mso-position-vertical:top;mso-position-vertical-relative:text;margin-left:-1.45pt;mso-position-horizontal:left;mso-position-horizontal-relative:text">
                <v:textbox>
                  <w:txbxContent>
                    <w:p>
                      <w:pPr>
                        <w:pStyle w:val="TextBody"/>
                        <w:spacing w:before="0" w:after="283"/>
                        <w:rPr/>
                      </w:pPr>
                      <w:r>
                        <w:rPr/>
                        <w:t>_____Company</w:t>
                      </w:r>
                    </w:p>
                  </w:txbxContent>
                </v:textbox>
                <w10:wrap type="square" side="right"/>
              </v:rect>
            </w:pict>
          </mc:Fallback>
        </mc:AlternateContent>
      </w:r>
      <w:r>
        <mc:AlternateContent>
          <mc:Choice Requires="wps">
            <w:drawing>
              <wp:anchor behindDoc="0" distT="0" distB="0" distL="0" distR="0" simplePos="0" locked="0" layoutInCell="1" allowOverlap="1" relativeHeight="189">
                <wp:simplePos x="0" y="0"/>
                <wp:positionH relativeFrom="column">
                  <wp:align>left</wp:align>
                </wp:positionH>
                <wp:positionV relativeFrom="line">
                  <wp:posOffset>635</wp:posOffset>
                </wp:positionV>
                <wp:extent cx="6105525" cy="175260"/>
                <wp:effectExtent l="0" t="0" r="0" b="0"/>
                <wp:wrapSquare wrapText="largest"/>
                <wp:docPr id="188" name="Frame188"/>
                <a:graphic xmlns:a="http://schemas.openxmlformats.org/drawingml/2006/main">
                  <a:graphicData uri="http://schemas.microsoft.com/office/word/2010/wordprocessingShape">
                    <wps:wsp>
                      <wps:cNvSpPr txBox="1"/>
                      <wps:spPr>
                        <a:xfrm>
                          <a:off x="0" y="0"/>
                          <a:ext cx="6105525" cy="175260"/>
                        </a:xfrm>
                        <a:prstGeom prst="rect"/>
                      </wps:spPr>
                      <wps:txbx>
                        <w:txbxContent>
                          <w:p>
                            <w:pPr>
                              <w:pStyle w:val="TextBody"/>
                              <w:spacing w:before="0" w:after="283"/>
                              <w:jc w:val="right"/>
                              <w:rPr/>
                            </w:pPr>
                            <w:r>
                              <w:rPr/>
                              <w:t>_____DermaStar</w:t>
                            </w:r>
                          </w:p>
                        </w:txbxContent>
                      </wps:txbx>
                      <wps:bodyPr anchor="t" lIns="0" tIns="0" rIns="0" bIns="0">
                        <a:noAutofit/>
                      </wps:bodyPr>
                    </wps:wsp>
                  </a:graphicData>
                </a:graphic>
              </wp:anchor>
            </w:drawing>
          </mc:Choice>
          <mc:Fallback>
            <w:pict>
              <v:rect style="position:absolute;rotation:0;width:48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jc w:val="right"/>
                        <w:rPr/>
                      </w:pPr>
                      <w:r>
                        <w:rPr/>
                        <w:t>_____DermaStar</w:t>
                      </w:r>
                    </w:p>
                  </w:txbxContent>
                </v:textbox>
                <w10:wrap type="square" side="right"/>
              </v:rect>
            </w:pict>
          </mc:Fallback>
        </mc:AlternateConten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rPr/>
      </w:pPr>
      <w:r>
        <w:rPr/>
      </w:r>
    </w:p>
    <w:p>
      <w:pPr>
        <w:pStyle w:val="TextBody"/>
        <w:spacing w:before="0" w:after="0"/>
        <w:ind w:left="0" w:right="0" w:hanging="0"/>
        <w:jc w:val="center"/>
        <w:rPr>
          <w:b/>
        </w:rPr>
      </w:pPr>
      <w:r>
        <w:rPr>
          <w:b/>
        </w:rPr>
        <w:t>EXHIBIT A</w:t>
      </w:r>
    </w:p>
    <w:p>
      <w:pPr>
        <w:pStyle w:val="TextBody"/>
        <w:spacing w:before="0" w:after="0"/>
        <w:ind w:left="0" w:right="0" w:hanging="0"/>
        <w:jc w:val="center"/>
        <w:rPr/>
      </w:pPr>
      <w:r>
        <w:rPr/>
      </w:r>
    </w:p>
    <w:p>
      <w:pPr>
        <w:pStyle w:val="TextBody"/>
        <w:spacing w:before="0" w:after="0"/>
        <w:ind w:left="0" w:right="0" w:hanging="0"/>
        <w:jc w:val="center"/>
        <w:rPr>
          <w:b/>
        </w:rPr>
      </w:pPr>
      <w:r>
        <w:rPr>
          <w:b/>
        </w:rPr>
        <w:t>Securities Purchase Agreement</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t>Page 5 of 6</w:t>
      </w:r>
      <w:r>
        <mc:AlternateContent>
          <mc:Choice Requires="wps">
            <w:drawing>
              <wp:anchor behindDoc="0" distT="0" distB="0" distL="0" distR="0" simplePos="0" locked="0" layoutInCell="1" allowOverlap="1" relativeHeight="190">
                <wp:simplePos x="0" y="0"/>
                <wp:positionH relativeFrom="column">
                  <wp:align>left</wp:align>
                </wp:positionH>
                <wp:positionV relativeFrom="line">
                  <wp:posOffset>635</wp:posOffset>
                </wp:positionV>
                <wp:extent cx="6858000" cy="175260"/>
                <wp:effectExtent l="0" t="0" r="0" b="0"/>
                <wp:wrapSquare wrapText="largest"/>
                <wp:docPr id="189" name="Frame189"/>
                <a:graphic xmlns:a="http://schemas.openxmlformats.org/drawingml/2006/main">
                  <a:graphicData uri="http://schemas.microsoft.com/office/word/2010/wordprocessingShape">
                    <wps:wsp>
                      <wps:cNvSpPr txBox="1"/>
                      <wps:spPr>
                        <a:xfrm>
                          <a:off x="0" y="0"/>
                          <a:ext cx="6858000" cy="175260"/>
                        </a:xfrm>
                        <a:prstGeom prst="rect"/>
                      </wps:spPr>
                      <wps:txbx>
                        <w:txbxContent>
                          <w:p>
                            <w:pPr>
                              <w:pStyle w:val="TextBody"/>
                              <w:spacing w:before="0" w:after="283"/>
                              <w:rPr/>
                            </w:pPr>
                            <w:r>
                              <w:rPr/>
                              <w:t>_____Company</w:t>
                            </w:r>
                          </w:p>
                        </w:txbxContent>
                      </wps:txbx>
                      <wps:bodyPr anchor="t" lIns="0" tIns="0" rIns="0" bIns="0">
                        <a:noAutofit/>
                      </wps:bodyPr>
                    </wps:wsp>
                  </a:graphicData>
                </a:graphic>
              </wp:anchor>
            </w:drawing>
          </mc:Choice>
          <mc:Fallback>
            <w:pict>
              <v:rect style="position:absolute;rotation:0;width:540pt;height:13.8pt;mso-wrap-distance-left:0pt;mso-wrap-distance-right:0pt;mso-wrap-distance-top:0pt;mso-wrap-distance-bottom:0pt;margin-top:0pt;mso-position-vertical:top;mso-position-vertical-relative:text;margin-left:-1.45pt;mso-position-horizontal:left;mso-position-horizontal-relative:text">
                <v:textbox>
                  <w:txbxContent>
                    <w:p>
                      <w:pPr>
                        <w:pStyle w:val="TextBody"/>
                        <w:spacing w:before="0" w:after="283"/>
                        <w:rPr/>
                      </w:pPr>
                      <w:r>
                        <w:rPr/>
                        <w:t>_____Company</w:t>
                      </w:r>
                    </w:p>
                  </w:txbxContent>
                </v:textbox>
                <w10:wrap type="square" side="right"/>
              </v:rect>
            </w:pict>
          </mc:Fallback>
        </mc:AlternateContent>
      </w:r>
      <w:r>
        <mc:AlternateContent>
          <mc:Choice Requires="wps">
            <w:drawing>
              <wp:anchor behindDoc="0" distT="0" distB="0" distL="0" distR="0" simplePos="0" locked="0" layoutInCell="1" allowOverlap="1" relativeHeight="191">
                <wp:simplePos x="0" y="0"/>
                <wp:positionH relativeFrom="column">
                  <wp:align>left</wp:align>
                </wp:positionH>
                <wp:positionV relativeFrom="line">
                  <wp:posOffset>635</wp:posOffset>
                </wp:positionV>
                <wp:extent cx="6105525" cy="175260"/>
                <wp:effectExtent l="0" t="0" r="0" b="0"/>
                <wp:wrapSquare wrapText="largest"/>
                <wp:docPr id="190" name="Frame190"/>
                <a:graphic xmlns:a="http://schemas.openxmlformats.org/drawingml/2006/main">
                  <a:graphicData uri="http://schemas.microsoft.com/office/word/2010/wordprocessingShape">
                    <wps:wsp>
                      <wps:cNvSpPr txBox="1"/>
                      <wps:spPr>
                        <a:xfrm>
                          <a:off x="0" y="0"/>
                          <a:ext cx="6105525" cy="175260"/>
                        </a:xfrm>
                        <a:prstGeom prst="rect"/>
                      </wps:spPr>
                      <wps:txbx>
                        <w:txbxContent>
                          <w:p>
                            <w:pPr>
                              <w:pStyle w:val="TextBody"/>
                              <w:spacing w:before="0" w:after="283"/>
                              <w:jc w:val="right"/>
                              <w:rPr/>
                            </w:pPr>
                            <w:r>
                              <w:rPr/>
                              <w:t>_____DermaStar</w:t>
                            </w:r>
                          </w:p>
                        </w:txbxContent>
                      </wps:txbx>
                      <wps:bodyPr anchor="t" lIns="0" tIns="0" rIns="0" bIns="0">
                        <a:noAutofit/>
                      </wps:bodyPr>
                    </wps:wsp>
                  </a:graphicData>
                </a:graphic>
              </wp:anchor>
            </w:drawing>
          </mc:Choice>
          <mc:Fallback>
            <w:pict>
              <v:rect style="position:absolute;rotation:0;width:48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jc w:val="right"/>
                        <w:rPr/>
                      </w:pPr>
                      <w:r>
                        <w:rPr/>
                        <w:t>_____DermaStar</w:t>
                      </w:r>
                    </w:p>
                  </w:txbxContent>
                </v:textbox>
                <w10:wrap type="square" side="right"/>
              </v:rect>
            </w:pict>
          </mc:Fallback>
        </mc:AlternateConten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center"/>
        <w:rPr/>
      </w:pPr>
      <w:r>
        <w:rPr/>
      </w:r>
    </w:p>
    <w:p>
      <w:pPr>
        <w:pStyle w:val="TextBody"/>
        <w:spacing w:before="0" w:after="0"/>
        <w:ind w:left="0" w:right="0" w:hanging="0"/>
        <w:jc w:val="center"/>
        <w:rPr>
          <w:b/>
        </w:rPr>
      </w:pPr>
      <w:r>
        <w:rPr>
          <w:b/>
        </w:rPr>
        <w:t>EXHIBIT B</w:t>
      </w:r>
    </w:p>
    <w:p>
      <w:pPr>
        <w:pStyle w:val="TextBody"/>
        <w:spacing w:before="0" w:after="0"/>
        <w:ind w:left="0" w:right="0" w:hanging="0"/>
        <w:jc w:val="center"/>
        <w:rPr/>
      </w:pPr>
      <w:r>
        <w:rPr/>
      </w:r>
    </w:p>
    <w:p>
      <w:pPr>
        <w:pStyle w:val="TextBody"/>
        <w:spacing w:before="0" w:after="0"/>
        <w:ind w:left="0" w:right="0" w:hanging="0"/>
        <w:jc w:val="center"/>
        <w:rPr>
          <w:b/>
        </w:rPr>
      </w:pPr>
      <w:r>
        <w:rPr>
          <w:b/>
        </w:rPr>
        <w:t>Form Warrant</w:t>
      </w:r>
    </w:p>
    <w:p>
      <w:pPr>
        <w:pStyle w:val="TextBody"/>
        <w:spacing w:before="0" w:after="0"/>
        <w:ind w:left="0" w:right="0" w:hanging="0"/>
        <w:jc w:val="center"/>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pPr>
      <w:r>
        <w:rPr/>
        <w:t>Page 6 of 6</w:t>
      </w:r>
      <w:r>
        <mc:AlternateContent>
          <mc:Choice Requires="wps">
            <w:drawing>
              <wp:anchor behindDoc="0" distT="0" distB="0" distL="0" distR="0" simplePos="0" locked="0" layoutInCell="1" allowOverlap="1" relativeHeight="192">
                <wp:simplePos x="0" y="0"/>
                <wp:positionH relativeFrom="column">
                  <wp:align>left</wp:align>
                </wp:positionH>
                <wp:positionV relativeFrom="line">
                  <wp:posOffset>635</wp:posOffset>
                </wp:positionV>
                <wp:extent cx="6858000" cy="175260"/>
                <wp:effectExtent l="0" t="0" r="0" b="0"/>
                <wp:wrapSquare wrapText="largest"/>
                <wp:docPr id="191" name="Frame191"/>
                <a:graphic xmlns:a="http://schemas.openxmlformats.org/drawingml/2006/main">
                  <a:graphicData uri="http://schemas.microsoft.com/office/word/2010/wordprocessingShape">
                    <wps:wsp>
                      <wps:cNvSpPr txBox="1"/>
                      <wps:spPr>
                        <a:xfrm>
                          <a:off x="0" y="0"/>
                          <a:ext cx="6858000" cy="175260"/>
                        </a:xfrm>
                        <a:prstGeom prst="rect"/>
                      </wps:spPr>
                      <wps:txbx>
                        <w:txbxContent>
                          <w:p>
                            <w:pPr>
                              <w:pStyle w:val="TextBody"/>
                              <w:spacing w:before="0" w:after="283"/>
                              <w:rPr/>
                            </w:pPr>
                            <w:r>
                              <w:rPr/>
                              <w:t>_____Company</w:t>
                            </w:r>
                          </w:p>
                        </w:txbxContent>
                      </wps:txbx>
                      <wps:bodyPr anchor="t" lIns="0" tIns="0" rIns="0" bIns="0">
                        <a:noAutofit/>
                      </wps:bodyPr>
                    </wps:wsp>
                  </a:graphicData>
                </a:graphic>
              </wp:anchor>
            </w:drawing>
          </mc:Choice>
          <mc:Fallback>
            <w:pict>
              <v:rect style="position:absolute;rotation:0;width:540pt;height:13.8pt;mso-wrap-distance-left:0pt;mso-wrap-distance-right:0pt;mso-wrap-distance-top:0pt;mso-wrap-distance-bottom:0pt;margin-top:0pt;mso-position-vertical:top;mso-position-vertical-relative:text;margin-left:-1.45pt;mso-position-horizontal:left;mso-position-horizontal-relative:text">
                <v:textbox>
                  <w:txbxContent>
                    <w:p>
                      <w:pPr>
                        <w:pStyle w:val="TextBody"/>
                        <w:spacing w:before="0" w:after="283"/>
                        <w:rPr/>
                      </w:pPr>
                      <w:r>
                        <w:rPr/>
                        <w:t>_____Company</w:t>
                      </w:r>
                    </w:p>
                  </w:txbxContent>
                </v:textbox>
                <w10:wrap type="square" side="right"/>
              </v:rect>
            </w:pict>
          </mc:Fallback>
        </mc:AlternateContent>
      </w:r>
      <w:r>
        <mc:AlternateContent>
          <mc:Choice Requires="wps">
            <w:drawing>
              <wp:anchor behindDoc="0" distT="0" distB="0" distL="0" distR="0" simplePos="0" locked="0" layoutInCell="1" allowOverlap="1" relativeHeight="193">
                <wp:simplePos x="0" y="0"/>
                <wp:positionH relativeFrom="column">
                  <wp:align>left</wp:align>
                </wp:positionH>
                <wp:positionV relativeFrom="line">
                  <wp:posOffset>635</wp:posOffset>
                </wp:positionV>
                <wp:extent cx="6105525" cy="175260"/>
                <wp:effectExtent l="0" t="0" r="0" b="0"/>
                <wp:wrapSquare wrapText="largest"/>
                <wp:docPr id="192" name="Frame192"/>
                <a:graphic xmlns:a="http://schemas.openxmlformats.org/drawingml/2006/main">
                  <a:graphicData uri="http://schemas.microsoft.com/office/word/2010/wordprocessingShape">
                    <wps:wsp>
                      <wps:cNvSpPr txBox="1"/>
                      <wps:spPr>
                        <a:xfrm>
                          <a:off x="0" y="0"/>
                          <a:ext cx="6105525" cy="175260"/>
                        </a:xfrm>
                        <a:prstGeom prst="rect"/>
                      </wps:spPr>
                      <wps:txbx>
                        <w:txbxContent>
                          <w:p>
                            <w:pPr>
                              <w:pStyle w:val="TextBody"/>
                              <w:spacing w:before="0" w:after="283"/>
                              <w:jc w:val="right"/>
                              <w:rPr/>
                            </w:pPr>
                            <w:r>
                              <w:rPr/>
                              <w:t>_____DermaStar</w:t>
                            </w:r>
                          </w:p>
                        </w:txbxContent>
                      </wps:txbx>
                      <wps:bodyPr anchor="t" lIns="0" tIns="0" rIns="0" bIns="0">
                        <a:noAutofit/>
                      </wps:bodyPr>
                    </wps:wsp>
                  </a:graphicData>
                </a:graphic>
              </wp:anchor>
            </w:drawing>
          </mc:Choice>
          <mc:Fallback>
            <w:pict>
              <v:rect style="position:absolute;rotation:0;width:48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jc w:val="right"/>
                        <w:rPr/>
                      </w:pPr>
                      <w:r>
                        <w:rPr/>
                        <w:t>_____DermaStar</w:t>
                      </w:r>
                    </w:p>
                  </w:txbxContent>
                </v:textbox>
                <w10:wrap type="square" side="right"/>
              </v:rect>
            </w:pict>
          </mc:Fallback>
        </mc:AlternateContent>
      </w:r>
    </w:p>
    <w:p>
      <w:pPr>
        <w:pStyle w:val="TextBody"/>
        <w:spacing w:before="0" w:after="0"/>
        <w:ind w:left="0" w:right="0" w:hanging="0"/>
        <w:rPr/>
      </w:pPr>
      <w:r>
        <w:rPr/>
      </w:r>
      <w:r>
        <w:br w:type="page"/>
      </w:r>
    </w:p>
    <w:p>
      <w:pPr>
        <w:pStyle w:val="TextBody"/>
        <w:spacing w:before="0" w:after="0"/>
        <w:ind w:left="0" w:right="0" w:hanging="0"/>
        <w:jc w:val="center"/>
        <w:rPr>
          <w:b/>
        </w:rPr>
      </w:pPr>
      <w:bookmarkStart w:id="22" w:name="f8k042712_ex10z4.htm"/>
      <w:bookmarkStart w:id="23" w:name="ksf8k042712_ex10z4"/>
      <w:bookmarkEnd w:id="22"/>
      <w:bookmarkEnd w:id="23"/>
      <w:r>
        <w:rPr>
          <w:b/>
        </w:rPr>
        <w:commentReference w:id="3"/>
      </w:r>
      <w:r>
        <w:rPr>
          <w:b/>
        </w:rPr>
        <w:t>Exhibit 10.4</w:t>
      </w:r>
    </w:p>
    <w:p>
      <w:pPr>
        <w:pStyle w:val="TextBody"/>
        <w:spacing w:before="0" w:after="0"/>
        <w:ind w:left="0" w:right="0" w:hanging="0"/>
        <w:jc w:val="center"/>
        <w:rPr/>
      </w:pPr>
      <w:r>
        <w:rPr/>
      </w:r>
    </w:p>
    <w:p>
      <w:pPr>
        <w:pStyle w:val="TextBody"/>
        <w:spacing w:before="0" w:after="0"/>
        <w:ind w:left="0" w:right="0" w:hanging="0"/>
        <w:jc w:val="center"/>
        <w:rPr>
          <w:b/>
        </w:rPr>
      </w:pPr>
      <w:r>
        <w:rPr>
          <w:b/>
        </w:rPr>
        <w:t>Advisory Agreement</w:t>
      </w:r>
    </w:p>
    <w:p>
      <w:pPr>
        <w:pStyle w:val="TextBody"/>
        <w:spacing w:before="0" w:after="0"/>
        <w:ind w:left="0" w:right="0" w:hanging="0"/>
        <w:rPr/>
      </w:pPr>
      <w:r>
        <w:rPr/>
      </w:r>
    </w:p>
    <w:p>
      <w:pPr>
        <w:pStyle w:val="TextBody"/>
        <w:spacing w:before="0" w:after="0"/>
        <w:ind w:left="0" w:right="0" w:firstLine="720"/>
        <w:jc w:val="both"/>
        <w:rPr/>
      </w:pPr>
      <w:r>
        <w:rPr/>
        <w:t>This advisory agreement (the </w:t>
      </w:r>
      <w:r>
        <w:rPr>
          <w:u w:val="single"/>
        </w:rPr>
        <w:t>Agreement</w:t>
      </w:r>
      <w:r>
        <w:rPr/>
        <w:t>) is made and entered into as of April 1, 2012 (the </w:t>
      </w:r>
      <w:r>
        <w:rPr>
          <w:u w:val="single"/>
        </w:rPr>
        <w:t>Effective Date</w:t>
      </w:r>
      <w:r>
        <w:rPr/>
        <w:t>), by and between (a) Imprimis Pharmaceuticals, Inc., a Delaware corporation (the </w:t>
      </w:r>
      <w:r>
        <w:rPr>
          <w:u w:val="single"/>
        </w:rPr>
        <w:t>Company</w:t>
      </w:r>
      <w:r>
        <w:rPr/>
        <w:t>), and (b) Dr. Robert Kammer, an individual (the </w:t>
      </w:r>
      <w:r>
        <w:rPr>
          <w:u w:val="single"/>
        </w:rPr>
        <w:t>Consultant</w:t>
      </w:r>
      <w:r>
        <w:rPr/>
        <w:t>).  </w:t>
      </w:r>
    </w:p>
    <w:p>
      <w:pPr>
        <w:pStyle w:val="TextBody"/>
        <w:spacing w:before="0" w:after="0"/>
        <w:ind w:left="0" w:right="0" w:hanging="0"/>
        <w:jc w:val="both"/>
        <w:rPr/>
      </w:pPr>
      <w:r>
        <w:rPr/>
      </w:r>
    </w:p>
    <w:p>
      <w:pPr>
        <w:pStyle w:val="TextBody"/>
        <w:spacing w:before="0" w:after="0"/>
        <w:ind w:left="0" w:right="0" w:hanging="30"/>
        <w:jc w:val="both"/>
        <w:rPr/>
      </w:pPr>
      <w:r>
        <w:rPr/>
        <w:t>The Company desires to retain the services of the Consultant as an Advisor to the Company, reporting to the Board of Directors.  The Company is (i) pursuing the development of its topical drug delivery technologies, including its key drug candidate, a Ketoprofen-based drug, with the goal being FDA clearance and commercially availability of the same drug in the US marketplace; (ii) the commercial development of other topical drug delivery technologies and related chemicals that may be paired with the same delivery technologies; and (iii) new topical pharmaceutical product or product candidate licensing, development and commercialization opportunities (collectively, the </w:t>
      </w:r>
      <w:r>
        <w:rPr>
          <w:u w:val="single"/>
        </w:rPr>
        <w:t>Field of Interest</w:t>
      </w:r>
      <w:r>
        <w:rPr/>
        <w:t>).</w:t>
      </w:r>
      <w:r>
        <mc:AlternateContent>
          <mc:Choice Requires="wps">
            <w:drawing>
              <wp:anchor behindDoc="0" distT="0" distB="0" distL="0" distR="0" simplePos="0" locked="0" layoutInCell="1" allowOverlap="1" relativeHeight="194">
                <wp:simplePos x="0" y="0"/>
                <wp:positionH relativeFrom="column">
                  <wp:align>left</wp:align>
                </wp:positionH>
                <wp:positionV relativeFrom="line">
                  <wp:posOffset>635</wp:posOffset>
                </wp:positionV>
                <wp:extent cx="457200" cy="175260"/>
                <wp:effectExtent l="0" t="0" r="0" b="0"/>
                <wp:wrapSquare wrapText="largest"/>
                <wp:docPr id="193" name="Frame193"/>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Consultant has reviewed information provided by the Company and other Company information which may be publicly available on the world-wide-web, and is familiar with the specific research efforts and business projects the Company is engaged in and is pursuing.  Consultant has an understanding of the technology the Company presently owns, as well as the pharmaceutical and other projects the Company is pursuing.  </w:t>
      </w:r>
      <w:r>
        <mc:AlternateContent>
          <mc:Choice Requires="wps">
            <w:drawing>
              <wp:anchor behindDoc="0" distT="0" distB="0" distL="0" distR="0" simplePos="0" locked="0" layoutInCell="1" allowOverlap="1" relativeHeight="195">
                <wp:simplePos x="0" y="0"/>
                <wp:positionH relativeFrom="column">
                  <wp:align>left</wp:align>
                </wp:positionH>
                <wp:positionV relativeFrom="line">
                  <wp:posOffset>635</wp:posOffset>
                </wp:positionV>
                <wp:extent cx="457200" cy="175260"/>
                <wp:effectExtent l="0" t="0" r="0" b="0"/>
                <wp:wrapSquare wrapText="largest"/>
                <wp:docPr id="194" name="Frame194"/>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The Consultant is a sophisticated, experienced and successful scientist and businessperson, and is willing to be retained by the Company on the terms and subject to the conditions set forth in this Agreement.</w:t>
      </w:r>
      <w:r>
        <mc:AlternateContent>
          <mc:Choice Requires="wps">
            <w:drawing>
              <wp:anchor behindDoc="0" distT="0" distB="0" distL="0" distR="0" simplePos="0" locked="0" layoutInCell="1" allowOverlap="1" relativeHeight="196">
                <wp:simplePos x="0" y="0"/>
                <wp:positionH relativeFrom="column">
                  <wp:align>left</wp:align>
                </wp:positionH>
                <wp:positionV relativeFrom="line">
                  <wp:posOffset>635</wp:posOffset>
                </wp:positionV>
                <wp:extent cx="457200" cy="175260"/>
                <wp:effectExtent l="0" t="0" r="0" b="0"/>
                <wp:wrapSquare wrapText="largest"/>
                <wp:docPr id="195" name="Frame195"/>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C.</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firstLine="720"/>
        <w:jc w:val="both"/>
        <w:rPr/>
      </w:pPr>
      <w:r>
        <w:rPr>
          <w:i/>
        </w:rPr>
        <w:t>THE PARTIES AGREE AS FOLLOWS</w:t>
      </w:r>
      <w:r>
        <w:rPr/>
        <w:t>:</w:t>
      </w:r>
    </w:p>
    <w:p>
      <w:pPr>
        <w:pStyle w:val="TextBody"/>
        <w:spacing w:before="0" w:after="0"/>
        <w:ind w:left="0" w:right="0" w:hanging="0"/>
        <w:jc w:val="both"/>
        <w:rPr/>
      </w:pPr>
      <w:r>
        <w:rPr/>
      </w:r>
    </w:p>
    <w:p>
      <w:pPr>
        <w:pStyle w:val="TextBody"/>
        <w:spacing w:before="0" w:after="0"/>
        <w:ind w:left="0" w:right="0" w:hanging="30"/>
        <w:jc w:val="both"/>
        <w:rPr/>
      </w:pPr>
      <w:r>
        <w:rPr>
          <w:b/>
        </w:rPr>
        <w:t>Services</w:t>
      </w:r>
      <w:r>
        <w:rPr/>
        <w:t>.  </w:t>
      </w:r>
      <w:r>
        <mc:AlternateContent>
          <mc:Choice Requires="wps">
            <w:drawing>
              <wp:anchor behindDoc="0" distT="0" distB="0" distL="0" distR="0" simplePos="0" locked="0" layoutInCell="1" allowOverlap="1" relativeHeight="197">
                <wp:simplePos x="0" y="0"/>
                <wp:positionH relativeFrom="column">
                  <wp:align>left</wp:align>
                </wp:positionH>
                <wp:positionV relativeFrom="line">
                  <wp:posOffset>635</wp:posOffset>
                </wp:positionV>
                <wp:extent cx="457200" cy="175260"/>
                <wp:effectExtent l="0" t="0" r="0" b="0"/>
                <wp:wrapSquare wrapText="largest"/>
                <wp:docPr id="196" name="Frame196"/>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b/>
                              </w:rPr>
                            </w:pPr>
                            <w:r>
                              <w:rPr>
                                <w:b/>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 xml:space="preserve">The Consultant shall perform the services set forth in </w:t>
      </w:r>
      <w:r>
        <w:rPr>
          <w:u w:val="single"/>
        </w:rPr>
        <w:t>Exhibit A</w:t>
      </w:r>
      <w:r>
        <w:rPr/>
        <w:t xml:space="preserve"> attached hereto (the </w:t>
      </w:r>
      <w:r>
        <w:rPr>
          <w:u w:val="single"/>
        </w:rPr>
        <w:t>Services</w:t>
      </w:r>
      <w:r>
        <w:rPr/>
        <w:t xml:space="preserve">) and agrees to promptly respond to all reasonable requests related to the Services, made by the Company.  The Consultant shall comply with the statutes, rules, regulations and orders of any governmental or quasi-governmental authority, applicable to the performance of the Services.  The Company and Consultant may amend </w:t>
      </w:r>
      <w:r>
        <w:rPr>
          <w:u w:val="single"/>
        </w:rPr>
        <w:t>Exhibit A</w:t>
      </w:r>
      <w:r>
        <w:rPr/>
        <w:t>, from time to time, to add additional Services to be provided by Consultant.  </w:t>
      </w:r>
      <w:r>
        <mc:AlternateContent>
          <mc:Choice Requires="wps">
            <w:drawing>
              <wp:anchor behindDoc="0" distT="0" distB="0" distL="0" distR="0" simplePos="0" locked="0" layoutInCell="1" allowOverlap="1" relativeHeight="198">
                <wp:simplePos x="0" y="0"/>
                <wp:positionH relativeFrom="column">
                  <wp:align>left</wp:align>
                </wp:positionH>
                <wp:positionV relativeFrom="line">
                  <wp:posOffset>635</wp:posOffset>
                </wp:positionV>
                <wp:extent cx="914400" cy="175260"/>
                <wp:effectExtent l="0" t="0" r="0" b="0"/>
                <wp:wrapSquare wrapText="largest"/>
                <wp:docPr id="197" name="Frame197"/>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Consultant agrees to devote a minimum of fifty percent of his work time to performing the Services, equal to not less than 25 hours per week.  Consistent with this requirement, Consultant may represent, perform services for, or be employed by such additional persons or companies as Consultant sees fit, except to the extent doing so causes Consultant to breach Consultants obligations under this Agreement or creates a conflict of interest.</w:t>
      </w:r>
      <w:r>
        <mc:AlternateContent>
          <mc:Choice Requires="wps">
            <w:drawing>
              <wp:anchor behindDoc="0" distT="0" distB="0" distL="0" distR="0" simplePos="0" locked="0" layoutInCell="1" allowOverlap="1" relativeHeight="199">
                <wp:simplePos x="0" y="0"/>
                <wp:positionH relativeFrom="column">
                  <wp:align>left</wp:align>
                </wp:positionH>
                <wp:positionV relativeFrom="line">
                  <wp:posOffset>635</wp:posOffset>
                </wp:positionV>
                <wp:extent cx="914400" cy="175260"/>
                <wp:effectExtent l="0" t="0" r="0" b="0"/>
                <wp:wrapSquare wrapText="largest"/>
                <wp:docPr id="198" name="Frame198"/>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b/>
        </w:rPr>
        <w:t>Term of Services</w:t>
      </w:r>
      <w:r>
        <w:rPr/>
        <w:t xml:space="preserve">.  This Agreement is effective beginning on the Effective Date and shall terminate on the earlier of (i) the completion of the Services as provided in </w:t>
      </w:r>
      <w:r>
        <w:rPr>
          <w:u w:val="single"/>
        </w:rPr>
        <w:t>Exhibit A</w:t>
      </w:r>
      <w:r>
        <w:rPr/>
        <w:t xml:space="preserve"> or (ii) the second year anniversary of the Effective Date, or until it is otherwise terminated by either the Company or by Consultant as provided below.</w:t>
      </w:r>
      <w:r>
        <mc:AlternateContent>
          <mc:Choice Requires="wps">
            <w:drawing>
              <wp:anchor behindDoc="0" distT="0" distB="0" distL="0" distR="0" simplePos="0" locked="0" layoutInCell="1" allowOverlap="1" relativeHeight="200">
                <wp:simplePos x="0" y="0"/>
                <wp:positionH relativeFrom="column">
                  <wp:align>left</wp:align>
                </wp:positionH>
                <wp:positionV relativeFrom="line">
                  <wp:posOffset>635</wp:posOffset>
                </wp:positionV>
                <wp:extent cx="457200" cy="175260"/>
                <wp:effectExtent l="0" t="0" r="0" b="0"/>
                <wp:wrapSquare wrapText="largest"/>
                <wp:docPr id="199" name="Frame199"/>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b/>
                              </w:rPr>
                            </w:pPr>
                            <w:r>
                              <w:rPr>
                                <w:b/>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b/>
        </w:rPr>
        <w:t>Termination</w:t>
      </w:r>
      <w:r>
        <w:rPr/>
        <w:t>.  </w:t>
      </w:r>
      <w:r>
        <mc:AlternateContent>
          <mc:Choice Requires="wps">
            <w:drawing>
              <wp:anchor behindDoc="0" distT="0" distB="0" distL="0" distR="0" simplePos="0" locked="0" layoutInCell="1" allowOverlap="1" relativeHeight="201">
                <wp:simplePos x="0" y="0"/>
                <wp:positionH relativeFrom="column">
                  <wp:align>left</wp:align>
                </wp:positionH>
                <wp:positionV relativeFrom="line">
                  <wp:posOffset>635</wp:posOffset>
                </wp:positionV>
                <wp:extent cx="457200" cy="175260"/>
                <wp:effectExtent l="0" t="0" r="0" b="0"/>
                <wp:wrapSquare wrapText="largest"/>
                <wp:docPr id="200" name="Frame200"/>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b/>
                              </w:rPr>
                            </w:pPr>
                            <w:r>
                              <w:rPr>
                                <w:b/>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Either party may terminate this Agreement upon 60 days written notice to the other party.  With respect to the Consultant, death, incapacity, incarceration or any other condition or state of affairs which reasonably prevents or impedes performance of the Services shall automatically cause the termination of this Agreement.  If either party defaults in the performance of this Agreement or materially breaches any of its provisions, the nonbreaching party may terminate this Agreement by giving written notification to the breaching party.  Termination shall be effective immediately on receipt of the written notification by the breaching party, or five days after mailing of the notice to the address set forth in the notice provisions below, whichever occurs first.  Termination by one party shall automatically and forever eliminate the obligation of the non-Terminating partys obligation to perform.  Upon termination of this Agreement, Consultant shall be entitled to payment for Services completed prior to the termination date and reimbursement for expenses incurred prior to the termination date.  Thereafter, the Company shall owe Consultant no further amounts or obligations.  </w:t>
      </w:r>
      <w:r>
        <mc:AlternateContent>
          <mc:Choice Requires="wps">
            <w:drawing>
              <wp:anchor behindDoc="0" distT="0" distB="0" distL="0" distR="0" simplePos="0" locked="0" layoutInCell="1" allowOverlap="1" relativeHeight="202">
                <wp:simplePos x="0" y="0"/>
                <wp:positionH relativeFrom="column">
                  <wp:align>left</wp:align>
                </wp:positionH>
                <wp:positionV relativeFrom="line">
                  <wp:posOffset>635</wp:posOffset>
                </wp:positionV>
                <wp:extent cx="914400" cy="175260"/>
                <wp:effectExtent l="0" t="0" r="0" b="0"/>
                <wp:wrapSquare wrapText="largest"/>
                <wp:docPr id="201" name="Frame201"/>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sz w:val="13"/>
        </w:rPr>
      </w:pPr>
      <w:r>
        <w:rPr>
          <w:sz w:val="13"/>
        </w:rPr>
        <w:t>December ___, 2011</w:t>
      </w:r>
    </w:p>
    <w:p>
      <w:pPr>
        <w:pStyle w:val="TextBody"/>
        <w:spacing w:before="0" w:after="0"/>
        <w:ind w:left="0" w:right="0" w:hanging="0"/>
        <w:jc w:val="both"/>
        <w:rPr>
          <w:sz w:val="13"/>
        </w:rPr>
      </w:pPr>
      <w:r>
        <w:rPr>
          <w:sz w:val="13"/>
        </w:rPr>
        <w:t>Consulting Agreement</w:t>
      </w:r>
    </w:p>
    <w:p>
      <w:pPr>
        <w:pStyle w:val="TextBody"/>
        <w:spacing w:before="0" w:after="0"/>
        <w:ind w:left="0" w:right="0" w:hanging="0"/>
        <w:jc w:val="both"/>
        <w:rPr>
          <w:sz w:val="13"/>
        </w:rPr>
      </w:pPr>
      <w:r>
        <w:rPr>
          <w:sz w:val="13"/>
        </w:rPr>
        <w:t>Bal Birbrar</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right"/>
        <w:rPr/>
      </w:pPr>
      <w:r>
        <w:rPr/>
        <w:t>Page 2 of 10</w:t>
      </w:r>
    </w:p>
    <w:p>
      <w:pPr>
        <w:pStyle w:val="TextBody"/>
        <w:spacing w:before="0" w:after="0"/>
        <w:ind w:left="0" w:right="0" w:hanging="0"/>
        <w:rPr/>
      </w:pPr>
      <w:r>
        <w:rPr/>
      </w:r>
    </w:p>
    <w:p>
      <w:pPr>
        <w:pStyle w:val="TextBody"/>
        <w:spacing w:before="0" w:after="0"/>
        <w:ind w:left="0" w:right="0" w:hanging="0"/>
        <w:jc w:val="both"/>
        <w:rPr/>
      </w:pPr>
      <w:r>
        <w:rPr/>
      </w:r>
    </w:p>
    <w:p>
      <w:pPr>
        <w:pStyle w:val="TextBody"/>
        <w:spacing w:before="0" w:after="0"/>
        <w:ind w:left="0" w:right="0" w:hanging="30"/>
        <w:jc w:val="both"/>
        <w:rPr/>
      </w:pPr>
      <w:r>
        <w:rPr/>
        <w:t>Upon termination of this Agreement, Consultant shall maintain the positive obligation to fully cooperate with the Company in all matters relating to the winding up of Consultants pending work on behalf of the Company and the orderly transfer of any work or documents to the Company. Consultant agrees that, at upon the termination of this Agreement, or at any other time the Company so requests, Consultant will deliver immediately to the Company any and all devices, materials, records, data, notes, reports, proposals, lists, correspondence, other documents or property, or reproductions of any aforementioned items belonging to the Company, its successors, or assigns, whether given to Consultant by the Company or prepared by Consultant in the course of rendering the Services, including all Creations (as defined below) then in progress and all material in Consultants possession containing Proprietary Information (as defined below) and any copies thereof, whether prepared by Consultant or others.  Following termination, Consultant shall not retain any written or other tangible material containing any Proprietary Information.</w:t>
      </w:r>
      <w:r>
        <mc:AlternateContent>
          <mc:Choice Requires="wps">
            <w:drawing>
              <wp:anchor behindDoc="0" distT="0" distB="0" distL="0" distR="0" simplePos="0" locked="0" layoutInCell="1" allowOverlap="1" relativeHeight="203">
                <wp:simplePos x="0" y="0"/>
                <wp:positionH relativeFrom="column">
                  <wp:align>left</wp:align>
                </wp:positionH>
                <wp:positionV relativeFrom="line">
                  <wp:posOffset>635</wp:posOffset>
                </wp:positionV>
                <wp:extent cx="914400" cy="175260"/>
                <wp:effectExtent l="0" t="0" r="0" b="0"/>
                <wp:wrapSquare wrapText="largest"/>
                <wp:docPr id="202" name="Frame202"/>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b/>
        </w:rPr>
        <w:t>Confidential Information</w:t>
      </w:r>
      <w:r>
        <w:rPr/>
        <w:t>.  </w:t>
      </w:r>
      <w:r>
        <mc:AlternateContent>
          <mc:Choice Requires="wps">
            <w:drawing>
              <wp:anchor behindDoc="0" distT="0" distB="0" distL="0" distR="0" simplePos="0" locked="0" layoutInCell="1" allowOverlap="1" relativeHeight="204">
                <wp:simplePos x="0" y="0"/>
                <wp:positionH relativeFrom="column">
                  <wp:align>left</wp:align>
                </wp:positionH>
                <wp:positionV relativeFrom="line">
                  <wp:posOffset>635</wp:posOffset>
                </wp:positionV>
                <wp:extent cx="457200" cy="175260"/>
                <wp:effectExtent l="0" t="0" r="0" b="0"/>
                <wp:wrapSquare wrapText="largest"/>
                <wp:docPr id="203" name="Frame203"/>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b/>
                              </w:rPr>
                            </w:pPr>
                            <w:r>
                              <w:rPr>
                                <w:b/>
                              </w:rPr>
                              <w:t>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4.</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Proprietary Information</w:t>
      </w:r>
      <w:r>
        <w:rPr/>
        <w:t>.  Consultant understands that its work for the Company will involve access to and creation of confidential, proprietary and trade secret information and materials of the Company (or its affiliates, licensors, suppliers, vendors or customers) (collectively, </w:t>
      </w:r>
      <w:r>
        <w:rPr>
          <w:u w:val="single"/>
        </w:rPr>
        <w:t>Proprietary Information</w:t>
      </w:r>
      <w:r>
        <w:rPr/>
        <w:t xml:space="preserve">).  Proprietary Information includes, without limitation, any (a) information, ideas or materials of a technical or creative nature, such as research and development results, designs and specifications, computer source and object code, patent applications, and other materials and concepts relating to the Companys products, services, processes, technology or other intellectual property rights; (b) information, ideas or materials of a business nature, such as non-public financial information; information regarding profits, costs, marketing, purchasing, sales, customers, suppliers, contract terms, employees and salaries; product development plans; business and financial plans and forecasts; and marketing and sales plans and forecasts; (c) all personal property, including, without limitation, all books, manuals, records, reports, notes, contracts, lists, blueprints and other documents or materials, or copies thereof, received by Consultant in the course of Consultants rendering of Services to the Company, including, without limitation, records and any other materials pertaining to Creations (as defined below); and (d) the terms and conditions of this Agreement, including </w:t>
      </w:r>
      <w:r>
        <w:rPr>
          <w:u w:val="single"/>
        </w:rPr>
        <w:t>Exhibit A</w:t>
      </w:r>
      <w:r>
        <w:rPr/>
        <w:t xml:space="preserve">, as </w:t>
      </w:r>
      <w:r>
        <w:rPr>
          <w:u w:val="single"/>
        </w:rPr>
        <w:t>Exhibit A</w:t>
      </w:r>
      <w:r>
        <w:rPr/>
        <w:t xml:space="preserve"> may be amended from time to time.  Nothing in this Agreement is intended to limit any remedy of the Company under the California Uniform Trade Secrets Act (California Civil Code Section 3426), or otherwise available under law.</w:t>
      </w:r>
      <w:r>
        <mc:AlternateContent>
          <mc:Choice Requires="wps">
            <w:drawing>
              <wp:anchor behindDoc="0" distT="0" distB="0" distL="0" distR="0" simplePos="0" locked="0" layoutInCell="1" allowOverlap="1" relativeHeight="205">
                <wp:simplePos x="0" y="0"/>
                <wp:positionH relativeFrom="column">
                  <wp:align>left</wp:align>
                </wp:positionH>
                <wp:positionV relativeFrom="line">
                  <wp:posOffset>635</wp:posOffset>
                </wp:positionV>
                <wp:extent cx="914400" cy="175260"/>
                <wp:effectExtent l="0" t="0" r="0" b="0"/>
                <wp:wrapSquare wrapText="largest"/>
                <wp:docPr id="204" name="Frame204"/>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Restrictions on Use and Disclosure</w:t>
      </w:r>
      <w:r>
        <w:rPr/>
        <w:t>.  Consultant understands that Proprietary Information is extremely valuable to the Company and its affiliates, licensors, suppliers, vendors and customers.  Accordingly, Consultant agrees during the term of this Agreement and thereafter that it (a) shall hold all Proprietary Information in confidence and trust for the benefit of the Company; (b) shall not copy or use (or allow any of its employees, contractors or agents to copy or use) any Proprietary Information, except as may be necessary to perform the Services; (c) shall use the Proprietary Information only for the benefit of the Company (and not for the benefit of Consultant or any third party); and (d) shall not disclose or otherwise make available any such Proprietary Information to any third party except as authorized in writing and in advance by the Company.  All Proprietary Information is and shall remain the sole property of the Company.</w:t>
      </w:r>
      <w:r>
        <mc:AlternateContent>
          <mc:Choice Requires="wps">
            <w:drawing>
              <wp:anchor behindDoc="0" distT="0" distB="0" distL="0" distR="0" simplePos="0" locked="0" layoutInCell="1" allowOverlap="1" relativeHeight="206">
                <wp:simplePos x="0" y="0"/>
                <wp:positionH relativeFrom="column">
                  <wp:align>left</wp:align>
                </wp:positionH>
                <wp:positionV relativeFrom="line">
                  <wp:posOffset>635</wp:posOffset>
                </wp:positionV>
                <wp:extent cx="914400" cy="175260"/>
                <wp:effectExtent l="0" t="0" r="0" b="0"/>
                <wp:wrapSquare wrapText="largest"/>
                <wp:docPr id="205" name="Frame205"/>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Exclusions</w:t>
      </w:r>
      <w:r>
        <w:rPr/>
        <w:t>.  The foregoing restrictions on use and disclosure shall not apply to any Proprietary Information to the extent Consultant can prove such Proprietary Information (a) is or has become generally known to the public through no unlawful act of Consultant; (b) was independently developed by Consultant without any use of the Proprietary Information, as evidenced by Consultants written records; (c) becomes known to Consultant from a source other than the Company without breach of this Agreement and otherwise not in violation of the Companys rights, as evidenced by Consultants written records; (d) such disclosure is approved in advance and in writing by the Company; or (e) Consultant is legally compelled to disclose such Proprietary Information, provided that Consultant shall give advance notice of such compelled disclosure to the Company, and shall cooperate with the Company in connection with any efforts to prevent or limit the scope of such disclosure and/or use of the Proprietary Information.</w:t>
      </w:r>
      <w:r>
        <mc:AlternateContent>
          <mc:Choice Requires="wps">
            <w:drawing>
              <wp:anchor behindDoc="0" distT="0" distB="0" distL="0" distR="0" simplePos="0" locked="0" layoutInCell="1" allowOverlap="1" relativeHeight="207">
                <wp:simplePos x="0" y="0"/>
                <wp:positionH relativeFrom="column">
                  <wp:align>left</wp:align>
                </wp:positionH>
                <wp:positionV relativeFrom="line">
                  <wp:posOffset>635</wp:posOffset>
                </wp:positionV>
                <wp:extent cx="914400" cy="175260"/>
                <wp:effectExtent l="0" t="0" r="0" b="0"/>
                <wp:wrapSquare wrapText="largest"/>
                <wp:docPr id="206" name="Frame206"/>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c.</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c.</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Definition.</w:t>
      </w:r>
      <w:r>
        <w:rPr/>
        <w:t xml:space="preserve">  As used herein, </w:t>
      </w:r>
      <w:r>
        <w:rPr>
          <w:u w:val="single"/>
        </w:rPr>
        <w:t>Creations</w:t>
      </w:r>
      <w:r>
        <w:rPr/>
        <w:t> shall include, without limitation, all designs, copyrightable works, ideas, inventions, discoveries, data, formulas, algorithms, trade secrets, assays, developmental or experimental work, methods, processes, techniques, technology, and other creations, and related know-how, discoveries, trade secrets or other intellectual property, and any related work-in-progress, improvements or modifications to the foregoing, that are created, developed or conceived (alone or with others) in connection with Consultants activities for the Company (a) during the term of this Agreement, whether or not created, developed or conceived during regular business hours, and (b) if based on Proprietary Information, after termination of this Agreement.  Creations shall include, without limitation, all materials delivered to the Company in connection with this Agreement.</w:t>
      </w:r>
      <w:r>
        <mc:AlternateContent>
          <mc:Choice Requires="wps">
            <w:drawing>
              <wp:anchor behindDoc="0" distT="0" distB="0" distL="0" distR="0" simplePos="0" locked="0" layoutInCell="1" allowOverlap="1" relativeHeight="208">
                <wp:simplePos x="0" y="0"/>
                <wp:positionH relativeFrom="column">
                  <wp:align>left</wp:align>
                </wp:positionH>
                <wp:positionV relativeFrom="line">
                  <wp:posOffset>635</wp:posOffset>
                </wp:positionV>
                <wp:extent cx="914400" cy="175260"/>
                <wp:effectExtent l="0" t="0" r="0" b="0"/>
                <wp:wrapSquare wrapText="largest"/>
                <wp:docPr id="207" name="Frame207"/>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d.</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sz w:val="13"/>
        </w:rPr>
      </w:pPr>
      <w:r>
        <w:rPr>
          <w:sz w:val="13"/>
        </w:rPr>
        <w:t>Consulting Agreement</w:t>
      </w:r>
    </w:p>
    <w:p>
      <w:pPr>
        <w:pStyle w:val="TextBody"/>
        <w:spacing w:before="0" w:after="0"/>
        <w:ind w:left="0" w:right="0" w:hanging="0"/>
        <w:jc w:val="both"/>
        <w:rPr>
          <w:sz w:val="13"/>
        </w:rPr>
      </w:pPr>
      <w:r>
        <w:rPr>
          <w:sz w:val="13"/>
        </w:rPr>
        <w:t>Dr. Robert Kammer</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right"/>
        <w:rPr/>
      </w:pPr>
      <w:r>
        <w:rPr/>
        <w:t>Page 3 of 10</w:t>
      </w:r>
    </w:p>
    <w:p>
      <w:pPr>
        <w:pStyle w:val="TextBody"/>
        <w:spacing w:before="0" w:after="0"/>
        <w:ind w:left="0" w:right="0" w:hanging="0"/>
        <w:rPr/>
      </w:pPr>
      <w:r>
        <w:rPr/>
      </w:r>
    </w:p>
    <w:p>
      <w:pPr>
        <w:pStyle w:val="TextBody"/>
        <w:spacing w:before="0" w:after="0"/>
        <w:ind w:left="0" w:right="0" w:hanging="0"/>
        <w:jc w:val="both"/>
        <w:rPr/>
      </w:pPr>
      <w:r>
        <w:rPr/>
      </w:r>
    </w:p>
    <w:p>
      <w:pPr>
        <w:pStyle w:val="TextBody"/>
        <w:spacing w:before="0" w:after="0"/>
        <w:ind w:left="0" w:right="0" w:hanging="30"/>
        <w:jc w:val="both"/>
        <w:rPr>
          <w:b/>
        </w:rPr>
      </w:pPr>
      <w:r>
        <w:rPr>
          <w:b/>
        </w:rPr>
        <w:t>Ownership of Intellectual Property.</w:t>
      </w:r>
      <w:r>
        <mc:AlternateContent>
          <mc:Choice Requires="wps">
            <w:drawing>
              <wp:anchor behindDoc="0" distT="0" distB="0" distL="0" distR="0" simplePos="0" locked="0" layoutInCell="1" allowOverlap="1" relativeHeight="209">
                <wp:simplePos x="0" y="0"/>
                <wp:positionH relativeFrom="column">
                  <wp:align>left</wp:align>
                </wp:positionH>
                <wp:positionV relativeFrom="line">
                  <wp:posOffset>635</wp:posOffset>
                </wp:positionV>
                <wp:extent cx="457200" cy="175260"/>
                <wp:effectExtent l="0" t="0" r="0" b="0"/>
                <wp:wrapSquare wrapText="largest"/>
                <wp:docPr id="208" name="Frame208"/>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b/>
                              </w:rPr>
                            </w:pPr>
                            <w:r>
                              <w:rPr>
                                <w:b/>
                              </w:rPr>
                              <w:t>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5.</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Assignment</w:t>
      </w:r>
      <w:r>
        <w:rPr/>
        <w:t>.  All Creations shall be the sole property of the Company, with the Company having the right to obtain and hold in its own name all intellectual property rights in and to such Creations.  Consultant hereby irrevocably assigns and agrees to assign to the Company, without additional consideration, all right, title and interest in and to all Creations, whether currently existing or created or developed later, including, without limitation, all copyrights, trademarks, trade secrets, patents, industrial rights and all other intellectual property and proprietary rights related thereto, whether existing now or in the future, effective immediately upon the inception, conception, creation or development thereof.  Consultant shall (a) disclose promptly to the Company all Creations, and (b) whether during or after the period of its consulting arrangement with the Company, execute such written instruments and do such other acts as may be necessary in the opinion of the Company to obtain a patent, register a copyright or otherwise evidence or enforce the Companys rights in and to such Creations (and Consultant hereby irrevocably appoints the Company and any of its officers as its attorney in fact to undertake such acts in its name).</w:t>
      </w:r>
      <w:r>
        <mc:AlternateContent>
          <mc:Choice Requires="wps">
            <w:drawing>
              <wp:anchor behindDoc="0" distT="0" distB="0" distL="0" distR="0" simplePos="0" locked="0" layoutInCell="1" allowOverlap="1" relativeHeight="210">
                <wp:simplePos x="0" y="0"/>
                <wp:positionH relativeFrom="column">
                  <wp:align>left</wp:align>
                </wp:positionH>
                <wp:positionV relativeFrom="line">
                  <wp:posOffset>635</wp:posOffset>
                </wp:positionV>
                <wp:extent cx="914400" cy="175260"/>
                <wp:effectExtent l="0" t="0" r="0" b="0"/>
                <wp:wrapSquare wrapText="largest"/>
                <wp:docPr id="209" name="Frame209"/>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License</w:t>
      </w:r>
      <w:r>
        <w:rPr/>
        <w:t>.  To the extent, if any, that Consultant retains any right, title or interest in or to any Creations, Consultant hereby grants to the Company a perpetual, irrevocable, fully paid-up, transferable, sublicensable, exclusive, worldwide right and license (a) to use, reproduce, distribute, display and perform (whether publicly or otherwise), prepare derivative works of and otherwise modify, make, sell, offer to sell, import and otherwise use and exploit (and have others exercise such rights on behalf of the Company) all or any portion of such Creations, in any form or media (now known or later developed); (b) to modify all or any portion of such Creations, including, without limitation, the making of additions to or deletions from such Creations, regardless of the medium (now or hereafter known) into which such Creations may be modified and regardless of the effect of such modifications on the integrity of such Creations; and (c) to identify Consultant, or not to identify Consultant, as one or more authors of or contributors to such Creations or any portion thereof, whether or not such Creations or any portion thereof have been modified.  Consultant further waives any moral rights or other rights with respect to attribution of authorship or integrity of such Creations Consultant may have under any applicable law, whether under copyright, trademark, unfair competition, defamation, right of privacy, contract, tort or other legal theory.</w:t>
      </w:r>
      <w:r>
        <mc:AlternateContent>
          <mc:Choice Requires="wps">
            <w:drawing>
              <wp:anchor behindDoc="0" distT="0" distB="0" distL="0" distR="0" simplePos="0" locked="0" layoutInCell="1" allowOverlap="1" relativeHeight="211">
                <wp:simplePos x="0" y="0"/>
                <wp:positionH relativeFrom="column">
                  <wp:align>left</wp:align>
                </wp:positionH>
                <wp:positionV relativeFrom="line">
                  <wp:posOffset>635</wp:posOffset>
                </wp:positionV>
                <wp:extent cx="914400" cy="175260"/>
                <wp:effectExtent l="0" t="0" r="0" b="0"/>
                <wp:wrapSquare wrapText="largest"/>
                <wp:docPr id="210" name="Frame210"/>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b/>
        </w:rPr>
        <w:t>Direction of Projects and Creations to the Company</w:t>
      </w:r>
      <w:r>
        <w:rPr/>
        <w:t>. Subject to the Consultant's obligations under any confidentiality or other written obligations to third parties (all of which have been disclosed to the Company), during the term of this Agreement, Consultant will use his best efforts to disclose to the Chairman of the Company, on a confidential basis, technology and product opportunities which come to the attention of the Consultant in the Field of Interest, and any invention, improvement, discovery, process, formula or method or other intellectual property relating to or useful in, the Field of Interest, whether or not patentable or copyrightable, and whether or not discovered or developed by Consultant.</w:t>
      </w:r>
      <w:r>
        <mc:AlternateContent>
          <mc:Choice Requires="wps">
            <w:drawing>
              <wp:anchor behindDoc="0" distT="0" distB="0" distL="0" distR="0" simplePos="0" locked="0" layoutInCell="1" allowOverlap="1" relativeHeight="212">
                <wp:simplePos x="0" y="0"/>
                <wp:positionH relativeFrom="column">
                  <wp:align>left</wp:align>
                </wp:positionH>
                <wp:positionV relativeFrom="line">
                  <wp:posOffset>635</wp:posOffset>
                </wp:positionV>
                <wp:extent cx="457200" cy="175260"/>
                <wp:effectExtent l="0" t="0" r="0" b="0"/>
                <wp:wrapSquare wrapText="largest"/>
                <wp:docPr id="211" name="Frame211"/>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b/>
                              </w:rPr>
                            </w:pPr>
                            <w:r>
                              <w:rPr>
                                <w:b/>
                              </w:rPr>
                              <w:t>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6.</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b/>
        </w:rPr>
        <w:t>Compensation and Expenses</w:t>
      </w:r>
      <w:r>
        <w:rPr/>
        <w:t>.  </w:t>
      </w:r>
      <w:r>
        <mc:AlternateContent>
          <mc:Choice Requires="wps">
            <w:drawing>
              <wp:anchor behindDoc="0" distT="0" distB="0" distL="0" distR="0" simplePos="0" locked="0" layoutInCell="1" allowOverlap="1" relativeHeight="213">
                <wp:simplePos x="0" y="0"/>
                <wp:positionH relativeFrom="column">
                  <wp:align>left</wp:align>
                </wp:positionH>
                <wp:positionV relativeFrom="line">
                  <wp:posOffset>635</wp:posOffset>
                </wp:positionV>
                <wp:extent cx="457200" cy="175260"/>
                <wp:effectExtent l="0" t="0" r="0" b="0"/>
                <wp:wrapSquare wrapText="largest"/>
                <wp:docPr id="212" name="Frame212"/>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b/>
                              </w:rPr>
                            </w:pPr>
                            <w:r>
                              <w:rPr>
                                <w:b/>
                              </w:rPr>
                              <w:t>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7.</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Compensation</w:t>
      </w:r>
      <w:r>
        <w:rPr/>
        <w:t xml:space="preserve">.  In consideration of Services and the additional terms and conditions as set forth herein, Consultant shall receive the compensation listed on </w:t>
      </w:r>
      <w:r>
        <w:rPr>
          <w:u w:val="single"/>
        </w:rPr>
        <w:t>Exhibit B</w:t>
      </w:r>
      <w:r>
        <w:rPr/>
        <w:t xml:space="preserve"> hereto.  The Company and Consultant may amend </w:t>
      </w:r>
      <w:r>
        <w:rPr>
          <w:u w:val="single"/>
        </w:rPr>
        <w:t>Exhibit B</w:t>
      </w:r>
      <w:r>
        <w:rPr/>
        <w:t xml:space="preserve">, from time to time, to provide Consultant with additional compensation in connection with the Companys and Consultants amendment of </w:t>
      </w:r>
      <w:r>
        <w:rPr>
          <w:u w:val="single"/>
        </w:rPr>
        <w:t>Exhibit A</w:t>
      </w:r>
      <w:r>
        <w:rPr/>
        <w:t xml:space="preserve"> hereto. </w:t>
      </w:r>
      <w:r>
        <mc:AlternateContent>
          <mc:Choice Requires="wps">
            <w:drawing>
              <wp:anchor behindDoc="0" distT="0" distB="0" distL="0" distR="0" simplePos="0" locked="0" layoutInCell="1" allowOverlap="1" relativeHeight="214">
                <wp:simplePos x="0" y="0"/>
                <wp:positionH relativeFrom="column">
                  <wp:align>left</wp:align>
                </wp:positionH>
                <wp:positionV relativeFrom="line">
                  <wp:posOffset>635</wp:posOffset>
                </wp:positionV>
                <wp:extent cx="914400" cy="175260"/>
                <wp:effectExtent l="0" t="0" r="0" b="0"/>
                <wp:wrapSquare wrapText="largest"/>
                <wp:docPr id="213" name="Frame213"/>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Option Grant</w:t>
      </w:r>
      <w:r>
        <w:rPr/>
        <w:t xml:space="preserve">.  Subject to the approval of an increase in the number of shares available for grant under the Companys 2007 Incentive Stock and Awards Plan, Consultant shall be granted an option to purchase up to three hundred thousand (300,000) shares of the Companys common stock, on the terms provided in and subject to the execution of the Option Agreement attached hereto as </w:t>
      </w:r>
      <w:r>
        <w:rPr>
          <w:u w:val="single"/>
        </w:rPr>
        <w:t>Exhibit C</w:t>
      </w:r>
      <w:r>
        <w:rPr/>
        <w:t>.</w:t>
      </w:r>
      <w:r>
        <mc:AlternateContent>
          <mc:Choice Requires="wps">
            <w:drawing>
              <wp:anchor behindDoc="0" distT="0" distB="0" distL="0" distR="0" simplePos="0" locked="0" layoutInCell="1" allowOverlap="1" relativeHeight="215">
                <wp:simplePos x="0" y="0"/>
                <wp:positionH relativeFrom="column">
                  <wp:align>left</wp:align>
                </wp:positionH>
                <wp:positionV relativeFrom="line">
                  <wp:posOffset>635</wp:posOffset>
                </wp:positionV>
                <wp:extent cx="914400" cy="175260"/>
                <wp:effectExtent l="0" t="0" r="0" b="0"/>
                <wp:wrapSquare wrapText="largest"/>
                <wp:docPr id="214" name="Frame214"/>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Expense Reimbursement</w:t>
      </w:r>
      <w:r>
        <w:rPr/>
        <w:t>.  The Company agrees to reimburse the Consultant for all reasonable, ordinary and necessary out-of-pocket travel and other expenses incurred by the Consultant in conjunction with his services to the Company; provided however, all such expenses shall be approved, in advance of the incurrence of the same, in writing by the Company.  The Company will reimburse such expenses within 30 days after Consultant has provided to the Company, in form and substance reasonably satisfactory to the Company, appropriate documentation evidencing such expenses.  Reimbursement for expenses may be delayed until such time as the Consultant has furnished reasonable documentation for authorized expenses as the Company may reasonably request.  </w:t>
      </w:r>
      <w:r>
        <mc:AlternateContent>
          <mc:Choice Requires="wps">
            <w:drawing>
              <wp:anchor behindDoc="0" distT="0" distB="0" distL="0" distR="0" simplePos="0" locked="0" layoutInCell="1" allowOverlap="1" relativeHeight="216">
                <wp:simplePos x="0" y="0"/>
                <wp:positionH relativeFrom="column">
                  <wp:align>left</wp:align>
                </wp:positionH>
                <wp:positionV relativeFrom="line">
                  <wp:posOffset>635</wp:posOffset>
                </wp:positionV>
                <wp:extent cx="914400" cy="175260"/>
                <wp:effectExtent l="0" t="0" r="0" b="0"/>
                <wp:wrapSquare wrapText="largest"/>
                <wp:docPr id="215" name="Frame215"/>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c.</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c.</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sz w:val="13"/>
        </w:rPr>
      </w:pPr>
      <w:r>
        <w:rPr>
          <w:sz w:val="13"/>
        </w:rPr>
        <w:t>Consulting Agreement</w:t>
      </w:r>
    </w:p>
    <w:p>
      <w:pPr>
        <w:pStyle w:val="TextBody"/>
        <w:spacing w:before="0" w:after="0"/>
        <w:ind w:left="0" w:right="0" w:hanging="0"/>
        <w:jc w:val="both"/>
        <w:rPr>
          <w:sz w:val="13"/>
        </w:rPr>
      </w:pPr>
      <w:r>
        <w:rPr>
          <w:sz w:val="13"/>
        </w:rPr>
        <w:t>Dr. Robert Kammer</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right"/>
        <w:rPr/>
      </w:pPr>
      <w:r>
        <w:rPr/>
        <w:t>Page 4 of 10</w:t>
      </w:r>
    </w:p>
    <w:p>
      <w:pPr>
        <w:pStyle w:val="TextBody"/>
        <w:spacing w:before="0" w:after="0"/>
        <w:ind w:left="0" w:right="0" w:hanging="0"/>
        <w:rPr/>
      </w:pPr>
      <w:r>
        <w:rPr/>
      </w:r>
    </w:p>
    <w:p>
      <w:pPr>
        <w:pStyle w:val="TextBody"/>
        <w:spacing w:before="0" w:after="0"/>
        <w:ind w:left="0" w:right="0" w:hanging="0"/>
        <w:jc w:val="both"/>
        <w:rPr/>
      </w:pPr>
      <w:r>
        <w:rPr/>
      </w:r>
    </w:p>
    <w:p>
      <w:pPr>
        <w:pStyle w:val="TextBody"/>
        <w:spacing w:before="0" w:after="0"/>
        <w:ind w:left="0" w:right="0" w:hanging="30"/>
        <w:jc w:val="both"/>
        <w:rPr/>
      </w:pPr>
      <w:bookmarkStart w:id="24" w:name="_DV_M34"/>
      <w:bookmarkEnd w:id="24"/>
      <w:r>
        <w:rPr>
          <w:b/>
        </w:rPr>
        <w:t>Conflicts of Interest; Confidential Information of Others; and Prior Engagements</w:t>
      </w:r>
      <w:r>
        <w:rPr/>
        <w:t>.  </w:t>
      </w:r>
      <w:r>
        <mc:AlternateContent>
          <mc:Choice Requires="wps">
            <w:drawing>
              <wp:anchor behindDoc="0" distT="0" distB="0" distL="0" distR="0" simplePos="0" locked="0" layoutInCell="1" allowOverlap="1" relativeHeight="217">
                <wp:simplePos x="0" y="0"/>
                <wp:positionH relativeFrom="column">
                  <wp:align>left</wp:align>
                </wp:positionH>
                <wp:positionV relativeFrom="line">
                  <wp:posOffset>635</wp:posOffset>
                </wp:positionV>
                <wp:extent cx="457200" cy="175260"/>
                <wp:effectExtent l="0" t="0" r="0" b="0"/>
                <wp:wrapSquare wrapText="largest"/>
                <wp:docPr id="216" name="Frame216"/>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b/>
                              </w:rPr>
                            </w:pPr>
                            <w:r>
                              <w:rPr>
                                <w:b/>
                              </w:rPr>
                              <w:t>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8.</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General</w:t>
      </w:r>
      <w:r>
        <w:rPr/>
        <w:t>.  If the Consultant has a conflict of interest, or potential conflict of interest, with respect to any matter relevant to the Company and the Field of Interest and the Consultants obligations under this Agreement, he shall immediately inform the Chairman or Secretary of the Company of such actual or potential conflict of interest and excuse himself from the discussion of such matter.  Consultant hereby represents and warrants that Consultant, to Consultants knowledge, has disclosed and described all actual or potential conflicts of interest that may arise from the execution of this Agreement with respect to the Consultants current or prior arrangements with third parties.</w:t>
      </w:r>
      <w:r>
        <mc:AlternateContent>
          <mc:Choice Requires="wps">
            <w:drawing>
              <wp:anchor behindDoc="0" distT="0" distB="0" distL="0" distR="0" simplePos="0" locked="0" layoutInCell="1" allowOverlap="1" relativeHeight="218">
                <wp:simplePos x="0" y="0"/>
                <wp:positionH relativeFrom="column">
                  <wp:align>left</wp:align>
                </wp:positionH>
                <wp:positionV relativeFrom="line">
                  <wp:posOffset>635</wp:posOffset>
                </wp:positionV>
                <wp:extent cx="914400" cy="175260"/>
                <wp:effectExtent l="0" t="0" r="0" b="0"/>
                <wp:wrapSquare wrapText="largest"/>
                <wp:docPr id="217" name="Frame217"/>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Information of Others</w:t>
      </w:r>
      <w:r>
        <w:rPr/>
        <w:t>.  The Consultant will safeguard and keep confidential the proprietary information of customers, vendors, consultants, and other parties with which the Company does business to the same extent as if it were Company Proprietary Information.  </w:t>
      </w:r>
      <w:r>
        <mc:AlternateContent>
          <mc:Choice Requires="wps">
            <w:drawing>
              <wp:anchor behindDoc="0" distT="0" distB="0" distL="0" distR="0" simplePos="0" locked="0" layoutInCell="1" allowOverlap="1" relativeHeight="219">
                <wp:simplePos x="0" y="0"/>
                <wp:positionH relativeFrom="column">
                  <wp:align>left</wp:align>
                </wp:positionH>
                <wp:positionV relativeFrom="line">
                  <wp:posOffset>635</wp:posOffset>
                </wp:positionV>
                <wp:extent cx="914400" cy="175260"/>
                <wp:effectExtent l="0" t="0" r="0" b="0"/>
                <wp:wrapSquare wrapText="largest"/>
                <wp:docPr id="218" name="Frame218"/>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Agreements with the United States Government and Other Third Parties</w:t>
      </w:r>
      <w:r>
        <w:rPr/>
        <w:t xml:space="preserve">.  The Consultant acknowledges that the Company from time to time may have agreements with other persons or with the United States Government or agencies thereof which impose obligations or restrictions on the Company regarding Creations made during the course of work under such agreements or regarding the confidential nature of such work.  The Consultant agrees to be bound by all such obligations or restrictions and to take any and all action necessary to discharge the obligations of the Company thereunder. </w:t>
      </w:r>
      <w:r>
        <mc:AlternateContent>
          <mc:Choice Requires="wps">
            <w:drawing>
              <wp:anchor behindDoc="0" distT="0" distB="0" distL="0" distR="0" simplePos="0" locked="0" layoutInCell="1" allowOverlap="1" relativeHeight="220">
                <wp:simplePos x="0" y="0"/>
                <wp:positionH relativeFrom="column">
                  <wp:align>left</wp:align>
                </wp:positionH>
                <wp:positionV relativeFrom="line">
                  <wp:posOffset>635</wp:posOffset>
                </wp:positionV>
                <wp:extent cx="914400" cy="175260"/>
                <wp:effectExtent l="0" t="0" r="0" b="0"/>
                <wp:wrapSquare wrapText="largest"/>
                <wp:docPr id="219" name="Frame219"/>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c.</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c.</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Certain Other Contracts</w:t>
      </w:r>
      <w:r>
        <w:rPr/>
        <w:t>.  Consultant has informed the Company of all of his professional engagements with third parties, including prior engagements that could impact Consultants rights and obligations pursuant to this Agreement.  The Consultant will not use or disclose to the Company, or breach any agreements to keep in confidence, or refrain from using, any confidential, trade secret, or other proprietary information or material of any previous employer or other person, and will not bring onto the Companys premises any unpublished document or any other property belonging to any former or current employer without the written consent of that former or current employer.   Consultant shall not provide to the Company any information of another client or employer, in the Creations or otherwise, nor shall Consultant use any such information in its activities for Customer, without the prior written consent of the Company and such other client or employer.  The Services performed hereunder will not be conducted on time that is required to be devoted to any other third party. The Consultant shall not use the funding, resources and facilities of the any other third party to provide the Services and shall not perform the Services hereunder in any manner that could give any third party any rights to the Creations.  </w:t>
      </w:r>
      <w:r>
        <mc:AlternateContent>
          <mc:Choice Requires="wps">
            <w:drawing>
              <wp:anchor behindDoc="0" distT="0" distB="0" distL="0" distR="0" simplePos="0" locked="0" layoutInCell="1" allowOverlap="1" relativeHeight="221">
                <wp:simplePos x="0" y="0"/>
                <wp:positionH relativeFrom="column">
                  <wp:align>left</wp:align>
                </wp:positionH>
                <wp:positionV relativeFrom="line">
                  <wp:posOffset>635</wp:posOffset>
                </wp:positionV>
                <wp:extent cx="914400" cy="175260"/>
                <wp:effectExtent l="0" t="0" r="0" b="0"/>
                <wp:wrapSquare wrapText="largest"/>
                <wp:docPr id="220" name="Frame220"/>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d.</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b/>
        </w:rPr>
        <w:t>Warranties and Indemnities</w:t>
      </w:r>
      <w:r>
        <w:rPr/>
        <w:t>.  </w:t>
      </w:r>
      <w:r>
        <mc:AlternateContent>
          <mc:Choice Requires="wps">
            <w:drawing>
              <wp:anchor behindDoc="0" distT="0" distB="0" distL="0" distR="0" simplePos="0" locked="0" layoutInCell="1" allowOverlap="1" relativeHeight="222">
                <wp:simplePos x="0" y="0"/>
                <wp:positionH relativeFrom="column">
                  <wp:align>left</wp:align>
                </wp:positionH>
                <wp:positionV relativeFrom="line">
                  <wp:posOffset>635</wp:posOffset>
                </wp:positionV>
                <wp:extent cx="457200" cy="175260"/>
                <wp:effectExtent l="0" t="0" r="0" b="0"/>
                <wp:wrapSquare wrapText="largest"/>
                <wp:docPr id="221" name="Frame221"/>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b/>
                              </w:rPr>
                            </w:pPr>
                            <w:r>
                              <w:rPr>
                                <w:b/>
                              </w:rPr>
                              <w:t>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9.</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 xml:space="preserve">Consultant represents, warrants and covenants that (a) Consultant has the full power and authority to enter into this Agreement and to perform its obligations hereunder, without the need for any consents, approvals or immunities not yet obtained; (b) Consultant has the right to grant the rights and assignments granted herein, without the need for any assignments, releases, consents, approvals, immunities or other rights not yet obtained; (c) the Services, including, without limitation, any deliverables required hereunder, shall be free from material errors or other defects and shall substantially conform to any specifications for such Services and/or deliverables as set forth or referenced </w:t>
      </w:r>
      <w:r>
        <w:rPr>
          <w:u w:val="single"/>
        </w:rPr>
        <w:t>Exhibit A</w:t>
      </w:r>
      <w:r>
        <w:rPr/>
        <w:t>, as may be amended from time to time; (d) the Creations (and the exercise of the rights granted herein with respect thereto) do not and shall not infringe, misappropriate or violate any patent, copyright, trademark, trade secret, publicity, privacy or other rights of any third party, and are not and shall not be defamatory or obscene; (e) neither the Creations nor any element thereof shall be subject to any restrictions or to any mortgages, liens, pledges, security interests, encumbrances or encroachments; and (f) each of Consultants employees and contractors (if any) involved in the development of the Creations have executed (or, prior to any such involvement shall execute) a written agreement with Consultant in which such persons (i) assign to Consultant all right, title and interest in and to the Creations in order that Consultant may fully grant the rights to the Company as provided herein and (ii) agree to be bound by confidentiality and non-disclosure obligations equivalent to those set forth in this Agreement.  The Company hereby disclaims all warranties of any kind, whether express, implied, statutory or otherwise, with respect to any Proprietary Information or other information or materials supplied by the Company to Consultant hereunder, including, without limitation, any warranties with respect to any specifications for the Creations or other deliverables required hereunder.</w:t>
      </w:r>
      <w:r>
        <mc:AlternateContent>
          <mc:Choice Requires="wps">
            <w:drawing>
              <wp:anchor behindDoc="0" distT="0" distB="0" distL="0" distR="0" simplePos="0" locked="0" layoutInCell="1" allowOverlap="1" relativeHeight="223">
                <wp:simplePos x="0" y="0"/>
                <wp:positionH relativeFrom="column">
                  <wp:align>left</wp:align>
                </wp:positionH>
                <wp:positionV relativeFrom="line">
                  <wp:posOffset>635</wp:posOffset>
                </wp:positionV>
                <wp:extent cx="914400" cy="175260"/>
                <wp:effectExtent l="0" t="0" r="0" b="0"/>
                <wp:wrapSquare wrapText="largest"/>
                <wp:docPr id="222" name="Frame222"/>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Consultant represents that Consultant has the qualifications and ability to perform the Services in a professional manner, without the advice, control, or supervision of the Company.  Failure to do so shall constitute a material breach of this Agreement.  Consultant shall be solely responsible for the professional performance of the Services and shall receive no assistance, direction, or control from the Company.  Consultant shall have sole discretion and control of Consultants services and the manner in which they are to be performed.</w:t>
      </w:r>
      <w:r>
        <mc:AlternateContent>
          <mc:Choice Requires="wps">
            <w:drawing>
              <wp:anchor behindDoc="0" distT="0" distB="0" distL="0" distR="0" simplePos="0" locked="0" layoutInCell="1" allowOverlap="1" relativeHeight="224">
                <wp:simplePos x="0" y="0"/>
                <wp:positionH relativeFrom="column">
                  <wp:align>left</wp:align>
                </wp:positionH>
                <wp:positionV relativeFrom="line">
                  <wp:posOffset>635</wp:posOffset>
                </wp:positionV>
                <wp:extent cx="914400" cy="175260"/>
                <wp:effectExtent l="0" t="0" r="0" b="0"/>
                <wp:wrapSquare wrapText="largest"/>
                <wp:docPr id="223" name="Frame223"/>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sz w:val="13"/>
        </w:rPr>
      </w:pPr>
      <w:r>
        <w:rPr>
          <w:sz w:val="13"/>
        </w:rPr>
        <w:t>Consulting Agreement</w:t>
      </w:r>
    </w:p>
    <w:p>
      <w:pPr>
        <w:pStyle w:val="TextBody"/>
        <w:spacing w:before="0" w:after="0"/>
        <w:ind w:left="0" w:right="0" w:hanging="0"/>
        <w:jc w:val="both"/>
        <w:rPr>
          <w:sz w:val="13"/>
        </w:rPr>
      </w:pPr>
      <w:r>
        <w:rPr>
          <w:sz w:val="13"/>
        </w:rPr>
        <w:t>Dr. Robert Kammer</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right"/>
        <w:rPr/>
      </w:pPr>
      <w:r>
        <w:rPr/>
        <w:t>Page 5 of 10</w:t>
      </w:r>
    </w:p>
    <w:p>
      <w:pPr>
        <w:pStyle w:val="TextBody"/>
        <w:spacing w:before="0" w:after="0"/>
        <w:ind w:left="0" w:right="0" w:hanging="0"/>
        <w:rPr/>
      </w:pPr>
      <w:r>
        <w:rPr/>
      </w:r>
    </w:p>
    <w:p>
      <w:pPr>
        <w:pStyle w:val="TextBody"/>
        <w:spacing w:before="0" w:after="0"/>
        <w:ind w:left="0" w:right="0" w:hanging="0"/>
        <w:jc w:val="both"/>
        <w:rPr/>
      </w:pPr>
      <w:r>
        <w:rPr/>
      </w:r>
    </w:p>
    <w:p>
      <w:pPr>
        <w:pStyle w:val="TextBody"/>
        <w:spacing w:before="0" w:after="0"/>
        <w:ind w:left="0" w:right="0" w:hanging="30"/>
        <w:jc w:val="both"/>
        <w:rPr/>
      </w:pPr>
      <w:r>
        <w:rPr/>
        <w:t>Consultant shall and does hereby indemnify, defend, and hold harmless the Company, and the Companys officers, directors, employees and shareholders, from and against any and all claims, demands, losses, costs, expenses, obligations, liabilities, damages, recoveries, and deficiencies, including interest, penalties, and reasonable attorney fees and costs, that the Company may incur or suffer and that result from, or are related to, any breach or failure of the Consultant to perform any of the representations, warranties, and agreements in this Agreement.</w:t>
      </w:r>
      <w:r>
        <mc:AlternateContent>
          <mc:Choice Requires="wps">
            <w:drawing>
              <wp:anchor behindDoc="0" distT="0" distB="0" distL="0" distR="0" simplePos="0" locked="0" layoutInCell="1" allowOverlap="1" relativeHeight="225">
                <wp:simplePos x="0" y="0"/>
                <wp:positionH relativeFrom="column">
                  <wp:align>left</wp:align>
                </wp:positionH>
                <wp:positionV relativeFrom="line">
                  <wp:posOffset>635</wp:posOffset>
                </wp:positionV>
                <wp:extent cx="914400" cy="175260"/>
                <wp:effectExtent l="0" t="0" r="0" b="0"/>
                <wp:wrapSquare wrapText="largest"/>
                <wp:docPr id="224" name="Frame224"/>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c.</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c.</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Subject to the below condition, Company shall and does hereby indemnify, defend, and hold harmless the Consultant from and against any and all claims, demands, losses, costs, expenses, obligations, liabilities, damages, recoveries, and deficiencies, including interest, penalties, and reasonable attorney fees and costs, that the Consultant may incur or suffer and that result from the Consultants performance under this Agreement.  The protections of the immediately preceding sentence shall not extend to any intentional act, acts of gross negligence or act of material misrepresentation by the Consultant.   </w:t>
      </w:r>
      <w:r>
        <mc:AlternateContent>
          <mc:Choice Requires="wps">
            <w:drawing>
              <wp:anchor behindDoc="0" distT="0" distB="0" distL="0" distR="0" simplePos="0" locked="0" layoutInCell="1" allowOverlap="1" relativeHeight="226">
                <wp:simplePos x="0" y="0"/>
                <wp:positionH relativeFrom="column">
                  <wp:align>left</wp:align>
                </wp:positionH>
                <wp:positionV relativeFrom="line">
                  <wp:posOffset>635</wp:posOffset>
                </wp:positionV>
                <wp:extent cx="914400" cy="175260"/>
                <wp:effectExtent l="0" t="0" r="0" b="0"/>
                <wp:wrapSquare wrapText="largest"/>
                <wp:docPr id="225" name="Frame225"/>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d.</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b/>
        </w:rPr>
      </w:pPr>
      <w:r>
        <w:rPr>
          <w:b/>
        </w:rPr>
        <w:t>Relationship of the Parties.  </w:t>
      </w:r>
      <w:r>
        <mc:AlternateContent>
          <mc:Choice Requires="wps">
            <w:drawing>
              <wp:anchor behindDoc="0" distT="0" distB="0" distL="0" distR="0" simplePos="0" locked="0" layoutInCell="1" allowOverlap="1" relativeHeight="227">
                <wp:simplePos x="0" y="0"/>
                <wp:positionH relativeFrom="column">
                  <wp:align>left</wp:align>
                </wp:positionH>
                <wp:positionV relativeFrom="line">
                  <wp:posOffset>635</wp:posOffset>
                </wp:positionV>
                <wp:extent cx="457200" cy="175260"/>
                <wp:effectExtent l="0" t="0" r="0" b="0"/>
                <wp:wrapSquare wrapText="largest"/>
                <wp:docPr id="226" name="Frame226"/>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b/>
                              </w:rPr>
                            </w:pPr>
                            <w:r>
                              <w:rPr>
                                <w:b/>
                              </w:rPr>
                              <w:t>10.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10.</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Consultant enters into this Agreement as, and shall continue to be, an independent contractor.  In no circumstance shall Consultant look to the Company as Consultants employer, partner, agent, or principal.  Neither Consultant nor any employee of Consultant (which for purposes of this paragraph shall be included in the term Consultant) shall be entitled to any benefits accorded to the Companys employees, including workers compensation, disability insurance, retirement plans, or vacation or sick pay.  Consultants exclusion from benefit programs maintained by the Company is a material component of the terms of compensation negotiated by the parties, and is not premised on Consultants status as a non-employee with respect to the Company.  To the extent that Consultant may become eligible for any benefit programs maintained by the Company (regardless of the timing of or reason for eligibility), Consultant hereby waives Consultants right to participate in the programs.  Consultants waiver is not conditioned on any representation or assumption concerning Consultants status under the common law test.  Consultant also agrees that, consistent with Consultants independent contractor status, Consultant will not apply for any government-sponsored benefits that are intended to apply to employees, including, but not limited to, unemployment benefits.</w:t>
      </w:r>
      <w:r>
        <mc:AlternateContent>
          <mc:Choice Requires="wps">
            <w:drawing>
              <wp:anchor behindDoc="0" distT="0" distB="0" distL="0" distR="0" simplePos="0" locked="0" layoutInCell="1" allowOverlap="1" relativeHeight="228">
                <wp:simplePos x="0" y="0"/>
                <wp:positionH relativeFrom="column">
                  <wp:align>left</wp:align>
                </wp:positionH>
                <wp:positionV relativeFrom="line">
                  <wp:posOffset>635</wp:posOffset>
                </wp:positionV>
                <wp:extent cx="914400" cy="175260"/>
                <wp:effectExtent l="0" t="0" r="0" b="0"/>
                <wp:wrapSquare wrapText="largest"/>
                <wp:docPr id="227" name="Frame227"/>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Consultant shall be responsible for providing, at Consultants expense and in Consultants name, disability, workers compensation, or other insurance as well as licenses and permits usual or necessary for performing the Services.  Consultant shall pay, when and as due, any and all taxes incurred as a result of Consultants compensation, including estimated taxes and payroll taxes, and shall provide Company with proof of payment on demand.  Consultant indemnifies Company for any claims, losses, costs, fees, liabilities, damages, or injuries suffered by Company arising from Consultants breach of the provisions of this Section 10.</w:t>
      </w:r>
      <w:r>
        <mc:AlternateContent>
          <mc:Choice Requires="wps">
            <w:drawing>
              <wp:anchor behindDoc="0" distT="0" distB="0" distL="0" distR="0" simplePos="0" locked="0" layoutInCell="1" allowOverlap="1" relativeHeight="229">
                <wp:simplePos x="0" y="0"/>
                <wp:positionH relativeFrom="column">
                  <wp:align>left</wp:align>
                </wp:positionH>
                <wp:positionV relativeFrom="line">
                  <wp:posOffset>635</wp:posOffset>
                </wp:positionV>
                <wp:extent cx="914400" cy="175260"/>
                <wp:effectExtent l="0" t="0" r="0" b="0"/>
                <wp:wrapSquare wrapText="largest"/>
                <wp:docPr id="228" name="Frame228"/>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b/>
        </w:rPr>
        <w:t>Miscellaneous</w:t>
      </w:r>
      <w:r>
        <w:rPr/>
        <w:t xml:space="preserve">. </w:t>
      </w:r>
      <w:r>
        <mc:AlternateContent>
          <mc:Choice Requires="wps">
            <w:drawing>
              <wp:anchor behindDoc="0" distT="0" distB="0" distL="0" distR="0" simplePos="0" locked="0" layoutInCell="1" allowOverlap="1" relativeHeight="230">
                <wp:simplePos x="0" y="0"/>
                <wp:positionH relativeFrom="column">
                  <wp:align>left</wp:align>
                </wp:positionH>
                <wp:positionV relativeFrom="line">
                  <wp:posOffset>635</wp:posOffset>
                </wp:positionV>
                <wp:extent cx="457200" cy="175260"/>
                <wp:effectExtent l="0" t="0" r="0" b="0"/>
                <wp:wrapSquare wrapText="largest"/>
                <wp:docPr id="229" name="Frame229"/>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b/>
                              </w:rPr>
                            </w:pPr>
                            <w:r>
                              <w:rPr>
                                <w:b/>
                              </w:rPr>
                              <w:t>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11.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Waiver</w:t>
      </w:r>
      <w:r>
        <w:rPr/>
        <w:t xml:space="preserve">.  The waiver of the breach of any provision of this Agreement shall not operate or be construed as a waiver of any subsequent breach of the same or other provision hereof. </w:t>
      </w:r>
      <w:r>
        <mc:AlternateContent>
          <mc:Choice Requires="wps">
            <w:drawing>
              <wp:anchor behindDoc="0" distT="0" distB="0" distL="0" distR="0" simplePos="0" locked="0" layoutInCell="1" allowOverlap="1" relativeHeight="231">
                <wp:simplePos x="0" y="0"/>
                <wp:positionH relativeFrom="column">
                  <wp:align>left</wp:align>
                </wp:positionH>
                <wp:positionV relativeFrom="line">
                  <wp:posOffset>635</wp:posOffset>
                </wp:positionV>
                <wp:extent cx="914400" cy="175260"/>
                <wp:effectExtent l="0" t="0" r="0" b="0"/>
                <wp:wrapSquare wrapText="largest"/>
                <wp:docPr id="230" name="Frame230"/>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Notices</w:t>
      </w:r>
      <w:r>
        <w:rPr/>
        <w:t xml:space="preserve">. Any notice provided under this Agreement shall be in writing and shall be deemed to have been effectively given on the earliest of: (i) the date of transmission, if such notice or communication is delivered via email, (ii) the second day following the date of mailing, if sent by U.S. nationally recognized overnight courier service, or (iii) 5 days after deposit in the U.S. mail when sent by regular mail to the following address: </w:t>
      </w:r>
      <w:r>
        <mc:AlternateContent>
          <mc:Choice Requires="wps">
            <w:drawing>
              <wp:anchor behindDoc="0" distT="0" distB="0" distL="0" distR="0" simplePos="0" locked="0" layoutInCell="1" allowOverlap="1" relativeHeight="232">
                <wp:simplePos x="0" y="0"/>
                <wp:positionH relativeFrom="column">
                  <wp:align>left</wp:align>
                </wp:positionH>
                <wp:positionV relativeFrom="line">
                  <wp:posOffset>635</wp:posOffset>
                </wp:positionV>
                <wp:extent cx="914400" cy="175260"/>
                <wp:effectExtent l="0" t="0" r="0" b="0"/>
                <wp:wrapSquare wrapText="largest"/>
                <wp:docPr id="231" name="Frame231"/>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t>           </w:t>
      </w:r>
    </w:p>
    <w:tbl>
      <w:tblPr>
        <w:tblW w:w="6210" w:type="dxa"/>
        <w:jc w:val="center"/>
        <w:tblInd w:w="0" w:type="dxa"/>
        <w:tblCellMar>
          <w:top w:w="0" w:type="dxa"/>
          <w:left w:w="0" w:type="dxa"/>
          <w:bottom w:w="0" w:type="dxa"/>
          <w:right w:w="0" w:type="dxa"/>
        </w:tblCellMar>
      </w:tblPr>
      <w:tblGrid>
        <w:gridCol w:w="2910"/>
        <w:gridCol w:w="3300"/>
      </w:tblGrid>
      <w:tr>
        <w:trPr/>
        <w:tc>
          <w:tcPr>
            <w:tcW w:w="2910" w:type="dxa"/>
            <w:tcBorders/>
            <w:shd w:fill="auto" w:val="clear"/>
            <w:vAlign w:val="center"/>
          </w:tcPr>
          <w:p>
            <w:pPr>
              <w:pStyle w:val="TableContents"/>
              <w:spacing w:before="0" w:after="283"/>
              <w:rPr>
                <w:sz w:val="4"/>
                <w:szCs w:val="4"/>
              </w:rPr>
            </w:pPr>
            <w:r>
              <w:rPr>
                <w:sz w:val="4"/>
                <w:szCs w:val="4"/>
              </w:rPr>
            </w:r>
          </w:p>
        </w:tc>
        <w:tc>
          <w:tcPr>
            <w:tcW w:w="3300" w:type="dxa"/>
            <w:tcBorders/>
            <w:shd w:fill="auto" w:val="clear"/>
            <w:vAlign w:val="center"/>
          </w:tcPr>
          <w:p>
            <w:pPr>
              <w:pStyle w:val="TableContents"/>
              <w:spacing w:before="0" w:after="283"/>
              <w:rPr>
                <w:sz w:val="4"/>
                <w:szCs w:val="4"/>
              </w:rPr>
            </w:pPr>
            <w:r>
              <w:rPr>
                <w:sz w:val="4"/>
                <w:szCs w:val="4"/>
              </w:rPr>
            </w:r>
          </w:p>
        </w:tc>
      </w:tr>
      <w:tr>
        <w:trPr/>
        <w:tc>
          <w:tcPr>
            <w:tcW w:w="2910" w:type="dxa"/>
            <w:tcBorders/>
            <w:shd w:fill="auto" w:val="clear"/>
            <w:vAlign w:val="center"/>
          </w:tcPr>
          <w:p>
            <w:pPr>
              <w:pStyle w:val="TableContents"/>
              <w:pBdr/>
              <w:spacing w:before="0" w:after="0"/>
              <w:ind w:left="0" w:right="0" w:hanging="0"/>
              <w:rPr/>
            </w:pPr>
            <w:r>
              <w:rPr/>
              <w:t> </w:t>
            </w:r>
          </w:p>
        </w:tc>
        <w:tc>
          <w:tcPr>
            <w:tcW w:w="3300" w:type="dxa"/>
            <w:tcBorders/>
            <w:shd w:fill="auto" w:val="clear"/>
            <w:vAlign w:val="center"/>
          </w:tcPr>
          <w:p>
            <w:pPr>
              <w:pStyle w:val="TableContents"/>
              <w:pBdr/>
              <w:spacing w:before="0" w:after="0"/>
              <w:ind w:left="0" w:right="0" w:hanging="0"/>
              <w:rPr/>
            </w:pPr>
            <w:r>
              <w:rPr/>
              <w:t> </w:t>
            </w:r>
          </w:p>
        </w:tc>
      </w:tr>
      <w:tr>
        <w:trPr/>
        <w:tc>
          <w:tcPr>
            <w:tcW w:w="2910" w:type="dxa"/>
            <w:tcBorders/>
            <w:shd w:fill="auto" w:val="clear"/>
          </w:tcPr>
          <w:p>
            <w:pPr>
              <w:pStyle w:val="TableContents"/>
              <w:spacing w:before="0" w:after="0"/>
              <w:ind w:left="0" w:right="0" w:hanging="0"/>
              <w:jc w:val="both"/>
              <w:rPr/>
            </w:pPr>
            <w:r>
              <w:rPr>
                <w:i/>
                <w:u w:val="single"/>
              </w:rPr>
              <w:t>In the case of the Company</w:t>
            </w:r>
            <w:r>
              <w:rPr/>
              <w:t>:</w:t>
            </w:r>
          </w:p>
        </w:tc>
        <w:tc>
          <w:tcPr>
            <w:tcW w:w="3300" w:type="dxa"/>
            <w:tcBorders/>
            <w:shd w:fill="auto" w:val="clear"/>
          </w:tcPr>
          <w:p>
            <w:pPr>
              <w:pStyle w:val="TableContents"/>
              <w:spacing w:before="0" w:after="0"/>
              <w:ind w:left="0" w:right="0" w:hanging="0"/>
              <w:jc w:val="both"/>
              <w:rPr/>
            </w:pPr>
            <w:r>
              <w:rPr>
                <w:i/>
                <w:u w:val="single"/>
              </w:rPr>
              <w:t>In the case of the Advisor (Consultant)</w:t>
            </w:r>
            <w:r>
              <w:rPr/>
              <w:t>:</w:t>
            </w:r>
          </w:p>
        </w:tc>
      </w:tr>
      <w:tr>
        <w:trPr/>
        <w:tc>
          <w:tcPr>
            <w:tcW w:w="2910" w:type="dxa"/>
            <w:tcBorders/>
            <w:shd w:fill="auto" w:val="clear"/>
          </w:tcPr>
          <w:p>
            <w:pPr>
              <w:pStyle w:val="TableContents"/>
              <w:spacing w:before="0" w:after="0"/>
              <w:ind w:left="0" w:right="0" w:hanging="0"/>
              <w:jc w:val="both"/>
              <w:rPr/>
            </w:pPr>
            <w:r>
              <w:rPr/>
              <w:t> </w:t>
            </w:r>
          </w:p>
        </w:tc>
        <w:tc>
          <w:tcPr>
            <w:tcW w:w="3300" w:type="dxa"/>
            <w:tcBorders/>
            <w:shd w:fill="auto" w:val="clear"/>
          </w:tcPr>
          <w:p>
            <w:pPr>
              <w:pStyle w:val="TableContents"/>
              <w:spacing w:before="0" w:after="0"/>
              <w:ind w:left="0" w:right="0" w:hanging="0"/>
              <w:jc w:val="both"/>
              <w:rPr/>
            </w:pPr>
            <w:r>
              <w:rPr/>
              <w:t> </w:t>
            </w:r>
          </w:p>
        </w:tc>
      </w:tr>
      <w:tr>
        <w:trPr/>
        <w:tc>
          <w:tcPr>
            <w:tcW w:w="2910" w:type="dxa"/>
            <w:tcBorders/>
            <w:shd w:fill="auto" w:val="clear"/>
          </w:tcPr>
          <w:p>
            <w:pPr>
              <w:pStyle w:val="TableContents"/>
              <w:spacing w:before="0" w:after="0"/>
              <w:ind w:left="0" w:right="0" w:hanging="0"/>
              <w:jc w:val="both"/>
              <w:rPr/>
            </w:pPr>
            <w:r>
              <w:rPr/>
              <w:t>Imprimis Pharmaceuticals, Inc.</w:t>
            </w:r>
          </w:p>
        </w:tc>
        <w:tc>
          <w:tcPr>
            <w:tcW w:w="3300" w:type="dxa"/>
            <w:tcBorders/>
            <w:shd w:fill="auto" w:val="clear"/>
          </w:tcPr>
          <w:p>
            <w:pPr>
              <w:pStyle w:val="TableContents"/>
              <w:spacing w:before="0" w:after="0"/>
              <w:ind w:left="0" w:right="0" w:hanging="0"/>
              <w:jc w:val="both"/>
              <w:rPr/>
            </w:pPr>
            <w:r>
              <w:rPr/>
              <w:t>Dr. Robert Kammer</w:t>
            </w:r>
          </w:p>
        </w:tc>
      </w:tr>
      <w:tr>
        <w:trPr/>
        <w:tc>
          <w:tcPr>
            <w:tcW w:w="2910" w:type="dxa"/>
            <w:tcBorders/>
            <w:shd w:fill="auto" w:val="clear"/>
          </w:tcPr>
          <w:p>
            <w:pPr>
              <w:pStyle w:val="TableContents"/>
              <w:spacing w:before="0" w:after="0"/>
              <w:ind w:left="0" w:right="0" w:hanging="0"/>
              <w:jc w:val="both"/>
              <w:rPr/>
            </w:pPr>
            <w:r>
              <w:rPr/>
              <w:t>Attention: Mark L. Baum, Esq.</w:t>
            </w:r>
          </w:p>
        </w:tc>
        <w:tc>
          <w:tcPr>
            <w:tcW w:w="3300" w:type="dxa"/>
            <w:tcBorders/>
            <w:shd w:fill="auto" w:val="clear"/>
          </w:tcPr>
          <w:p>
            <w:pPr>
              <w:pStyle w:val="TableContents"/>
              <w:spacing w:before="0" w:after="0"/>
              <w:ind w:left="0" w:right="0" w:hanging="0"/>
              <w:jc w:val="both"/>
              <w:rPr>
                <w:i/>
                <w:color w:val="0000FF"/>
                <w:u w:val="single"/>
              </w:rPr>
            </w:pPr>
            <w:r>
              <w:rPr>
                <w:i/>
                <w:color w:val="0000FF"/>
                <w:u w:val="single"/>
              </w:rPr>
              <w:t>kammerrobert@gmail.com</w:t>
            </w:r>
          </w:p>
        </w:tc>
      </w:tr>
      <w:tr>
        <w:trPr/>
        <w:tc>
          <w:tcPr>
            <w:tcW w:w="2910" w:type="dxa"/>
            <w:tcBorders/>
            <w:shd w:fill="auto" w:val="clear"/>
          </w:tcPr>
          <w:p>
            <w:pPr>
              <w:pStyle w:val="TableContents"/>
              <w:spacing w:before="0" w:after="0"/>
              <w:ind w:left="0" w:right="0" w:hanging="0"/>
              <w:jc w:val="both"/>
              <w:rPr>
                <w:i/>
                <w:color w:val="0000FF"/>
                <w:u w:val="single"/>
              </w:rPr>
            </w:pPr>
            <w:r>
              <w:rPr>
                <w:i/>
                <w:color w:val="0000FF"/>
                <w:u w:val="single"/>
              </w:rPr>
              <w:t>mark@imprimispharma.com</w:t>
            </w:r>
          </w:p>
        </w:tc>
        <w:tc>
          <w:tcPr>
            <w:tcW w:w="3300" w:type="dxa"/>
            <w:tcBorders/>
            <w:shd w:fill="auto" w:val="clear"/>
          </w:tcPr>
          <w:p>
            <w:pPr>
              <w:pStyle w:val="TableContents"/>
              <w:spacing w:before="0" w:after="0"/>
              <w:ind w:left="0" w:right="0" w:hanging="0"/>
              <w:jc w:val="both"/>
              <w:rPr/>
            </w:pPr>
            <w:r>
              <w:rPr/>
              <w:t> </w:t>
            </w:r>
          </w:p>
        </w:tc>
      </w:tr>
    </w:tbl>
    <w:p>
      <w:pPr>
        <w:pStyle w:val="TextBody"/>
        <w:spacing w:before="0" w:after="0"/>
        <w:ind w:left="0" w:right="0" w:hanging="0"/>
        <w:jc w:val="both"/>
        <w:rPr/>
      </w:pPr>
      <w:r>
        <w:rPr/>
      </w:r>
    </w:p>
    <w:p>
      <w:pPr>
        <w:pStyle w:val="TextBody"/>
        <w:spacing w:before="0" w:after="0"/>
        <w:ind w:left="0" w:right="0" w:firstLine="1440"/>
        <w:jc w:val="both"/>
        <w:rPr/>
      </w:pPr>
      <w:r>
        <w:rPr/>
        <w:t>or to other such address as may have been designated by the Company or the Consultant by notice to the other given as provided herein.</w:t>
      </w:r>
    </w:p>
    <w:p>
      <w:pPr>
        <w:pStyle w:val="TextBody"/>
        <w:spacing w:before="0" w:after="0"/>
        <w:ind w:left="0" w:right="0" w:hanging="0"/>
        <w:jc w:val="both"/>
        <w:rPr/>
      </w:pPr>
      <w:r>
        <w:rPr/>
      </w:r>
    </w:p>
    <w:p>
      <w:pPr>
        <w:pStyle w:val="TextBody"/>
        <w:spacing w:before="0" w:after="0"/>
        <w:ind w:left="0" w:right="0" w:hanging="30"/>
        <w:jc w:val="both"/>
        <w:rPr/>
      </w:pPr>
      <w:r>
        <w:rPr>
          <w:u w:val="single"/>
        </w:rPr>
        <w:t>Headings</w:t>
      </w:r>
      <w:r>
        <w:rPr/>
        <w:t>.  The section headings used in this Agreement are intended for convenience of reference and shall not by themselves determine the construction or interpretation of any provision of this Agreement.</w:t>
      </w:r>
      <w:r>
        <mc:AlternateContent>
          <mc:Choice Requires="wps">
            <w:drawing>
              <wp:anchor behindDoc="0" distT="0" distB="0" distL="0" distR="0" simplePos="0" locked="0" layoutInCell="1" allowOverlap="1" relativeHeight="233">
                <wp:simplePos x="0" y="0"/>
                <wp:positionH relativeFrom="column">
                  <wp:align>left</wp:align>
                </wp:positionH>
                <wp:positionV relativeFrom="line">
                  <wp:posOffset>635</wp:posOffset>
                </wp:positionV>
                <wp:extent cx="914400" cy="175260"/>
                <wp:effectExtent l="0" t="0" r="0" b="0"/>
                <wp:wrapSquare wrapText="largest"/>
                <wp:docPr id="232" name="Frame232"/>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c.</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c.</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Governing Law</w:t>
      </w:r>
      <w:r>
        <w:rPr/>
        <w:t>.  This Agreement shall be governed by and construed in accordance with the laws of the State of California excluding those laws that direct the application of the laws of another jurisdiction.</w:t>
      </w:r>
      <w:r>
        <mc:AlternateContent>
          <mc:Choice Requires="wps">
            <w:drawing>
              <wp:anchor behindDoc="0" distT="0" distB="0" distL="0" distR="0" simplePos="0" locked="0" layoutInCell="1" allowOverlap="1" relativeHeight="234">
                <wp:simplePos x="0" y="0"/>
                <wp:positionH relativeFrom="column">
                  <wp:align>left</wp:align>
                </wp:positionH>
                <wp:positionV relativeFrom="line">
                  <wp:posOffset>635</wp:posOffset>
                </wp:positionV>
                <wp:extent cx="914400" cy="175260"/>
                <wp:effectExtent l="0" t="0" r="0" b="0"/>
                <wp:wrapSquare wrapText="largest"/>
                <wp:docPr id="233" name="Frame233"/>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d.</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sz w:val="13"/>
        </w:rPr>
      </w:pPr>
      <w:r>
        <w:rPr>
          <w:sz w:val="13"/>
        </w:rPr>
        <w:t>Consulting Agreement</w:t>
      </w:r>
    </w:p>
    <w:p>
      <w:pPr>
        <w:pStyle w:val="TextBody"/>
        <w:spacing w:before="0" w:after="0"/>
        <w:ind w:left="0" w:right="0" w:hanging="0"/>
        <w:jc w:val="both"/>
        <w:rPr>
          <w:sz w:val="13"/>
        </w:rPr>
      </w:pPr>
      <w:r>
        <w:rPr>
          <w:sz w:val="13"/>
        </w:rPr>
        <w:t>Dr. Robert Kammer</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right"/>
        <w:rPr/>
      </w:pPr>
      <w:r>
        <w:rPr/>
        <w:t>Page 6 of 10</w:t>
      </w:r>
    </w:p>
    <w:p>
      <w:pPr>
        <w:pStyle w:val="TextBody"/>
        <w:spacing w:before="0" w:after="0"/>
        <w:ind w:left="0" w:right="0" w:hanging="0"/>
        <w:rPr/>
      </w:pPr>
      <w:r>
        <w:rPr/>
      </w:r>
    </w:p>
    <w:p>
      <w:pPr>
        <w:pStyle w:val="TextBody"/>
        <w:spacing w:before="0" w:after="0"/>
        <w:ind w:left="0" w:right="0" w:hanging="0"/>
        <w:jc w:val="both"/>
        <w:rPr/>
      </w:pPr>
      <w:r>
        <w:rPr/>
      </w:r>
    </w:p>
    <w:p>
      <w:pPr>
        <w:pStyle w:val="TextBody"/>
        <w:spacing w:before="0" w:after="0"/>
        <w:ind w:left="0" w:right="0" w:hanging="30"/>
        <w:jc w:val="both"/>
        <w:rPr/>
      </w:pPr>
      <w:r>
        <w:rPr>
          <w:u w:val="single"/>
        </w:rPr>
        <w:t>Advice of and Review of Independent Legal Counsel</w:t>
      </w:r>
      <w:r>
        <w:rPr/>
        <w:t xml:space="preserve">.  Consultant and his counsel have actively participated in the drafting of this Agreement.  As such, Consultant has had the benefit of his own independent legal counsel who advised Consultant as to the terms, conditions and other matters related to this Agreement, of which, Consultant freely has chosen to enter into and abide by. </w:t>
      </w:r>
      <w:r>
        <mc:AlternateContent>
          <mc:Choice Requires="wps">
            <w:drawing>
              <wp:anchor behindDoc="0" distT="0" distB="0" distL="0" distR="0" simplePos="0" locked="0" layoutInCell="1" allowOverlap="1" relativeHeight="235">
                <wp:simplePos x="0" y="0"/>
                <wp:positionH relativeFrom="column">
                  <wp:align>left</wp:align>
                </wp:positionH>
                <wp:positionV relativeFrom="line">
                  <wp:posOffset>635</wp:posOffset>
                </wp:positionV>
                <wp:extent cx="914400" cy="175260"/>
                <wp:effectExtent l="0" t="0" r="0" b="0"/>
                <wp:wrapSquare wrapText="largest"/>
                <wp:docPr id="234" name="Frame234"/>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e.</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Injunctive Relief; Consent to Jurisdiction</w:t>
      </w:r>
      <w:r>
        <w:rPr/>
        <w:t>.  The Consultant acknowledges and agrees that damages will not be an adequate remedy in the event of a breach of any of the Consultants obligations under this Agreement. The Consultant therefore agrees that the Company shall be entitled (without limitation of any other rights or remedies otherwise available to the Company and without the necessity of posting a bond) to obtain an injunction from any court of competent jurisdiction prohibiting the continuance or recurrence of any breach of this Agreement.  The Consultant hereby submits to the jurisdiction and venue in the federal district court for the Southern District of California and in the courts of the State of California in San Diego County, California. The Consultant further agrees that service upon the Consultant in any such action or proceeding may be made by first class mail, certified or registered, to the Consultants address as last appearing on the records of the Company.</w:t>
      </w:r>
      <w:r>
        <mc:AlternateContent>
          <mc:Choice Requires="wps">
            <w:drawing>
              <wp:anchor behindDoc="0" distT="0" distB="0" distL="0" distR="0" simplePos="0" locked="0" layoutInCell="1" allowOverlap="1" relativeHeight="236">
                <wp:simplePos x="0" y="0"/>
                <wp:positionH relativeFrom="column">
                  <wp:align>left</wp:align>
                </wp:positionH>
                <wp:positionV relativeFrom="line">
                  <wp:posOffset>635</wp:posOffset>
                </wp:positionV>
                <wp:extent cx="914400" cy="175260"/>
                <wp:effectExtent l="0" t="0" r="0" b="0"/>
                <wp:wrapSquare wrapText="largest"/>
                <wp:docPr id="235" name="Frame235"/>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f.</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f.</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Counterparts</w:t>
      </w:r>
      <w:r>
        <w:rPr/>
        <w:t>.  This Agreement may be executed in one or more counterparts, all of which taken together shall constitute one and the same Agreement.</w:t>
      </w:r>
      <w:r>
        <mc:AlternateContent>
          <mc:Choice Requires="wps">
            <w:drawing>
              <wp:anchor behindDoc="0" distT="0" distB="0" distL="0" distR="0" simplePos="0" locked="0" layoutInCell="1" allowOverlap="1" relativeHeight="237">
                <wp:simplePos x="0" y="0"/>
                <wp:positionH relativeFrom="column">
                  <wp:align>left</wp:align>
                </wp:positionH>
                <wp:positionV relativeFrom="line">
                  <wp:posOffset>635</wp:posOffset>
                </wp:positionV>
                <wp:extent cx="914400" cy="175260"/>
                <wp:effectExtent l="0" t="0" r="0" b="0"/>
                <wp:wrapSquare wrapText="largest"/>
                <wp:docPr id="236" name="Frame236"/>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g.</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g.</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Enforcement</w:t>
      </w:r>
      <w:r>
        <w:rPr/>
        <w:t>.  If any portion of this Agreement is determined to be invalid or unenforceable, such portion shall be adjusted, rather than voided, to achieve the intent of the parties to the extent possible, and the remainder shall be enforced to the maximum extent possible.</w:t>
      </w:r>
      <w:r>
        <mc:AlternateContent>
          <mc:Choice Requires="wps">
            <w:drawing>
              <wp:anchor behindDoc="0" distT="0" distB="0" distL="0" distR="0" simplePos="0" locked="0" layoutInCell="1" allowOverlap="1" relativeHeight="238">
                <wp:simplePos x="0" y="0"/>
                <wp:positionH relativeFrom="column">
                  <wp:align>left</wp:align>
                </wp:positionH>
                <wp:positionV relativeFrom="line">
                  <wp:posOffset>635</wp:posOffset>
                </wp:positionV>
                <wp:extent cx="914400" cy="175260"/>
                <wp:effectExtent l="0" t="0" r="0" b="0"/>
                <wp:wrapSquare wrapText="largest"/>
                <wp:docPr id="237" name="Frame237"/>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h.</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h.</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Survival</w:t>
      </w:r>
      <w:r>
        <w:rPr/>
        <w:t>.  Sections 3, 4, 5, 9, 10 and 11 shall survive termination or expiration of this Agreement.</w:t>
      </w:r>
      <w:r>
        <mc:AlternateContent>
          <mc:Choice Requires="wps">
            <w:drawing>
              <wp:anchor behindDoc="0" distT="0" distB="0" distL="0" distR="0" simplePos="0" locked="0" layoutInCell="1" allowOverlap="1" relativeHeight="239">
                <wp:simplePos x="0" y="0"/>
                <wp:positionH relativeFrom="column">
                  <wp:align>left</wp:align>
                </wp:positionH>
                <wp:positionV relativeFrom="line">
                  <wp:posOffset>635</wp:posOffset>
                </wp:positionV>
                <wp:extent cx="914400" cy="175260"/>
                <wp:effectExtent l="0" t="0" r="0" b="0"/>
                <wp:wrapSquare wrapText="largest"/>
                <wp:docPr id="238" name="Frame238"/>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i.</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i.</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Entire Agreement; Modifications</w:t>
      </w:r>
      <w:r>
        <w:rPr/>
        <w:t>.  Except as otherwise provided herein or in the exhibits hereto, this Agreement represents the entire understanding among the parties with respect to the subject matter of this Agreement, and this Agreement supersedes any and all prior and contemporaneous understandings, agreements, plans, and negotiations, whether written or oral, with respect to the subject matter hereof, including, without limitation, any understandings, agreements, or obligations respecting any past or future compensation, bonuses, reimbursements, or other payments to the Consultant from the Company.  All modifications to the Agreement must be in writing and signed by each of the parties hereto.</w:t>
      </w:r>
      <w:r>
        <mc:AlternateContent>
          <mc:Choice Requires="wps">
            <w:drawing>
              <wp:anchor behindDoc="0" distT="0" distB="0" distL="0" distR="0" simplePos="0" locked="0" layoutInCell="1" allowOverlap="1" relativeHeight="240">
                <wp:simplePos x="0" y="0"/>
                <wp:positionH relativeFrom="column">
                  <wp:align>left</wp:align>
                </wp:positionH>
                <wp:positionV relativeFrom="line">
                  <wp:posOffset>635</wp:posOffset>
                </wp:positionV>
                <wp:extent cx="914400" cy="175260"/>
                <wp:effectExtent l="0" t="0" r="0" b="0"/>
                <wp:wrapSquare wrapText="largest"/>
                <wp:docPr id="239" name="Frame239"/>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j.</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j.</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Use of Name</w:t>
      </w:r>
      <w:r>
        <w:rPr/>
        <w:t xml:space="preserve">. It is understood that the name of the Consultant as Senior Advisor to the Company may appear in disclosure documents required under law, including under applicable securities laws, and in other regulatory, administrative filings and public relations materials in the ordinary course of the Company's business. The above-described uses will be deemed to be acceptable uses. </w:t>
      </w:r>
      <w:r>
        <mc:AlternateContent>
          <mc:Choice Requires="wps">
            <w:drawing>
              <wp:anchor behindDoc="0" distT="0" distB="0" distL="0" distR="0" simplePos="0" locked="0" layoutInCell="1" allowOverlap="1" relativeHeight="241">
                <wp:simplePos x="0" y="0"/>
                <wp:positionH relativeFrom="column">
                  <wp:align>left</wp:align>
                </wp:positionH>
                <wp:positionV relativeFrom="line">
                  <wp:posOffset>635</wp:posOffset>
                </wp:positionV>
                <wp:extent cx="914400" cy="175260"/>
                <wp:effectExtent l="0" t="0" r="0" b="0"/>
                <wp:wrapSquare wrapText="largest"/>
                <wp:docPr id="240" name="Frame240"/>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k.</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k.</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No Conflict; Valid and Binding</w:t>
      </w:r>
      <w:r>
        <w:rPr/>
        <w:t>. The Consultant represents that neither the execution of this Agreement nor the performance of the Consultant's obligations under this Agreement will result in a violation or breach of any other agreement by which the Consultant is bound. The Company represents that this Agreement has been duly authorized and executed and is a valid and legally binding obligation of the Company, subject to no conflicting agreements.</w:t>
      </w:r>
      <w:r>
        <mc:AlternateContent>
          <mc:Choice Requires="wps">
            <w:drawing>
              <wp:anchor behindDoc="0" distT="0" distB="0" distL="0" distR="0" simplePos="0" locked="0" layoutInCell="1" allowOverlap="1" relativeHeight="242">
                <wp:simplePos x="0" y="0"/>
                <wp:positionH relativeFrom="column">
                  <wp:align>left</wp:align>
                </wp:positionH>
                <wp:positionV relativeFrom="line">
                  <wp:posOffset>635</wp:posOffset>
                </wp:positionV>
                <wp:extent cx="914400" cy="175260"/>
                <wp:effectExtent l="0" t="0" r="0" b="0"/>
                <wp:wrapSquare wrapText="largest"/>
                <wp:docPr id="241" name="Frame241"/>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l.</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l.</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Assignment</w:t>
      </w:r>
      <w:r>
        <w:rPr/>
        <w:t>.  Neither party shall assign, sell, transfer, delegate or otherwise dispose of, whether voluntarily or involuntarily, by operation of law or otherwise, this Agreement or any or its rights or obligations under this Agreement; provided, however the Company may assign, sell, transfer, delegate or otherwise dispose of this Agreement or any of its rights and obligations hereunder as part of a merger, consolidation, corporate reorganization, sale of all or substantially all of the Companys assets, sale of stock, change of name or like event.  Any purported assignment, sale, transfer, delegation or other disposition, except as permitted herein, shall be null and void.  Subject to the foregoing, this Agreement shall be binding upon and shall inure to the benefit of the parties and their respective successors and permitted assigns.  </w:t>
      </w:r>
      <w:r>
        <mc:AlternateContent>
          <mc:Choice Requires="wps">
            <w:drawing>
              <wp:anchor behindDoc="0" distT="0" distB="0" distL="0" distR="0" simplePos="0" locked="0" layoutInCell="1" allowOverlap="1" relativeHeight="243">
                <wp:simplePos x="0" y="0"/>
                <wp:positionH relativeFrom="column">
                  <wp:align>left</wp:align>
                </wp:positionH>
                <wp:positionV relativeFrom="line">
                  <wp:posOffset>635</wp:posOffset>
                </wp:positionV>
                <wp:extent cx="914400" cy="175260"/>
                <wp:effectExtent l="0" t="0" r="0" b="0"/>
                <wp:wrapSquare wrapText="largest"/>
                <wp:docPr id="242" name="Frame242"/>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m.</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m.</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rPr/>
      </w:pPr>
      <w:r>
        <w:rPr/>
      </w:r>
    </w:p>
    <w:p>
      <w:pPr>
        <w:pStyle w:val="TextBody"/>
        <w:spacing w:before="0" w:after="0"/>
        <w:ind w:left="0" w:right="0" w:hanging="0"/>
        <w:jc w:val="both"/>
        <w:rPr>
          <w:sz w:val="13"/>
        </w:rPr>
      </w:pPr>
      <w:r>
        <w:rPr>
          <w:sz w:val="13"/>
        </w:rPr>
        <w:t>Consulting Agreement</w:t>
      </w:r>
    </w:p>
    <w:p>
      <w:pPr>
        <w:pStyle w:val="TextBody"/>
        <w:spacing w:before="0" w:after="0"/>
        <w:ind w:left="0" w:right="0" w:hanging="0"/>
        <w:jc w:val="both"/>
        <w:rPr>
          <w:sz w:val="13"/>
        </w:rPr>
      </w:pPr>
      <w:r>
        <w:rPr>
          <w:sz w:val="13"/>
        </w:rPr>
        <w:t>Dr. Robert Kammer</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right"/>
        <w:rPr/>
      </w:pPr>
      <w:r>
        <w:rPr/>
        <w:t>Page 7 of 10</w:t>
      </w:r>
    </w:p>
    <w:p>
      <w:pPr>
        <w:pStyle w:val="TextBody"/>
        <w:spacing w:before="0" w:after="0"/>
        <w:ind w:left="0" w:right="0" w:hanging="0"/>
        <w:rPr/>
      </w:pPr>
      <w:r>
        <w:rPr/>
      </w:r>
    </w:p>
    <w:p>
      <w:pPr>
        <w:pStyle w:val="TextBody"/>
        <w:spacing w:before="0" w:after="0"/>
        <w:ind w:left="0" w:right="0" w:firstLine="720"/>
        <w:rPr/>
      </w:pPr>
      <w:r>
        <w:rPr/>
        <w:t>IN WITNESS WHEREOF, the parties hereto have executed this Consulting Agreement as of the date first written above.</w:t>
      </w:r>
    </w:p>
    <w:p>
      <w:pPr>
        <w:pStyle w:val="TextBody"/>
        <w:spacing w:before="0" w:after="0"/>
        <w:ind w:left="0" w:right="0" w:hanging="0"/>
        <w:rPr/>
      </w:pPr>
      <w:r>
        <w:rPr/>
      </w:r>
    </w:p>
    <w:p>
      <w:pPr>
        <w:pStyle w:val="TextBody"/>
        <w:spacing w:before="0" w:after="0"/>
        <w:ind w:left="0" w:right="0" w:hanging="0"/>
        <w:rPr/>
      </w:pPr>
      <w:r>
        <w:rPr/>
        <w:t>IMPRIMIS PHARMACEUTICALS, INC.</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30"/>
        <w:rPr>
          <w:i/>
          <w:u w:val="single"/>
        </w:rPr>
      </w:pPr>
      <w:r>
        <w:rPr>
          <w:i/>
          <w:u w:val="single"/>
        </w:rPr>
        <w:t>/s/ Mark L. Baum                           </w:t>
      </w:r>
      <w:r>
        <mc:AlternateContent>
          <mc:Choice Requires="wps">
            <w:drawing>
              <wp:anchor behindDoc="0" distT="0" distB="0" distL="0" distR="0" simplePos="0" locked="0" layoutInCell="1" allowOverlap="1" relativeHeight="244">
                <wp:simplePos x="0" y="0"/>
                <wp:positionH relativeFrom="column">
                  <wp:align>left</wp:align>
                </wp:positionH>
                <wp:positionV relativeFrom="line">
                  <wp:posOffset>635</wp:posOffset>
                </wp:positionV>
                <wp:extent cx="2743200" cy="175260"/>
                <wp:effectExtent l="0" t="0" r="0" b="0"/>
                <wp:wrapSquare wrapText="largest"/>
                <wp:docPr id="243" name="Frame243"/>
                <a:graphic xmlns:a="http://schemas.openxmlformats.org/drawingml/2006/main">
                  <a:graphicData uri="http://schemas.microsoft.com/office/word/2010/wordprocessingShape">
                    <wps:wsp>
                      <wps:cNvSpPr txBox="1"/>
                      <wps:spPr>
                        <a:xfrm>
                          <a:off x="0" y="0"/>
                          <a:ext cx="2743200" cy="175260"/>
                        </a:xfrm>
                        <a:prstGeom prst="rect"/>
                      </wps:spPr>
                      <wps:txbx>
                        <w:txbxContent>
                          <w:p>
                            <w:pPr>
                              <w:pStyle w:val="TextBody"/>
                              <w:spacing w:before="0" w:after="283"/>
                              <w:rPr/>
                            </w:pPr>
                            <w:r>
                              <w:rPr/>
                              <w:t>By:</w:t>
                            </w:r>
                          </w:p>
                        </w:txbxContent>
                      </wps:txbx>
                      <wps:bodyPr anchor="t" lIns="0" tIns="0" rIns="0" bIns="0">
                        <a:noAutofit/>
                      </wps:bodyPr>
                    </wps:wsp>
                  </a:graphicData>
                </a:graphic>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By:</w:t>
                      </w:r>
                    </w:p>
                  </w:txbxContent>
                </v:textbox>
                <w10:wrap type="square" side="right"/>
              </v:rect>
            </w:pict>
          </mc:Fallback>
        </mc:AlternateContent>
      </w:r>
    </w:p>
    <w:p>
      <w:pPr>
        <w:pStyle w:val="TextBody"/>
        <w:spacing w:before="0" w:after="0"/>
        <w:ind w:left="0" w:right="0" w:firstLine="4320"/>
        <w:rPr/>
      </w:pPr>
      <w:r>
        <w:rPr/>
        <w:t>Mark L. Baum, Esq.</w:t>
      </w:r>
    </w:p>
    <w:p>
      <w:pPr>
        <w:pStyle w:val="TextBody"/>
        <w:spacing w:before="0" w:after="0"/>
        <w:ind w:left="0" w:right="0" w:firstLine="4320"/>
        <w:rPr/>
      </w:pPr>
      <w:r>
        <w:rPr/>
        <w:t>Chief Executive Officer</w:t>
      </w:r>
    </w:p>
    <w:p>
      <w:pPr>
        <w:pStyle w:val="TextBody"/>
        <w:spacing w:before="0" w:after="0"/>
        <w:ind w:left="0" w:right="0" w:hanging="0"/>
        <w:rPr/>
      </w:pPr>
      <w:r>
        <w:rPr/>
      </w:r>
    </w:p>
    <w:p>
      <w:pPr>
        <w:pStyle w:val="TextBody"/>
        <w:spacing w:before="0" w:after="0"/>
        <w:ind w:left="0" w:right="0" w:hanging="0"/>
        <w:rPr/>
      </w:pPr>
      <w:r>
        <w:rPr/>
        <w:t>IMPRIMIS PHARMACEUTICALS, INC.</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30"/>
        <w:rPr>
          <w:i/>
          <w:u w:val="single"/>
        </w:rPr>
      </w:pPr>
      <w:r>
        <w:rPr>
          <w:i/>
          <w:u w:val="single"/>
        </w:rPr>
        <w:t>/s/ Jeff Abrams                               </w:t>
      </w:r>
      <w:r>
        <mc:AlternateContent>
          <mc:Choice Requires="wps">
            <w:drawing>
              <wp:anchor behindDoc="0" distT="0" distB="0" distL="0" distR="0" simplePos="0" locked="0" layoutInCell="1" allowOverlap="1" relativeHeight="245">
                <wp:simplePos x="0" y="0"/>
                <wp:positionH relativeFrom="column">
                  <wp:align>left</wp:align>
                </wp:positionH>
                <wp:positionV relativeFrom="line">
                  <wp:posOffset>635</wp:posOffset>
                </wp:positionV>
                <wp:extent cx="2743200" cy="175260"/>
                <wp:effectExtent l="0" t="0" r="0" b="0"/>
                <wp:wrapSquare wrapText="largest"/>
                <wp:docPr id="244" name="Frame244"/>
                <a:graphic xmlns:a="http://schemas.openxmlformats.org/drawingml/2006/main">
                  <a:graphicData uri="http://schemas.microsoft.com/office/word/2010/wordprocessingShape">
                    <wps:wsp>
                      <wps:cNvSpPr txBox="1"/>
                      <wps:spPr>
                        <a:xfrm>
                          <a:off x="0" y="0"/>
                          <a:ext cx="2743200" cy="175260"/>
                        </a:xfrm>
                        <a:prstGeom prst="rect"/>
                      </wps:spPr>
                      <wps:txbx>
                        <w:txbxContent>
                          <w:p>
                            <w:pPr>
                              <w:pStyle w:val="TextBody"/>
                              <w:spacing w:before="0" w:after="283"/>
                              <w:rPr/>
                            </w:pPr>
                            <w:r>
                              <w:rPr/>
                              <w:t>By:</w:t>
                            </w:r>
                          </w:p>
                        </w:txbxContent>
                      </wps:txbx>
                      <wps:bodyPr anchor="t" lIns="0" tIns="0" rIns="0" bIns="0">
                        <a:noAutofit/>
                      </wps:bodyPr>
                    </wps:wsp>
                  </a:graphicData>
                </a:graphic>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By:</w:t>
                      </w:r>
                    </w:p>
                  </w:txbxContent>
                </v:textbox>
                <w10:wrap type="square" side="right"/>
              </v:rect>
            </w:pict>
          </mc:Fallback>
        </mc:AlternateContent>
      </w:r>
    </w:p>
    <w:p>
      <w:pPr>
        <w:pStyle w:val="TextBody"/>
        <w:spacing w:before="0" w:after="0"/>
        <w:ind w:left="0" w:right="0" w:firstLine="4320"/>
        <w:rPr/>
      </w:pPr>
      <w:r>
        <w:rPr/>
        <w:t>Dr. Jeff Abrams</w:t>
      </w:r>
    </w:p>
    <w:p>
      <w:pPr>
        <w:pStyle w:val="TextBody"/>
        <w:spacing w:before="0" w:after="0"/>
        <w:ind w:left="0" w:right="0" w:firstLine="4320"/>
        <w:rPr/>
      </w:pPr>
      <w:r>
        <w:rPr/>
        <w:t>Independent Member of the Board of Directors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t>ADVISOR (CONSULTANT)</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30"/>
        <w:rPr>
          <w:i/>
          <w:u w:val="single"/>
        </w:rPr>
      </w:pPr>
      <w:r>
        <w:rPr>
          <w:i/>
          <w:u w:val="single"/>
        </w:rPr>
        <w:t>/s/ Robert Kammer                         </w:t>
      </w:r>
      <w:r>
        <mc:AlternateContent>
          <mc:Choice Requires="wps">
            <w:drawing>
              <wp:anchor behindDoc="0" distT="0" distB="0" distL="0" distR="0" simplePos="0" locked="0" layoutInCell="1" allowOverlap="1" relativeHeight="246">
                <wp:simplePos x="0" y="0"/>
                <wp:positionH relativeFrom="column">
                  <wp:align>left</wp:align>
                </wp:positionH>
                <wp:positionV relativeFrom="line">
                  <wp:posOffset>635</wp:posOffset>
                </wp:positionV>
                <wp:extent cx="2743200" cy="175260"/>
                <wp:effectExtent l="0" t="0" r="0" b="0"/>
                <wp:wrapSquare wrapText="largest"/>
                <wp:docPr id="245" name="Frame245"/>
                <a:graphic xmlns:a="http://schemas.openxmlformats.org/drawingml/2006/main">
                  <a:graphicData uri="http://schemas.microsoft.com/office/word/2010/wordprocessingShape">
                    <wps:wsp>
                      <wps:cNvSpPr txBox="1"/>
                      <wps:spPr>
                        <a:xfrm>
                          <a:off x="0" y="0"/>
                          <a:ext cx="2743200" cy="175260"/>
                        </a:xfrm>
                        <a:prstGeom prst="rect"/>
                      </wps:spPr>
                      <wps:txbx>
                        <w:txbxContent>
                          <w:p>
                            <w:pPr>
                              <w:pStyle w:val="TextBody"/>
                              <w:spacing w:before="0" w:after="283"/>
                              <w:rPr/>
                            </w:pPr>
                            <w:r>
                              <w:rPr/>
                              <w:t>By:</w:t>
                            </w:r>
                          </w:p>
                        </w:txbxContent>
                      </wps:txbx>
                      <wps:bodyPr anchor="t" lIns="0" tIns="0" rIns="0" bIns="0">
                        <a:noAutofit/>
                      </wps:bodyPr>
                    </wps:wsp>
                  </a:graphicData>
                </a:graphic>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By:</w:t>
                      </w:r>
                    </w:p>
                  </w:txbxContent>
                </v:textbox>
                <w10:wrap type="square" side="right"/>
              </v:rect>
            </w:pict>
          </mc:Fallback>
        </mc:AlternateContent>
      </w:r>
    </w:p>
    <w:p>
      <w:pPr>
        <w:pStyle w:val="TextBody"/>
        <w:spacing w:before="0" w:after="0"/>
        <w:ind w:left="0" w:right="0" w:firstLine="4320"/>
        <w:rPr/>
      </w:pPr>
      <w:r>
        <w:rPr/>
        <w:t>Dr. Robert Kammer</w:t>
      </w:r>
    </w:p>
    <w:p>
      <w:pPr>
        <w:pStyle w:val="TextBody"/>
        <w:spacing w:before="0" w:after="0"/>
        <w:ind w:left="0" w:right="0" w:hanging="0"/>
        <w:jc w:val="center"/>
        <w:rPr/>
      </w:pPr>
      <w:r>
        <w:rPr/>
      </w:r>
    </w:p>
    <w:p>
      <w:pPr>
        <w:pStyle w:val="TextBody"/>
        <w:spacing w:before="0" w:after="0"/>
        <w:ind w:left="0" w:right="0" w:hanging="0"/>
        <w:rPr/>
      </w:pPr>
      <w:r>
        <w:rPr/>
      </w:r>
    </w:p>
    <w:p>
      <w:pPr>
        <w:pStyle w:val="TextBody"/>
        <w:spacing w:before="0" w:after="0"/>
        <w:ind w:left="0" w:right="0" w:hanging="0"/>
        <w:jc w:val="both"/>
        <w:rPr>
          <w:sz w:val="13"/>
        </w:rPr>
      </w:pPr>
      <w:r>
        <w:rPr>
          <w:sz w:val="13"/>
        </w:rPr>
        <w:t>Consulting Agreement</w:t>
      </w:r>
    </w:p>
    <w:p>
      <w:pPr>
        <w:pStyle w:val="TextBody"/>
        <w:spacing w:before="0" w:after="0"/>
        <w:ind w:left="0" w:right="0" w:hanging="0"/>
        <w:jc w:val="both"/>
        <w:rPr>
          <w:sz w:val="13"/>
        </w:rPr>
      </w:pPr>
      <w:r>
        <w:rPr>
          <w:sz w:val="13"/>
        </w:rPr>
        <w:t>Dr. Robert Kammer</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right"/>
        <w:rPr/>
      </w:pPr>
      <w:r>
        <w:rPr/>
        <w:t>Page 8 of 10</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u w:val="single"/>
        </w:rPr>
      </w:pPr>
      <w:r>
        <w:rPr>
          <w:u w:val="single"/>
        </w:rPr>
        <w:t>EXHIBIT A</w:t>
      </w:r>
    </w:p>
    <w:p>
      <w:pPr>
        <w:pStyle w:val="TextBody"/>
        <w:spacing w:before="0" w:after="0"/>
        <w:ind w:left="0" w:right="0" w:hanging="0"/>
        <w:jc w:val="center"/>
        <w:rPr/>
      </w:pPr>
      <w:r>
        <w:rPr/>
      </w:r>
    </w:p>
    <w:p>
      <w:pPr>
        <w:pStyle w:val="TextBody"/>
        <w:spacing w:before="0" w:after="0"/>
        <w:ind w:left="0" w:right="0" w:hanging="0"/>
        <w:jc w:val="center"/>
        <w:rPr/>
      </w:pPr>
      <w:r>
        <w:rPr/>
        <w:t>ADVISORS SERVICES</w:t>
      </w:r>
    </w:p>
    <w:p>
      <w:pPr>
        <w:pStyle w:val="TextBody"/>
        <w:spacing w:before="0" w:after="0"/>
        <w:ind w:left="0" w:right="0" w:hanging="0"/>
        <w:rPr/>
      </w:pPr>
      <w:r>
        <w:rPr/>
      </w:r>
    </w:p>
    <w:p>
      <w:pPr>
        <w:pStyle w:val="TextBody"/>
        <w:spacing w:before="0" w:after="0"/>
        <w:ind w:left="0" w:right="0" w:firstLine="360"/>
        <w:rPr/>
      </w:pPr>
      <w:r>
        <w:rPr/>
        <w:t>·</w:t>
      </w:r>
    </w:p>
    <w:p>
      <w:pPr>
        <w:pStyle w:val="TextBody"/>
        <w:spacing w:before="0" w:after="0"/>
        <w:ind w:left="0" w:right="0" w:hanging="30"/>
        <w:rPr/>
      </w:pPr>
      <w:r>
        <w:rPr/>
        <w:t>Provide management and advice to the Company regarding the operations of the registration clinical trials including start-up and on-going clinical operational and development activities</w:t>
      </w:r>
      <w:r>
        <mc:AlternateContent>
          <mc:Choice Requires="wps">
            <w:drawing>
              <wp:anchor behindDoc="0" distT="0" distB="0" distL="0" distR="0" simplePos="0" locked="0" layoutInCell="1" allowOverlap="1" relativeHeight="247">
                <wp:simplePos x="0" y="0"/>
                <wp:positionH relativeFrom="column">
                  <wp:align>left</wp:align>
                </wp:positionH>
                <wp:positionV relativeFrom="line">
                  <wp:posOffset>635</wp:posOffset>
                </wp:positionV>
                <wp:extent cx="457200" cy="138430"/>
                <wp:effectExtent l="0" t="0" r="0" b="0"/>
                <wp:wrapSquare wrapText="largest"/>
                <wp:docPr id="246" name="Frame246"/>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30"/>
        <w:rPr/>
      </w:pPr>
      <w:r>
        <w:rPr/>
        <w:t>Provide advice and management to the Company regarding manufacturing and quality control of the clinical and commercial supplies</w:t>
      </w:r>
      <w:r>
        <mc:AlternateContent>
          <mc:Choice Requires="wps">
            <w:drawing>
              <wp:anchor behindDoc="0" distT="0" distB="0" distL="0" distR="0" simplePos="0" locked="0" layoutInCell="1" allowOverlap="1" relativeHeight="248">
                <wp:simplePos x="0" y="0"/>
                <wp:positionH relativeFrom="column">
                  <wp:align>left</wp:align>
                </wp:positionH>
                <wp:positionV relativeFrom="line">
                  <wp:posOffset>635</wp:posOffset>
                </wp:positionV>
                <wp:extent cx="457200" cy="138430"/>
                <wp:effectExtent l="0" t="0" r="0" b="0"/>
                <wp:wrapSquare wrapText="largest"/>
                <wp:docPr id="247" name="Frame247"/>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30"/>
        <w:rPr/>
      </w:pPr>
      <w:r>
        <w:rPr/>
        <w:t>Provide advice and management expertise to the Company regarding project management and operational issues related to the Field of Interest</w:t>
      </w:r>
      <w:r>
        <mc:AlternateContent>
          <mc:Choice Requires="wps">
            <w:drawing>
              <wp:anchor behindDoc="0" distT="0" distB="0" distL="0" distR="0" simplePos="0" locked="0" layoutInCell="1" allowOverlap="1" relativeHeight="249">
                <wp:simplePos x="0" y="0"/>
                <wp:positionH relativeFrom="column">
                  <wp:align>left</wp:align>
                </wp:positionH>
                <wp:positionV relativeFrom="line">
                  <wp:posOffset>635</wp:posOffset>
                </wp:positionV>
                <wp:extent cx="457200" cy="138430"/>
                <wp:effectExtent l="0" t="0" r="0" b="0"/>
                <wp:wrapSquare wrapText="largest"/>
                <wp:docPr id="248" name="Frame248"/>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30"/>
        <w:rPr/>
      </w:pPr>
      <w:r>
        <w:rPr/>
        <w:t>Provide advice and input to fund raising activities of the Company, including appropriate reviews of fund-raising materials and participating in selected fund raising discussions whenever feasible</w:t>
      </w:r>
      <w:r>
        <mc:AlternateContent>
          <mc:Choice Requires="wps">
            <w:drawing>
              <wp:anchor behindDoc="0" distT="0" distB="0" distL="0" distR="0" simplePos="0" locked="0" layoutInCell="1" allowOverlap="1" relativeHeight="250">
                <wp:simplePos x="0" y="0"/>
                <wp:positionH relativeFrom="column">
                  <wp:align>left</wp:align>
                </wp:positionH>
                <wp:positionV relativeFrom="line">
                  <wp:posOffset>635</wp:posOffset>
                </wp:positionV>
                <wp:extent cx="457200" cy="138430"/>
                <wp:effectExtent l="0" t="0" r="0" b="0"/>
                <wp:wrapSquare wrapText="largest"/>
                <wp:docPr id="249" name="Frame249"/>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30"/>
        <w:rPr/>
      </w:pPr>
      <w:r>
        <w:rPr/>
        <w:t>Assist in the identification of new drug delivery technologies that may be available for acquisition or license</w:t>
      </w:r>
      <w:r>
        <mc:AlternateContent>
          <mc:Choice Requires="wps">
            <w:drawing>
              <wp:anchor behindDoc="0" distT="0" distB="0" distL="0" distR="0" simplePos="0" locked="0" layoutInCell="1" allowOverlap="1" relativeHeight="251">
                <wp:simplePos x="0" y="0"/>
                <wp:positionH relativeFrom="column">
                  <wp:align>left</wp:align>
                </wp:positionH>
                <wp:positionV relativeFrom="line">
                  <wp:posOffset>635</wp:posOffset>
                </wp:positionV>
                <wp:extent cx="457200" cy="138430"/>
                <wp:effectExtent l="0" t="0" r="0" b="0"/>
                <wp:wrapSquare wrapText="largest"/>
                <wp:docPr id="250" name="Frame250"/>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30"/>
        <w:rPr/>
      </w:pPr>
      <w:r>
        <w:rPr/>
        <w:t>Provide advice as to the feasibility of the Company business goals and develop strategies to achieve the same business goals</w:t>
      </w:r>
      <w:r>
        <mc:AlternateContent>
          <mc:Choice Requires="wps">
            <w:drawing>
              <wp:anchor behindDoc="0" distT="0" distB="0" distL="0" distR="0" simplePos="0" locked="0" layoutInCell="1" allowOverlap="1" relativeHeight="252">
                <wp:simplePos x="0" y="0"/>
                <wp:positionH relativeFrom="column">
                  <wp:align>left</wp:align>
                </wp:positionH>
                <wp:positionV relativeFrom="line">
                  <wp:posOffset>635</wp:posOffset>
                </wp:positionV>
                <wp:extent cx="457200" cy="138430"/>
                <wp:effectExtent l="0" t="0" r="0" b="0"/>
                <wp:wrapSquare wrapText="largest"/>
                <wp:docPr id="251" name="Frame251"/>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30"/>
        <w:rPr/>
      </w:pPr>
      <w:r>
        <w:rPr/>
        <w:t>Assist in the development of the Companys intellectual property  </w:t>
      </w:r>
      <w:r>
        <mc:AlternateContent>
          <mc:Choice Requires="wps">
            <w:drawing>
              <wp:anchor behindDoc="0" distT="0" distB="0" distL="0" distR="0" simplePos="0" locked="0" layoutInCell="1" allowOverlap="1" relativeHeight="253">
                <wp:simplePos x="0" y="0"/>
                <wp:positionH relativeFrom="column">
                  <wp:align>left</wp:align>
                </wp:positionH>
                <wp:positionV relativeFrom="line">
                  <wp:posOffset>635</wp:posOffset>
                </wp:positionV>
                <wp:extent cx="457200" cy="138430"/>
                <wp:effectExtent l="0" t="0" r="0" b="0"/>
                <wp:wrapSquare wrapText="largest"/>
                <wp:docPr id="252" name="Frame252"/>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both"/>
        <w:rPr>
          <w:sz w:val="13"/>
        </w:rPr>
      </w:pPr>
      <w:r>
        <w:rPr>
          <w:sz w:val="13"/>
        </w:rPr>
        <w:t>Consulting Agreement</w:t>
      </w:r>
    </w:p>
    <w:p>
      <w:pPr>
        <w:pStyle w:val="TextBody"/>
        <w:spacing w:before="0" w:after="0"/>
        <w:ind w:left="0" w:right="0" w:hanging="0"/>
        <w:jc w:val="both"/>
        <w:rPr>
          <w:sz w:val="13"/>
        </w:rPr>
      </w:pPr>
      <w:r>
        <w:rPr>
          <w:sz w:val="13"/>
        </w:rPr>
        <w:t>Dr. Robert Kammer</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right"/>
        <w:rPr/>
      </w:pPr>
      <w:r>
        <w:rPr/>
        <w:t>Page 9 of 10</w:t>
      </w:r>
    </w:p>
    <w:p>
      <w:pPr>
        <w:pStyle w:val="TextBody"/>
        <w:spacing w:before="0" w:after="0"/>
        <w:ind w:left="0" w:right="0" w:hanging="0"/>
        <w:rPr/>
      </w:pPr>
      <w:r>
        <w:rPr/>
      </w:r>
    </w:p>
    <w:p>
      <w:pPr>
        <w:pStyle w:val="TextBody"/>
        <w:spacing w:before="0" w:after="0"/>
        <w:ind w:left="0" w:right="0" w:hanging="0"/>
        <w:jc w:val="center"/>
        <w:rPr>
          <w:u w:val="single"/>
        </w:rPr>
      </w:pPr>
      <w:r>
        <w:rPr>
          <w:u w:val="single"/>
        </w:rPr>
        <w:t>EXHIBIT B</w:t>
      </w:r>
    </w:p>
    <w:p>
      <w:pPr>
        <w:pStyle w:val="TextBody"/>
        <w:spacing w:before="0" w:after="0"/>
        <w:ind w:left="0" w:right="0" w:hanging="0"/>
        <w:jc w:val="center"/>
        <w:rPr/>
      </w:pPr>
      <w:r>
        <w:rPr/>
        <w:t>COMPENSATION</w:t>
      </w:r>
    </w:p>
    <w:p>
      <w:pPr>
        <w:pStyle w:val="TextBody"/>
        <w:spacing w:before="0" w:after="0"/>
        <w:ind w:left="0" w:right="0" w:hanging="0"/>
        <w:rPr/>
      </w:pPr>
      <w:r>
        <w:rPr/>
      </w:r>
    </w:p>
    <w:p>
      <w:pPr>
        <w:pStyle w:val="TextBody"/>
        <w:spacing w:before="0" w:after="0"/>
        <w:ind w:left="0" w:right="0" w:hanging="0"/>
        <w:jc w:val="both"/>
        <w:rPr/>
      </w:pPr>
      <w:r>
        <w:rPr/>
        <w:t>The Company agrees to pay Consultant, prior to the Termination of this Agreement, ten thousand dollars ($10,000) per month; provided however, until the Company completes a equity or debt financing yielding not less than $15,000,000 to the Company (a Qualified Transaction), said monthly payment shall be made in the form of Company common stock based on $.90 price per share allocated to each dollar of payment due to Consultant.  Subsequent to a Qualified Transaction, Consultant may unilaterally choose to be paid in either (i) cash or (ii) equity, based on the same $.90 price per share.     </w:t>
      </w:r>
    </w:p>
    <w:p>
      <w:pPr>
        <w:pStyle w:val="TextBody"/>
        <w:spacing w:before="0" w:after="0"/>
        <w:ind w:left="0" w:right="0" w:hanging="0"/>
        <w:rPr/>
      </w:pPr>
      <w:r>
        <w:rPr/>
      </w:r>
    </w:p>
    <w:p>
      <w:pPr>
        <w:pStyle w:val="TextBody"/>
        <w:spacing w:before="0" w:after="0"/>
        <w:ind w:left="0" w:right="0" w:hanging="0"/>
        <w:jc w:val="center"/>
        <w:rPr/>
      </w:pPr>
      <w:r>
        <w:rPr/>
      </w:r>
    </w:p>
    <w:p>
      <w:pPr>
        <w:pStyle w:val="TextBody"/>
        <w:spacing w:before="0" w:after="0"/>
        <w:ind w:left="0" w:right="0" w:hanging="0"/>
        <w:jc w:val="both"/>
        <w:rPr>
          <w:sz w:val="13"/>
        </w:rPr>
      </w:pPr>
      <w:r>
        <w:rPr>
          <w:sz w:val="13"/>
        </w:rPr>
        <w:t>Consulting Agreement</w:t>
      </w:r>
    </w:p>
    <w:p>
      <w:pPr>
        <w:pStyle w:val="TextBody"/>
        <w:spacing w:before="0" w:after="0"/>
        <w:ind w:left="0" w:right="0" w:hanging="0"/>
        <w:jc w:val="both"/>
        <w:rPr>
          <w:sz w:val="13"/>
        </w:rPr>
      </w:pPr>
      <w:r>
        <w:rPr>
          <w:sz w:val="13"/>
        </w:rPr>
        <w:t>Dr. Robert Kammer</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right"/>
        <w:rPr/>
      </w:pPr>
      <w:r>
        <w:rPr/>
        <w:t>Page 10 of 10</w:t>
      </w:r>
    </w:p>
    <w:p>
      <w:pPr>
        <w:pStyle w:val="TextBody"/>
        <w:spacing w:before="0" w:after="0"/>
        <w:ind w:left="0" w:right="0" w:hanging="0"/>
        <w:rPr/>
      </w:pPr>
      <w:r>
        <w:rPr/>
      </w:r>
    </w:p>
    <w:p>
      <w:pPr>
        <w:pStyle w:val="TextBody"/>
        <w:spacing w:before="0" w:after="0"/>
        <w:ind w:left="0" w:right="0" w:hanging="0"/>
        <w:jc w:val="center"/>
        <w:rPr>
          <w:u w:val="single"/>
        </w:rPr>
      </w:pPr>
      <w:r>
        <w:rPr>
          <w:u w:val="single"/>
        </w:rPr>
        <w:t>EXHIBIT C</w:t>
      </w:r>
    </w:p>
    <w:p>
      <w:pPr>
        <w:pStyle w:val="TextBody"/>
        <w:spacing w:before="0" w:after="0"/>
        <w:ind w:left="0" w:right="0" w:hanging="0"/>
        <w:jc w:val="center"/>
        <w:rPr/>
      </w:pPr>
      <w:r>
        <w:rPr/>
      </w:r>
    </w:p>
    <w:p>
      <w:pPr>
        <w:pStyle w:val="TextBody"/>
        <w:spacing w:before="0" w:after="0"/>
        <w:ind w:left="0" w:right="0" w:hanging="0"/>
        <w:jc w:val="center"/>
        <w:rPr/>
      </w:pPr>
      <w:r>
        <w:rPr/>
        <w:t>OPTION AGREEMENT</w:t>
      </w:r>
    </w:p>
    <w:p>
      <w:pPr>
        <w:pStyle w:val="TextBody"/>
        <w:spacing w:before="0" w:after="0"/>
        <w:ind w:left="0" w:right="0" w:hanging="0"/>
        <w:jc w:val="center"/>
        <w:rPr/>
      </w:pPr>
      <w:r>
        <w:rPr/>
      </w:r>
    </w:p>
    <w:p>
      <w:pPr>
        <w:pStyle w:val="TextBody"/>
        <w:spacing w:before="0" w:after="0"/>
        <w:ind w:left="0" w:right="0" w:hanging="0"/>
        <w:jc w:val="center"/>
        <w:rPr/>
      </w:pPr>
      <w:r>
        <w:rPr/>
        <w:t>(attached after this page)</w:t>
      </w:r>
    </w:p>
    <w:p>
      <w:pPr>
        <w:pStyle w:val="TextBody"/>
        <w:spacing w:before="0" w:after="0"/>
        <w:ind w:left="0" w:right="0" w:hanging="0"/>
        <w:jc w:val="center"/>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sz w:val="13"/>
        </w:rPr>
      </w:pPr>
      <w:r>
        <w:rPr>
          <w:sz w:val="13"/>
        </w:rPr>
        <w:t>Consulting Agreement</w:t>
      </w:r>
    </w:p>
    <w:p>
      <w:pPr>
        <w:pStyle w:val="TextBody"/>
        <w:spacing w:before="0" w:after="0"/>
        <w:ind w:left="0" w:right="0" w:hanging="0"/>
        <w:jc w:val="both"/>
        <w:rPr>
          <w:sz w:val="13"/>
        </w:rPr>
      </w:pPr>
      <w:r>
        <w:rPr>
          <w:sz w:val="13"/>
        </w:rPr>
        <w:t>Dr. Robert Kammer</w:t>
      </w:r>
    </w:p>
    <w:p>
      <w:pPr>
        <w:pStyle w:val="TextBody"/>
        <w:spacing w:before="0" w:after="0"/>
        <w:ind w:left="0" w:right="0" w:hanging="0"/>
        <w:rPr/>
      </w:pPr>
      <w:r>
        <w:rPr/>
      </w:r>
      <w:r>
        <w:br w:type="page"/>
      </w:r>
    </w:p>
    <w:p>
      <w:pPr>
        <w:pStyle w:val="TextBody"/>
        <w:spacing w:before="0" w:after="0"/>
        <w:ind w:left="0" w:right="0" w:hanging="0"/>
        <w:jc w:val="center"/>
        <w:rPr>
          <w:b/>
        </w:rPr>
      </w:pPr>
      <w:bookmarkStart w:id="25" w:name="f8k042712_ex10z5.htm"/>
      <w:bookmarkStart w:id="26" w:name="ksf8k042712_ex10z5"/>
      <w:bookmarkEnd w:id="25"/>
      <w:bookmarkEnd w:id="26"/>
      <w:r>
        <w:rPr>
          <w:b/>
        </w:rPr>
        <w:commentReference w:id="4"/>
      </w:r>
      <w:r>
        <w:rPr>
          <w:b/>
        </w:rPr>
        <w:t>Exhibit 10.5</w:t>
      </w:r>
    </w:p>
    <w:p>
      <w:pPr>
        <w:pStyle w:val="TextBody"/>
        <w:spacing w:before="0" w:after="0"/>
        <w:ind w:left="0" w:right="0" w:hanging="0"/>
        <w:jc w:val="center"/>
        <w:rPr/>
      </w:pPr>
      <w:r>
        <w:rPr/>
      </w:r>
    </w:p>
    <w:p>
      <w:pPr>
        <w:pStyle w:val="TextBody"/>
        <w:spacing w:before="0" w:after="0"/>
        <w:ind w:left="0" w:right="0" w:hanging="0"/>
        <w:jc w:val="center"/>
        <w:rPr>
          <w:b/>
        </w:rPr>
      </w:pPr>
      <w:r>
        <w:rPr>
          <w:b/>
        </w:rPr>
        <w:t>IMPRIMIS PHARMACEUTICALS, INC.</w:t>
      </w:r>
    </w:p>
    <w:p>
      <w:pPr>
        <w:pStyle w:val="TextBody"/>
        <w:spacing w:before="0" w:after="0"/>
        <w:ind w:left="0" w:right="0" w:hanging="0"/>
        <w:jc w:val="center"/>
        <w:rPr/>
      </w:pPr>
      <w:r>
        <w:rPr/>
      </w:r>
    </w:p>
    <w:p>
      <w:pPr>
        <w:pStyle w:val="TextBody"/>
        <w:spacing w:before="0" w:after="0"/>
        <w:ind w:left="0" w:right="0" w:hanging="0"/>
        <w:jc w:val="center"/>
        <w:rPr>
          <w:b/>
        </w:rPr>
      </w:pPr>
      <w:r>
        <w:rPr>
          <w:b/>
        </w:rPr>
        <w:t>EMPLOYMENT AGREEMENT</w:t>
      </w:r>
    </w:p>
    <w:p>
      <w:pPr>
        <w:pStyle w:val="TextBody"/>
        <w:spacing w:before="0" w:after="0"/>
        <w:ind w:left="0" w:right="0" w:hanging="0"/>
        <w:rPr/>
      </w:pPr>
      <w:r>
        <w:rPr/>
      </w:r>
    </w:p>
    <w:p>
      <w:pPr>
        <w:pStyle w:val="TextBody"/>
        <w:spacing w:before="0" w:after="0"/>
        <w:ind w:left="0" w:right="0" w:firstLine="720"/>
        <w:jc w:val="both"/>
        <w:rPr/>
      </w:pPr>
      <w:r>
        <w:rPr/>
        <w:t>This EMPLOYMENT AGREEMENT (the Agreement) is made effective as of April 1, 2012 (the Effective Date), by and between Imprimis Pharmaceuticals, Inc., a Delaware corporation (the Company), and Mark L. Baum (Executive):</w:t>
      </w:r>
    </w:p>
    <w:p>
      <w:pPr>
        <w:pStyle w:val="TextBody"/>
        <w:spacing w:before="0" w:after="0"/>
        <w:ind w:left="0" w:right="0" w:hanging="0"/>
        <w:jc w:val="both"/>
        <w:rPr/>
      </w:pPr>
      <w:r>
        <w:rPr/>
      </w:r>
    </w:p>
    <w:p>
      <w:pPr>
        <w:pStyle w:val="TextBody"/>
        <w:spacing w:before="0" w:after="0"/>
        <w:ind w:left="0" w:right="0" w:firstLine="720"/>
        <w:jc w:val="both"/>
        <w:rPr/>
      </w:pPr>
      <w:r>
        <w:rPr/>
        <w:t xml:space="preserve">WHEREAS, The Company and the Executive desire to enter into this Agreement to provide for Executives employment by the Company, upon the terms and conditions set forth herein. </w:t>
      </w:r>
    </w:p>
    <w:p>
      <w:pPr>
        <w:pStyle w:val="TextBody"/>
        <w:spacing w:before="0" w:after="0"/>
        <w:ind w:left="0" w:right="0" w:hanging="0"/>
        <w:jc w:val="both"/>
        <w:rPr/>
      </w:pPr>
      <w:r>
        <w:rPr/>
      </w:r>
    </w:p>
    <w:p>
      <w:pPr>
        <w:pStyle w:val="TextBody"/>
        <w:spacing w:before="0" w:after="0"/>
        <w:ind w:left="0" w:right="0" w:hanging="0"/>
        <w:jc w:val="both"/>
        <w:rPr/>
      </w:pPr>
      <w:r>
        <w:rPr/>
        <w:t>The parties hereby agree as follows:</w:t>
      </w:r>
    </w:p>
    <w:p>
      <w:pPr>
        <w:pStyle w:val="TextBody"/>
        <w:spacing w:before="0" w:after="0"/>
        <w:ind w:left="0" w:right="0" w:hanging="0"/>
        <w:jc w:val="both"/>
        <w:rPr/>
      </w:pPr>
      <w:r>
        <w:rPr/>
      </w:r>
    </w:p>
    <w:p>
      <w:pPr>
        <w:pStyle w:val="TextBody"/>
        <w:spacing w:before="0" w:after="0"/>
        <w:ind w:left="0" w:right="0" w:hanging="30"/>
        <w:jc w:val="both"/>
        <w:rPr>
          <w:b/>
        </w:rPr>
      </w:pPr>
      <w:r>
        <w:rPr>
          <w:b/>
        </w:rPr>
        <w:t>Duties.</w:t>
      </w:r>
      <w:r>
        <mc:AlternateContent>
          <mc:Choice Requires="wps">
            <w:drawing>
              <wp:anchor behindDoc="0" distT="0" distB="0" distL="0" distR="0" simplePos="0" locked="0" layoutInCell="1" allowOverlap="1" relativeHeight="254">
                <wp:simplePos x="0" y="0"/>
                <wp:positionH relativeFrom="column">
                  <wp:align>left</wp:align>
                </wp:positionH>
                <wp:positionV relativeFrom="line">
                  <wp:posOffset>635</wp:posOffset>
                </wp:positionV>
                <wp:extent cx="914400" cy="175260"/>
                <wp:effectExtent l="0" t="0" r="0" b="0"/>
                <wp:wrapSquare wrapText="largest"/>
                <wp:docPr id="253" name="Frame253"/>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1.</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b/>
        </w:rPr>
        <w:t>Position</w:t>
      </w:r>
      <w:r>
        <w:rPr/>
        <w:t>.  Executive shall serve as the Companys Chief Executive Officer, and serve as a director on the Companys Board of Directors (the Board), and shall have the duties and responsibilities incident to such position and such other duties as may be determined in consultation with the Board. Executive shall perform faithfully, cooperatively and diligently all of his job duties and responsibilities and agrees to and shall devote his full time, attention and effort to the business of the Company and other assignments as directed by the Board.  The Executive will report directly to the Board.</w:t>
      </w:r>
      <w:r>
        <mc:AlternateContent>
          <mc:Choice Requires="wps">
            <w:drawing>
              <wp:anchor behindDoc="0" distT="0" distB="0" distL="0" distR="0" simplePos="0" locked="0" layoutInCell="1" allowOverlap="1" relativeHeight="255">
                <wp:simplePos x="0" y="0"/>
                <wp:positionH relativeFrom="column">
                  <wp:align>left</wp:align>
                </wp:positionH>
                <wp:positionV relativeFrom="line">
                  <wp:posOffset>635</wp:posOffset>
                </wp:positionV>
                <wp:extent cx="1371600" cy="175260"/>
                <wp:effectExtent l="0" t="0" r="0" b="0"/>
                <wp:wrapSquare wrapText="largest"/>
                <wp:docPr id="254" name="Frame254"/>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b/>
                              </w:rPr>
                            </w:pPr>
                            <w:r>
                              <w:rPr>
                                <w:b/>
                              </w:rPr>
                              <w:t>1.1</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1.1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b/>
        </w:rPr>
        <w:t>Best Efforts</w:t>
      </w:r>
      <w:r>
        <w:rPr/>
        <w:t>.  Executive will expend his best efforts on behalf of the Company in connection with his employment and will abide by all policies and decisions made by Board, as well as all applicable federal, state and local laws, regulations or ordinances.</w:t>
      </w:r>
      <w:r>
        <mc:AlternateContent>
          <mc:Choice Requires="wps">
            <w:drawing>
              <wp:anchor behindDoc="0" distT="0" distB="0" distL="0" distR="0" simplePos="0" locked="0" layoutInCell="1" allowOverlap="1" relativeHeight="256">
                <wp:simplePos x="0" y="0"/>
                <wp:positionH relativeFrom="column">
                  <wp:align>left</wp:align>
                </wp:positionH>
                <wp:positionV relativeFrom="line">
                  <wp:posOffset>635</wp:posOffset>
                </wp:positionV>
                <wp:extent cx="1371600" cy="175260"/>
                <wp:effectExtent l="0" t="0" r="0" b="0"/>
                <wp:wrapSquare wrapText="largest"/>
                <wp:docPr id="255" name="Frame255"/>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b/>
                              </w:rPr>
                            </w:pPr>
                            <w:r>
                              <w:rPr>
                                <w:b/>
                              </w:rPr>
                              <w:t>1.2</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1.2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b/>
        </w:rPr>
        <w:t>Start Date.  </w:t>
      </w:r>
      <w:r>
        <w:rPr/>
        <w:t>Executive agrees that he will report to work at the Companys headquarters on April 1, 2012 (the Start Date).  For purposes of clarity, the Start Date will be used to calculate Executives compensation and benefits pursuant to Sections 3 through 7 of this Agreement.  </w:t>
      </w:r>
      <w:r>
        <mc:AlternateContent>
          <mc:Choice Requires="wps">
            <w:drawing>
              <wp:anchor behindDoc="0" distT="0" distB="0" distL="0" distR="0" simplePos="0" locked="0" layoutInCell="1" allowOverlap="1" relativeHeight="257">
                <wp:simplePos x="0" y="0"/>
                <wp:positionH relativeFrom="column">
                  <wp:align>left</wp:align>
                </wp:positionH>
                <wp:positionV relativeFrom="line">
                  <wp:posOffset>635</wp:posOffset>
                </wp:positionV>
                <wp:extent cx="1371600" cy="175260"/>
                <wp:effectExtent l="0" t="0" r="0" b="0"/>
                <wp:wrapSquare wrapText="largest"/>
                <wp:docPr id="256" name="Frame256"/>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b/>
                              </w:rPr>
                            </w:pPr>
                            <w:r>
                              <w:rPr>
                                <w:b/>
                              </w:rPr>
                              <w:t>1.3</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1.3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b/>
        </w:rPr>
        <w:t>At-Will Employment</w:t>
      </w:r>
      <w:r>
        <w:rPr/>
        <w:t>.  Executives employment with the Company is not for a specific term and can be terminated by Executive or the Company at any time and for any reason, with or without cause or advanced notice.  The at-will nature of Executives employment described in this Agreement shall constitute the entire agreement between Executive and the Company concerning the nature and duration of Executives employment and the circumstance under which Executive or the Company may terminate the employment relationship.  No oral statement by any person can change the at-will nature of Executives employment with the Company.  If Executive shall cease serving as the Companys Chief Executive Officer, Executive agrees to simultaneously submit his resignation from the Board.  In addition, Executive agrees to continue to abide by the Companys Information and Inventions Agreement following his resignation or the termination of his employment with the Company.</w:t>
      </w:r>
      <w:r>
        <mc:AlternateContent>
          <mc:Choice Requires="wps">
            <w:drawing>
              <wp:anchor behindDoc="0" distT="0" distB="0" distL="0" distR="0" simplePos="0" locked="0" layoutInCell="1" allowOverlap="1" relativeHeight="258">
                <wp:simplePos x="0" y="0"/>
                <wp:positionH relativeFrom="column">
                  <wp:align>left</wp:align>
                </wp:positionH>
                <wp:positionV relativeFrom="line">
                  <wp:posOffset>635</wp:posOffset>
                </wp:positionV>
                <wp:extent cx="914400" cy="175260"/>
                <wp:effectExtent l="0" t="0" r="0" b="0"/>
                <wp:wrapSquare wrapText="largest"/>
                <wp:docPr id="257" name="Frame257"/>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2.</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b/>
        </w:rPr>
      </w:pPr>
      <w:r>
        <w:rPr>
          <w:b/>
        </w:rPr>
        <w:t xml:space="preserve">Compensation. </w:t>
      </w:r>
      <w:r>
        <mc:AlternateContent>
          <mc:Choice Requires="wps">
            <w:drawing>
              <wp:anchor behindDoc="0" distT="0" distB="0" distL="0" distR="0" simplePos="0" locked="0" layoutInCell="1" allowOverlap="1" relativeHeight="259">
                <wp:simplePos x="0" y="0"/>
                <wp:positionH relativeFrom="column">
                  <wp:align>left</wp:align>
                </wp:positionH>
                <wp:positionV relativeFrom="line">
                  <wp:posOffset>635</wp:posOffset>
                </wp:positionV>
                <wp:extent cx="914400" cy="175260"/>
                <wp:effectExtent l="0" t="0" r="0" b="0"/>
                <wp:wrapSquare wrapText="largest"/>
                <wp:docPr id="258" name="Frame258"/>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3.</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b/>
        </w:rPr>
        <w:t>Annual Base Salary</w:t>
      </w:r>
      <w:r>
        <w:rPr/>
        <w:t xml:space="preserve">. As compensation for Executives performance of his duties hereunder, the Company shall pay to Executive an initial base annual salary of Two Hundred Thousand and Four Hundred Dollars ($200,400), starting on the Start Date (Annual Base Salary), payable in accordance with the normal payroll practices of Company, less required deductions for state and federal withholding tax, social security and all other employment taxes and payroll deductions. </w:t>
      </w:r>
      <w:r>
        <mc:AlternateContent>
          <mc:Choice Requires="wps">
            <w:drawing>
              <wp:anchor behindDoc="0" distT="0" distB="0" distL="0" distR="0" simplePos="0" locked="0" layoutInCell="1" allowOverlap="1" relativeHeight="260">
                <wp:simplePos x="0" y="0"/>
                <wp:positionH relativeFrom="column">
                  <wp:align>left</wp:align>
                </wp:positionH>
                <wp:positionV relativeFrom="line">
                  <wp:posOffset>635</wp:posOffset>
                </wp:positionV>
                <wp:extent cx="1371600" cy="175260"/>
                <wp:effectExtent l="0" t="0" r="0" b="0"/>
                <wp:wrapSquare wrapText="largest"/>
                <wp:docPr id="259" name="Frame259"/>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b/>
                              </w:rPr>
                            </w:pPr>
                            <w:r>
                              <w:rPr>
                                <w:b/>
                              </w:rPr>
                              <w:t>3.1</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3.1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b/>
        </w:rPr>
        <w:t>Annual Bonus.  </w:t>
      </w:r>
      <w:r>
        <w:rPr/>
        <w:t>The Executive shall be eligible at the sole discretion of the Board to receive an annual cash bonus in an amount up to 30% of his Annual Base Salary (the Annual Bonus) beginning in fiscal 2013.  The actual amount of the Annual Bonus will be determined by the Board based on Executives achieving Company and personal goals established and mutually agreed upon between the Executive and the Board of Directors.  Both the goals for the Company and the Executive shall be agreed to by Executive and the Board of Directors as follows:  (i) for the remainder of fiscal year 2012; and (ii) for fiscal year 2013, on or before January 31, 2013; and (iii) for each fiscal year thereafter, on or before January 31 for that particular year.  In addition, the Board of Directors and the Executive hereby agree that the objectives for the other officers or employees will be determined on the same dates as set forth above. If awarded, the Annual Bonus will be paid on or before March 15 of the year following the year in which the Annual Bonus was earned.   </w:t>
      </w:r>
      <w:r>
        <mc:AlternateContent>
          <mc:Choice Requires="wps">
            <w:drawing>
              <wp:anchor behindDoc="0" distT="0" distB="0" distL="0" distR="0" simplePos="0" locked="0" layoutInCell="1" allowOverlap="1" relativeHeight="261">
                <wp:simplePos x="0" y="0"/>
                <wp:positionH relativeFrom="column">
                  <wp:align>left</wp:align>
                </wp:positionH>
                <wp:positionV relativeFrom="line">
                  <wp:posOffset>635</wp:posOffset>
                </wp:positionV>
                <wp:extent cx="1371600" cy="175260"/>
                <wp:effectExtent l="0" t="0" r="0" b="0"/>
                <wp:wrapSquare wrapText="largest"/>
                <wp:docPr id="260" name="Frame260"/>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b/>
                              </w:rPr>
                            </w:pPr>
                            <w:r>
                              <w:rPr>
                                <w:b/>
                              </w:rPr>
                              <w:t>3.2</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3.2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b/>
        </w:rPr>
        <w:t>Annual Review of Base Salary</w:t>
      </w:r>
      <w:r>
        <w:rPr/>
        <w:t xml:space="preserve">.  The Board of the Directors shall review the Executives performance prior to each anniversary of this Agreement; and on or prior to each anniversary of this Agreement, the Board shall provide Executive with notification of the range of increase in the Executives Base Salary, which shall be not less than 15% in any case for a given subsequent annual period. </w:t>
      </w:r>
      <w:r>
        <mc:AlternateContent>
          <mc:Choice Requires="wps">
            <w:drawing>
              <wp:anchor behindDoc="0" distT="0" distB="0" distL="0" distR="0" simplePos="0" locked="0" layoutInCell="1" allowOverlap="1" relativeHeight="262">
                <wp:simplePos x="0" y="0"/>
                <wp:positionH relativeFrom="column">
                  <wp:align>left</wp:align>
                </wp:positionH>
                <wp:positionV relativeFrom="line">
                  <wp:posOffset>635</wp:posOffset>
                </wp:positionV>
                <wp:extent cx="1371600" cy="175260"/>
                <wp:effectExtent l="0" t="0" r="0" b="0"/>
                <wp:wrapSquare wrapText="largest"/>
                <wp:docPr id="261" name="Frame261"/>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b/>
                              </w:rPr>
                            </w:pPr>
                            <w:r>
                              <w:rPr>
                                <w:b/>
                              </w:rPr>
                              <w:t>3.3</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3.3</w:t>
                      </w:r>
                    </w:p>
                  </w:txbxContent>
                </v:textbox>
                <w10:wrap type="square" side="right"/>
              </v:rect>
            </w:pict>
          </mc:Fallback>
        </mc:AlternateConten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30"/>
        <w:jc w:val="both"/>
        <w:rPr/>
      </w:pPr>
      <w:r>
        <w:rPr>
          <w:b/>
        </w:rPr>
        <w:t>Equity Grants</w:t>
      </w:r>
      <w:r>
        <w:rPr/>
        <w:t>. Subject to approval of the Board of Directors, the Executive shall be eligible to receive a stock option grant for 300,000 shares of common stock in accordance with Imprimiss 2007 Incentive Stock and Awards Plan.  For these initial grants of stock options and restricted common stock, they will vest as follows: 25% of the option shares shall vest immediately upon the Start Date, with the balance of the option shares vesting in equal monthly installments over the next 24 months beginning 30 days after the Start Date.  The exercise price of the stock option will $.90 per share. The vesting of all options will fully accelerate upon an Involuntary Termination of Executives employment within twelve months following a Change of Control (as such terms are defined in Executives Option Agreement).</w:t>
      </w:r>
      <w:r>
        <mc:AlternateContent>
          <mc:Choice Requires="wps">
            <w:drawing>
              <wp:anchor behindDoc="0" distT="0" distB="0" distL="0" distR="0" simplePos="0" locked="0" layoutInCell="1" allowOverlap="1" relativeHeight="263">
                <wp:simplePos x="0" y="0"/>
                <wp:positionH relativeFrom="column">
                  <wp:align>left</wp:align>
                </wp:positionH>
                <wp:positionV relativeFrom="line">
                  <wp:posOffset>635</wp:posOffset>
                </wp:positionV>
                <wp:extent cx="1371600" cy="175260"/>
                <wp:effectExtent l="0" t="0" r="0" b="0"/>
                <wp:wrapSquare wrapText="largest"/>
                <wp:docPr id="262" name="Frame262"/>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b/>
                              </w:rPr>
                            </w:pPr>
                            <w:r>
                              <w:rPr>
                                <w:b/>
                              </w:rPr>
                              <w:t>3.4</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3.4</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b/>
        </w:rPr>
        <w:t>[RESERVED]</w:t>
      </w:r>
      <w:r>
        <w:rPr/>
        <w:t xml:space="preserve">  </w:t>
      </w:r>
      <w:r>
        <mc:AlternateContent>
          <mc:Choice Requires="wps">
            <w:drawing>
              <wp:anchor behindDoc="0" distT="0" distB="0" distL="0" distR="0" simplePos="0" locked="0" layoutInCell="1" allowOverlap="1" relativeHeight="264">
                <wp:simplePos x="0" y="0"/>
                <wp:positionH relativeFrom="column">
                  <wp:align>left</wp:align>
                </wp:positionH>
                <wp:positionV relativeFrom="line">
                  <wp:posOffset>635</wp:posOffset>
                </wp:positionV>
                <wp:extent cx="1371600" cy="175260"/>
                <wp:effectExtent l="0" t="0" r="0" b="0"/>
                <wp:wrapSquare wrapText="largest"/>
                <wp:docPr id="263" name="Frame263"/>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b/>
                              </w:rPr>
                            </w:pPr>
                            <w:r>
                              <w:rPr>
                                <w:b/>
                              </w:rPr>
                              <w:t>3.5</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3.5</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b/>
        </w:rPr>
        <w:t>Future Equity Grants.</w:t>
      </w:r>
      <w:r>
        <w:rPr/>
        <w:t xml:space="preserve">  In addition, in connection with setting the Executives annual compensation, the Board will agree to examine the Executives overall annual compensation package and issue an appropriate stock option grant or other equity award based on the Companys comparator group.</w:t>
      </w:r>
      <w:r>
        <mc:AlternateContent>
          <mc:Choice Requires="wps">
            <w:drawing>
              <wp:anchor behindDoc="0" distT="0" distB="0" distL="0" distR="0" simplePos="0" locked="0" layoutInCell="1" allowOverlap="1" relativeHeight="265">
                <wp:simplePos x="0" y="0"/>
                <wp:positionH relativeFrom="column">
                  <wp:align>left</wp:align>
                </wp:positionH>
                <wp:positionV relativeFrom="line">
                  <wp:posOffset>635</wp:posOffset>
                </wp:positionV>
                <wp:extent cx="1371600" cy="175260"/>
                <wp:effectExtent l="0" t="0" r="0" b="0"/>
                <wp:wrapSquare wrapText="largest"/>
                <wp:docPr id="264" name="Frame264"/>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b/>
                              </w:rPr>
                            </w:pPr>
                            <w:r>
                              <w:rPr>
                                <w:b/>
                              </w:rPr>
                              <w:t>3.6</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3.6</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b/>
        </w:rPr>
        <w:t>Health and Welfare Benefit Plans</w:t>
      </w:r>
      <w:r>
        <w:rPr/>
        <w:t>. The Company will provide to Executive and his family throughout the term of this Agreement health, dental and vision and other benefits on the same or substantially similar terms as those provided to Executive and the other executive officers of the Company during the first six months of Executives employment with the Company.  </w:t>
      </w:r>
      <w:r>
        <mc:AlternateContent>
          <mc:Choice Requires="wps">
            <w:drawing>
              <wp:anchor behindDoc="0" distT="0" distB="0" distL="0" distR="0" simplePos="0" locked="0" layoutInCell="1" allowOverlap="1" relativeHeight="266">
                <wp:simplePos x="0" y="0"/>
                <wp:positionH relativeFrom="column">
                  <wp:align>left</wp:align>
                </wp:positionH>
                <wp:positionV relativeFrom="line">
                  <wp:posOffset>635</wp:posOffset>
                </wp:positionV>
                <wp:extent cx="914400" cy="175260"/>
                <wp:effectExtent l="0" t="0" r="0" b="0"/>
                <wp:wrapSquare wrapText="largest"/>
                <wp:docPr id="265" name="Frame265"/>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4.</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4.</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b/>
        </w:rPr>
        <w:t>Customary Benefits</w:t>
      </w:r>
      <w:r>
        <w:rPr/>
        <w:t>.  Executive shall be entitled to all customary and usual fringe benefits and shall be entitled to participate in all savings and retirement plans, practices, policies and programs generally applicable to employees of the Company that are in effect during the Employment Term, subject to the terms and conditions of Companys benefit plan documents, as applicable</w:t>
      </w:r>
      <w:r>
        <mc:AlternateContent>
          <mc:Choice Requires="wps">
            <w:drawing>
              <wp:anchor behindDoc="0" distT="0" distB="0" distL="0" distR="0" simplePos="0" locked="0" layoutInCell="1" allowOverlap="1" relativeHeight="267">
                <wp:simplePos x="0" y="0"/>
                <wp:positionH relativeFrom="column">
                  <wp:align>left</wp:align>
                </wp:positionH>
                <wp:positionV relativeFrom="line">
                  <wp:posOffset>635</wp:posOffset>
                </wp:positionV>
                <wp:extent cx="914400" cy="175260"/>
                <wp:effectExtent l="0" t="0" r="0" b="0"/>
                <wp:wrapSquare wrapText="largest"/>
                <wp:docPr id="266" name="Frame266"/>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5.</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5.</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b/>
        </w:rPr>
        <w:t>Business Expenses</w:t>
      </w:r>
      <w:r>
        <w:rPr/>
        <w:t xml:space="preserve">. Executive shall be entitled to receive prompt reimbursement for all reasonable, out of- pocket business expenses incurred in the performance of his duties on behalf of Company (including, but not limited to, cell phone, computer and internet expenses).  In addition, Executive shall be entitled to receive prompt reimbursement for all reasonable travel and lodging expenses related to providing services at the Companys headquarters, with all business expense plans (i.e., how many flights back and forth per month) and amounts to be pre-approved by the Board. </w:t>
      </w:r>
      <w:r>
        <mc:AlternateContent>
          <mc:Choice Requires="wps">
            <w:drawing>
              <wp:anchor behindDoc="0" distT="0" distB="0" distL="0" distR="0" simplePos="0" locked="0" layoutInCell="1" allowOverlap="1" relativeHeight="268">
                <wp:simplePos x="0" y="0"/>
                <wp:positionH relativeFrom="column">
                  <wp:align>left</wp:align>
                </wp:positionH>
                <wp:positionV relativeFrom="line">
                  <wp:posOffset>635</wp:posOffset>
                </wp:positionV>
                <wp:extent cx="914400" cy="175260"/>
                <wp:effectExtent l="0" t="0" r="0" b="0"/>
                <wp:wrapSquare wrapText="largest"/>
                <wp:docPr id="267" name="Frame267"/>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6.</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6.</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b/>
        </w:rPr>
        <w:t>Vacation</w:t>
      </w:r>
      <w:r>
        <w:rPr/>
        <w:t>. Executive shall be entitled to paid vacation, personal and sick days each calendar year, in accordance with the Companys plans, policies and programs then in effect.  Initially Executive will be granted four (4) weeks of paid vacation, with the Executives vacation for 2012 pro-rated based on the period of his service during 2012.</w:t>
      </w:r>
      <w:r>
        <mc:AlternateContent>
          <mc:Choice Requires="wps">
            <w:drawing>
              <wp:anchor behindDoc="0" distT="0" distB="0" distL="0" distR="0" simplePos="0" locked="0" layoutInCell="1" allowOverlap="1" relativeHeight="269">
                <wp:simplePos x="0" y="0"/>
                <wp:positionH relativeFrom="column">
                  <wp:align>left</wp:align>
                </wp:positionH>
                <wp:positionV relativeFrom="line">
                  <wp:posOffset>635</wp:posOffset>
                </wp:positionV>
                <wp:extent cx="914400" cy="175260"/>
                <wp:effectExtent l="0" t="0" r="0" b="0"/>
                <wp:wrapSquare wrapText="largest"/>
                <wp:docPr id="268" name="Frame268"/>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7.</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7.</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b/>
        </w:rPr>
        <w:t>Outside Consulting and Board Service</w:t>
      </w:r>
      <w:r>
        <w:rPr/>
        <w:t xml:space="preserve">.  Executive may contract with third party commercial or charitable entities as a consultant, advisor or board member; provided however, during his employment, Executive may not engage in activities that compete with the primary business of the Company. </w:t>
      </w:r>
      <w:r>
        <mc:AlternateContent>
          <mc:Choice Requires="wps">
            <w:drawing>
              <wp:anchor behindDoc="0" distT="0" distB="0" distL="0" distR="0" simplePos="0" locked="0" layoutInCell="1" allowOverlap="1" relativeHeight="270">
                <wp:simplePos x="0" y="0"/>
                <wp:positionH relativeFrom="column">
                  <wp:align>left</wp:align>
                </wp:positionH>
                <wp:positionV relativeFrom="line">
                  <wp:posOffset>635</wp:posOffset>
                </wp:positionV>
                <wp:extent cx="914400" cy="175260"/>
                <wp:effectExtent l="0" t="0" r="0" b="0"/>
                <wp:wrapSquare wrapText="largest"/>
                <wp:docPr id="269" name="Frame269"/>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8.</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8.</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b/>
        </w:rPr>
        <w:t>Indemnification</w:t>
      </w:r>
      <w:r>
        <w:rPr/>
        <w:t xml:space="preserve">. In connection with the execution of the Agreement, the Company will also enter into a customary indemnification agreement with Executive. </w:t>
      </w:r>
      <w:r>
        <mc:AlternateContent>
          <mc:Choice Requires="wps">
            <w:drawing>
              <wp:anchor behindDoc="0" distT="0" distB="0" distL="0" distR="0" simplePos="0" locked="0" layoutInCell="1" allowOverlap="1" relativeHeight="271">
                <wp:simplePos x="0" y="0"/>
                <wp:positionH relativeFrom="column">
                  <wp:align>left</wp:align>
                </wp:positionH>
                <wp:positionV relativeFrom="line">
                  <wp:posOffset>635</wp:posOffset>
                </wp:positionV>
                <wp:extent cx="914400" cy="175260"/>
                <wp:effectExtent l="0" t="0" r="0" b="0"/>
                <wp:wrapSquare wrapText="largest"/>
                <wp:docPr id="270" name="Frame270"/>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9.</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9.</w:t>
                      </w:r>
                    </w:p>
                  </w:txbxContent>
                </v:textbox>
                <w10:wrap type="square" side="right"/>
              </v:rect>
            </w:pict>
          </mc:Fallback>
        </mc:AlternateContent>
      </w:r>
    </w:p>
    <w:p>
      <w:pPr>
        <w:pStyle w:val="TextBody"/>
        <w:spacing w:before="0" w:after="0"/>
        <w:ind w:left="0" w:right="0" w:hanging="0"/>
        <w:jc w:val="both"/>
        <w:rPr/>
      </w:pPr>
      <w:r>
        <w:rPr/>
        <w:t> </w:t>
      </w:r>
    </w:p>
    <w:p>
      <w:pPr>
        <w:pStyle w:val="TextBody"/>
        <w:spacing w:before="0" w:after="0"/>
        <w:ind w:left="0" w:right="0" w:hanging="30"/>
        <w:jc w:val="both"/>
        <w:rPr/>
      </w:pPr>
      <w:r>
        <w:rPr>
          <w:b/>
        </w:rPr>
        <w:t>Severance Benefits</w:t>
      </w:r>
      <w:r>
        <w:rPr/>
        <w:t>.  Executive and the Board recognize the fact that the Company at the time of this Agreement, does not have the financial capacity to offer a full typical Chief Executive Officer severance package. However, upon the closing of a Qualified Transaction</w:t>
      </w:r>
      <w:r>
        <w:rPr>
          <w:position w:val="8"/>
          <w:sz w:val="19"/>
        </w:rPr>
        <w:t>1</w:t>
      </w:r>
      <w:r>
        <w:rPr/>
        <w:t xml:space="preserve">, a severance package of at least one years pay and continued company paid healthcare expenses will automatically be instituted. </w:t>
      </w:r>
      <w:r>
        <mc:AlternateContent>
          <mc:Choice Requires="wps">
            <w:drawing>
              <wp:anchor behindDoc="0" distT="0" distB="0" distL="0" distR="0" simplePos="0" locked="0" layoutInCell="1" allowOverlap="1" relativeHeight="272">
                <wp:simplePos x="0" y="0"/>
                <wp:positionH relativeFrom="column">
                  <wp:align>left</wp:align>
                </wp:positionH>
                <wp:positionV relativeFrom="line">
                  <wp:posOffset>635</wp:posOffset>
                </wp:positionV>
                <wp:extent cx="914400" cy="175260"/>
                <wp:effectExtent l="0" t="0" r="0" b="0"/>
                <wp:wrapSquare wrapText="largest"/>
                <wp:docPr id="271" name="Frame271"/>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10.</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10.</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b/>
        </w:rPr>
        <w:t>Section 409A of the U.S. Internal Revenue Code.  </w:t>
      </w:r>
      <w:r>
        <w:rPr/>
        <w:t>The Company and Executive intend in good faith that this Agreement comply with the applicable requirements of Section 409A of the Internal Revenue Code of 1986 and that this Agreement be construed, interpreted and administered in accordance with such intent.</w:t>
      </w:r>
      <w:r>
        <mc:AlternateContent>
          <mc:Choice Requires="wps">
            <w:drawing>
              <wp:anchor behindDoc="0" distT="0" distB="0" distL="0" distR="0" simplePos="0" locked="0" layoutInCell="1" allowOverlap="1" relativeHeight="273">
                <wp:simplePos x="0" y="0"/>
                <wp:positionH relativeFrom="column">
                  <wp:align>left</wp:align>
                </wp:positionH>
                <wp:positionV relativeFrom="line">
                  <wp:posOffset>635</wp:posOffset>
                </wp:positionV>
                <wp:extent cx="914400" cy="175260"/>
                <wp:effectExtent l="0" t="0" r="0" b="0"/>
                <wp:wrapSquare wrapText="largest"/>
                <wp:docPr id="272" name="Frame272"/>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11.</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11.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t>______________________</w:t>
      </w:r>
    </w:p>
    <w:p>
      <w:pPr>
        <w:pStyle w:val="TextBody"/>
        <w:spacing w:before="0" w:after="0"/>
        <w:ind w:left="0" w:right="0" w:hanging="0"/>
        <w:jc w:val="both"/>
        <w:rPr/>
      </w:pPr>
      <w:r>
        <w:rPr>
          <w:position w:val="8"/>
          <w:sz w:val="19"/>
        </w:rPr>
        <w:t>1</w:t>
      </w:r>
      <w:r>
        <w:rPr/>
        <w:t xml:space="preserve"> A Qualified Transaction shall occur when the Company (i) closes a debt or equity financing in which the gross proceeds to the Company equals or exceeds $10 million; or (ii) completes a corporate partnership transaction that includes gross proceeds to the Company of at least $10 million to support the Companys general and administrative expenses (each a Qualified Transaction)</w:t>
      </w:r>
    </w:p>
    <w:p>
      <w:pPr>
        <w:pStyle w:val="TextBody"/>
        <w:spacing w:before="0" w:after="0"/>
        <w:ind w:left="0" w:right="0" w:hanging="0"/>
        <w:jc w:val="both"/>
        <w:rPr/>
      </w:pPr>
      <w:r>
        <w:rPr/>
      </w:r>
    </w:p>
    <w:p>
      <w:pPr>
        <w:pStyle w:val="TextBody"/>
        <w:spacing w:before="0" w:after="0"/>
        <w:ind w:left="0" w:right="0" w:hanging="0"/>
        <w:jc w:val="center"/>
        <w:rPr/>
      </w:pPr>
      <w:r>
        <w:rPr/>
        <w:t>2</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30"/>
        <w:jc w:val="both"/>
        <w:rPr/>
      </w:pPr>
      <w:r>
        <w:rPr>
          <w:b/>
        </w:rPr>
        <w:t>Dispute Resolution.</w:t>
      </w:r>
      <w:r>
        <w:rPr/>
        <w:t xml:space="preserve">  In the event of any dispute or claim relating to or arising out of Executives employment relationship with Company, this agreement, or the termination of Executives employment with Company for any reason (including, but not limited to, any claims of breach of contract, defamation, wrongful termination or age, sex, sexual orientation, race, color, national origin, ancestry, marital status, religious creed, physical or mental disability or medical condition or other discrimination, retaliation or harassment), Executive and Company agree that all disputes shall be fully resolved by confidential, binding arbitration conducted by a single neutral arbitrator in San Diego, California through the American Arbitration Association (AAA) pursuant to the AAAs Employment Arbitration Rules, which are available at the AAAs website at www.adr.org or by requesting a copy from the President of the Company.  The arbitrator shall permit adequate discovery and is empowered to award all remedies otherwise available in a court of competent jurisdiction and any judgment rendered by the arbitrator may be entered by any court of competent jurisdiction.  The arbitrator shall issue an award in writing and state the essential findings and conclusions on which the award is based.  To the fullest extent permitted by applicable law, by signing this letter, Executive and Company both waive the rights to have any disputes or claims tried before a judge or jury.</w:t>
      </w:r>
      <w:r>
        <mc:AlternateContent>
          <mc:Choice Requires="wps">
            <w:drawing>
              <wp:anchor behindDoc="0" distT="0" distB="0" distL="0" distR="0" simplePos="0" locked="0" layoutInCell="1" allowOverlap="1" relativeHeight="274">
                <wp:simplePos x="0" y="0"/>
                <wp:positionH relativeFrom="column">
                  <wp:align>left</wp:align>
                </wp:positionH>
                <wp:positionV relativeFrom="line">
                  <wp:posOffset>635</wp:posOffset>
                </wp:positionV>
                <wp:extent cx="914400" cy="175260"/>
                <wp:effectExtent l="0" t="0" r="0" b="0"/>
                <wp:wrapSquare wrapText="largest"/>
                <wp:docPr id="273" name="Frame273"/>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12.</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12.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b/>
        </w:rPr>
      </w:pPr>
      <w:r>
        <w:rPr>
          <w:b/>
        </w:rPr>
        <w:t>General Provisions.</w:t>
      </w:r>
      <w:r>
        <mc:AlternateContent>
          <mc:Choice Requires="wps">
            <w:drawing>
              <wp:anchor behindDoc="0" distT="0" distB="0" distL="0" distR="0" simplePos="0" locked="0" layoutInCell="1" allowOverlap="1" relativeHeight="275">
                <wp:simplePos x="0" y="0"/>
                <wp:positionH relativeFrom="column">
                  <wp:align>left</wp:align>
                </wp:positionH>
                <wp:positionV relativeFrom="line">
                  <wp:posOffset>635</wp:posOffset>
                </wp:positionV>
                <wp:extent cx="914400" cy="175260"/>
                <wp:effectExtent l="0" t="0" r="0" b="0"/>
                <wp:wrapSquare wrapText="largest"/>
                <wp:docPr id="274" name="Frame274"/>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13.</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13.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b/>
        </w:rPr>
        <w:t xml:space="preserve">Successors and Assigns. </w:t>
      </w:r>
      <w:r>
        <w:rPr/>
        <w:t>This Agreement shall be binding upon and inure to the benefit of the parties hereto and their heirs, personal representatives and successors, including any successor of the company by reason of any dissolution, merger, consolidation, sale of assets or other reorganization of the Company.</w:t>
      </w:r>
      <w:r>
        <mc:AlternateContent>
          <mc:Choice Requires="wps">
            <w:drawing>
              <wp:anchor behindDoc="0" distT="0" distB="0" distL="0" distR="0" simplePos="0" locked="0" layoutInCell="1" allowOverlap="1" relativeHeight="276">
                <wp:simplePos x="0" y="0"/>
                <wp:positionH relativeFrom="column">
                  <wp:align>left</wp:align>
                </wp:positionH>
                <wp:positionV relativeFrom="line">
                  <wp:posOffset>635</wp:posOffset>
                </wp:positionV>
                <wp:extent cx="1371600" cy="175260"/>
                <wp:effectExtent l="0" t="0" r="0" b="0"/>
                <wp:wrapSquare wrapText="largest"/>
                <wp:docPr id="275" name="Frame275"/>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b/>
                              </w:rPr>
                            </w:pPr>
                            <w:r>
                              <w:rPr>
                                <w:b/>
                              </w:rPr>
                              <w:t>13.1</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13.1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b/>
        </w:rPr>
        <w:t>Waiver</w:t>
      </w:r>
      <w:r>
        <w:rPr/>
        <w:t>. The rights and remedies of the parties to this Agreement are cumulative and not alternative. Neither the failure nor any delay by any party in exercising any right, power or privilege under this Agreement or the documents referred to in this Agreement will operate as a waiver of such right, power or privilege; and no single or partial exercise of any such right, power or privilege will preclude any other or further exercise of such right, power or privilege or the exercise of any other right, power or privilege. To the maximum extent permitted by applicable law, (i) no claim or right arising out of this Agreement or the documents referred to in this Agreement can be discharged by one party, in whole or in part, by a waiver or renunciation of the claim or right unless in writing signed by the other party; (ii) no waiver that may be given by a party will be applicable except in the specific instance for which it is given; and (iii) no notice to or demand on one party will be deemed to be a waiver of any obligation of such party or of the right of the party giving such notice or demand to take further action without notice or demand as provided in this Agreement or the documents referred to in this Agreement.</w:t>
      </w:r>
      <w:r>
        <mc:AlternateContent>
          <mc:Choice Requires="wps">
            <w:drawing>
              <wp:anchor behindDoc="0" distT="0" distB="0" distL="0" distR="0" simplePos="0" locked="0" layoutInCell="1" allowOverlap="1" relativeHeight="277">
                <wp:simplePos x="0" y="0"/>
                <wp:positionH relativeFrom="column">
                  <wp:align>left</wp:align>
                </wp:positionH>
                <wp:positionV relativeFrom="line">
                  <wp:posOffset>635</wp:posOffset>
                </wp:positionV>
                <wp:extent cx="1371600" cy="175260"/>
                <wp:effectExtent l="0" t="0" r="0" b="0"/>
                <wp:wrapSquare wrapText="largest"/>
                <wp:docPr id="276" name="Frame276"/>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b/>
                              </w:rPr>
                            </w:pPr>
                            <w:r>
                              <w:rPr>
                                <w:b/>
                              </w:rPr>
                              <w:t>13.2</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13.2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b/>
        </w:rPr>
        <w:t>Validity</w:t>
      </w:r>
      <w:r>
        <w:rPr/>
        <w:t>. The invalidity or unenforceability of any provision or provisions of this Agreement shall not affect the validity or enforceability of any other provision of this Agreement, which shall remain in full force and effect.</w:t>
      </w:r>
      <w:r>
        <mc:AlternateContent>
          <mc:Choice Requires="wps">
            <w:drawing>
              <wp:anchor behindDoc="0" distT="0" distB="0" distL="0" distR="0" simplePos="0" locked="0" layoutInCell="1" allowOverlap="1" relativeHeight="278">
                <wp:simplePos x="0" y="0"/>
                <wp:positionH relativeFrom="column">
                  <wp:align>left</wp:align>
                </wp:positionH>
                <wp:positionV relativeFrom="line">
                  <wp:posOffset>635</wp:posOffset>
                </wp:positionV>
                <wp:extent cx="1371600" cy="175260"/>
                <wp:effectExtent l="0" t="0" r="0" b="0"/>
                <wp:wrapSquare wrapText="largest"/>
                <wp:docPr id="277" name="Frame277"/>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b/>
                              </w:rPr>
                            </w:pPr>
                            <w:r>
                              <w:rPr>
                                <w:b/>
                              </w:rPr>
                              <w:t>13.3</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13.3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b/>
        </w:rPr>
        <w:t>Headings</w:t>
      </w:r>
      <w:r>
        <w:rPr/>
        <w:t>. The headings set forth in this Agreement are for convenience only and shall not be used in interpreting this Agreement.</w:t>
      </w:r>
      <w:r>
        <mc:AlternateContent>
          <mc:Choice Requires="wps">
            <w:drawing>
              <wp:anchor behindDoc="0" distT="0" distB="0" distL="0" distR="0" simplePos="0" locked="0" layoutInCell="1" allowOverlap="1" relativeHeight="279">
                <wp:simplePos x="0" y="0"/>
                <wp:positionH relativeFrom="column">
                  <wp:align>left</wp:align>
                </wp:positionH>
                <wp:positionV relativeFrom="line">
                  <wp:posOffset>635</wp:posOffset>
                </wp:positionV>
                <wp:extent cx="1371600" cy="175260"/>
                <wp:effectExtent l="0" t="0" r="0" b="0"/>
                <wp:wrapSquare wrapText="largest"/>
                <wp:docPr id="278" name="Frame278"/>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b/>
                              </w:rPr>
                            </w:pPr>
                            <w:r>
                              <w:rPr>
                                <w:b/>
                              </w:rPr>
                              <w:t>13.4</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13.4</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b/>
        </w:rPr>
        <w:t>Governing Law</w:t>
      </w:r>
      <w:r>
        <w:rPr/>
        <w:t>. This Agreement will be governed by and construed in accordance with the laws of the United States and the State of California, without reference to its conflicts of laws principles.</w:t>
      </w:r>
      <w:r>
        <mc:AlternateContent>
          <mc:Choice Requires="wps">
            <w:drawing>
              <wp:anchor behindDoc="0" distT="0" distB="0" distL="0" distR="0" simplePos="0" locked="0" layoutInCell="1" allowOverlap="1" relativeHeight="280">
                <wp:simplePos x="0" y="0"/>
                <wp:positionH relativeFrom="column">
                  <wp:align>left</wp:align>
                </wp:positionH>
                <wp:positionV relativeFrom="line">
                  <wp:posOffset>635</wp:posOffset>
                </wp:positionV>
                <wp:extent cx="1371600" cy="175260"/>
                <wp:effectExtent l="0" t="0" r="0" b="0"/>
                <wp:wrapSquare wrapText="largest"/>
                <wp:docPr id="279" name="Frame279"/>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b/>
                              </w:rPr>
                            </w:pPr>
                            <w:r>
                              <w:rPr>
                                <w:b/>
                              </w:rPr>
                              <w:t>13.5</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13.5</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b/>
        </w:rPr>
        <w:t>Counterparts</w:t>
      </w:r>
      <w:r>
        <w:rPr/>
        <w:t>. This Agreement may be executed in one or more counterparts, all of which when fully executed and delivered by all parties hereto and taken together shall constitute a single agreement, binding against each of the parties.</w:t>
      </w:r>
      <w:r>
        <mc:AlternateContent>
          <mc:Choice Requires="wps">
            <w:drawing>
              <wp:anchor behindDoc="0" distT="0" distB="0" distL="0" distR="0" simplePos="0" locked="0" layoutInCell="1" allowOverlap="1" relativeHeight="281">
                <wp:simplePos x="0" y="0"/>
                <wp:positionH relativeFrom="column">
                  <wp:align>left</wp:align>
                </wp:positionH>
                <wp:positionV relativeFrom="line">
                  <wp:posOffset>635</wp:posOffset>
                </wp:positionV>
                <wp:extent cx="1371600" cy="175260"/>
                <wp:effectExtent l="0" t="0" r="0" b="0"/>
                <wp:wrapSquare wrapText="largest"/>
                <wp:docPr id="280" name="Frame280"/>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b/>
                              </w:rPr>
                            </w:pPr>
                            <w:r>
                              <w:rPr>
                                <w:b/>
                              </w:rPr>
                              <w:t>13.6</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13.6</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b/>
        </w:rPr>
        <w:t>Survival</w:t>
      </w:r>
      <w:r>
        <w:rPr/>
        <w:t>. Sections 8, 9, 10, 11 and, 12 of this Agreement shall survive Executives employment by Company.</w:t>
      </w:r>
      <w:r>
        <mc:AlternateContent>
          <mc:Choice Requires="wps">
            <w:drawing>
              <wp:anchor behindDoc="0" distT="0" distB="0" distL="0" distR="0" simplePos="0" locked="0" layoutInCell="1" allowOverlap="1" relativeHeight="282">
                <wp:simplePos x="0" y="0"/>
                <wp:positionH relativeFrom="column">
                  <wp:align>left</wp:align>
                </wp:positionH>
                <wp:positionV relativeFrom="line">
                  <wp:posOffset>635</wp:posOffset>
                </wp:positionV>
                <wp:extent cx="1371600" cy="175260"/>
                <wp:effectExtent l="0" t="0" r="0" b="0"/>
                <wp:wrapSquare wrapText="largest"/>
                <wp:docPr id="281" name="Frame281"/>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b/>
                              </w:rPr>
                            </w:pPr>
                            <w:r>
                              <w:rPr>
                                <w:b/>
                              </w:rPr>
                              <w:t>13.7</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13.7</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b/>
        </w:rPr>
        <w:t>Notices</w:t>
      </w:r>
      <w:r>
        <w:rPr/>
        <w:t>. All notices, consents, waivers and other communications under this Agreement shall be in writing and will be deemed to have been duly given when (i) delivered by hand (with written confirmation of receipt); (ii) sent by facsimile (with written confirmation of receipt); or (iii) when received by the addressee, if sent by a nationally recognized overnight delivery service, return</w:t>
      </w:r>
      <w:r>
        <mc:AlternateContent>
          <mc:Choice Requires="wps">
            <w:drawing>
              <wp:anchor behindDoc="0" distT="0" distB="0" distL="0" distR="0" simplePos="0" locked="0" layoutInCell="1" allowOverlap="1" relativeHeight="283">
                <wp:simplePos x="0" y="0"/>
                <wp:positionH relativeFrom="column">
                  <wp:align>left</wp:align>
                </wp:positionH>
                <wp:positionV relativeFrom="line">
                  <wp:posOffset>635</wp:posOffset>
                </wp:positionV>
                <wp:extent cx="1371600" cy="175260"/>
                <wp:effectExtent l="0" t="0" r="0" b="0"/>
                <wp:wrapSquare wrapText="largest"/>
                <wp:docPr id="282" name="Frame282"/>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b/>
                              </w:rPr>
                            </w:pPr>
                            <w:r>
                              <w:rPr>
                                <w:b/>
                              </w:rPr>
                              <w:t>13.8</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13.8</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center"/>
        <w:rPr/>
      </w:pPr>
      <w:r>
        <w:rPr/>
        <w:t>3</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firstLine="720"/>
        <w:jc w:val="both"/>
        <w:rPr/>
      </w:pPr>
      <w:r>
        <w:rPr/>
        <w:t>If to Executive:</w:t>
      </w:r>
    </w:p>
    <w:p>
      <w:pPr>
        <w:pStyle w:val="TextBody"/>
        <w:spacing w:before="0" w:after="0"/>
        <w:ind w:left="0" w:right="0" w:hanging="0"/>
        <w:jc w:val="both"/>
        <w:rPr/>
      </w:pPr>
      <w:r>
        <w:rPr/>
      </w:r>
    </w:p>
    <w:p>
      <w:pPr>
        <w:pStyle w:val="TextBody"/>
        <w:spacing w:before="0" w:after="0"/>
        <w:ind w:left="0" w:right="0" w:firstLine="720"/>
        <w:jc w:val="both"/>
        <w:rPr/>
      </w:pPr>
      <w:r>
        <w:rPr/>
        <w:t>Mark L. Baum</w:t>
      </w:r>
    </w:p>
    <w:p>
      <w:pPr>
        <w:pStyle w:val="TextBody"/>
        <w:spacing w:before="0" w:after="0"/>
        <w:ind w:left="0" w:right="0" w:firstLine="720"/>
        <w:jc w:val="both"/>
        <w:rPr/>
      </w:pPr>
      <w:r>
        <w:rPr/>
        <w:t>1127 Cuchara Drive</w:t>
      </w:r>
    </w:p>
    <w:p>
      <w:pPr>
        <w:pStyle w:val="TextBody"/>
        <w:spacing w:before="0" w:after="0"/>
        <w:ind w:left="0" w:right="0" w:firstLine="720"/>
        <w:jc w:val="both"/>
        <w:rPr/>
      </w:pPr>
      <w:r>
        <w:rPr/>
        <w:t>Del Mar, CA 92014</w:t>
      </w:r>
    </w:p>
    <w:p>
      <w:pPr>
        <w:pStyle w:val="TextBody"/>
        <w:spacing w:before="0" w:after="0"/>
        <w:ind w:left="0" w:right="0" w:hanging="0"/>
        <w:jc w:val="both"/>
        <w:rPr/>
      </w:pPr>
      <w:r>
        <w:rPr/>
      </w:r>
    </w:p>
    <w:p>
      <w:pPr>
        <w:pStyle w:val="TextBody"/>
        <w:spacing w:before="0" w:after="0"/>
        <w:ind w:left="0" w:right="0" w:firstLine="720"/>
        <w:jc w:val="both"/>
        <w:rPr/>
      </w:pPr>
      <w:r>
        <w:rPr/>
        <w:t>If to the Company:</w:t>
      </w:r>
    </w:p>
    <w:p>
      <w:pPr>
        <w:pStyle w:val="TextBody"/>
        <w:spacing w:before="0" w:after="0"/>
        <w:ind w:left="0" w:right="0" w:hanging="0"/>
        <w:jc w:val="both"/>
        <w:rPr/>
      </w:pPr>
      <w:r>
        <w:rPr/>
      </w:r>
    </w:p>
    <w:p>
      <w:pPr>
        <w:pStyle w:val="TextBody"/>
        <w:spacing w:before="0" w:after="0"/>
        <w:ind w:left="0" w:right="0" w:firstLine="720"/>
        <w:jc w:val="both"/>
        <w:rPr/>
      </w:pPr>
      <w:r>
        <w:rPr/>
        <w:t>Dr. Robert Kammer</w:t>
      </w:r>
    </w:p>
    <w:p>
      <w:pPr>
        <w:pStyle w:val="TextBody"/>
        <w:spacing w:before="0" w:after="0"/>
        <w:ind w:left="0" w:right="0" w:firstLine="720"/>
        <w:jc w:val="both"/>
        <w:rPr/>
      </w:pPr>
      <w:r>
        <w:rPr/>
        <w:t>Chairman of the Board of Directors</w:t>
      </w:r>
    </w:p>
    <w:p>
      <w:pPr>
        <w:pStyle w:val="TextBody"/>
        <w:spacing w:before="0" w:after="0"/>
        <w:ind w:left="0" w:right="0" w:firstLine="720"/>
        <w:jc w:val="both"/>
        <w:rPr/>
      </w:pPr>
      <w:r>
        <w:rPr/>
        <w:t>Imprimis Pharmaceuticals, Inc.</w:t>
      </w:r>
    </w:p>
    <w:p>
      <w:pPr>
        <w:pStyle w:val="TextBody"/>
        <w:spacing w:before="0" w:after="0"/>
        <w:ind w:left="0" w:right="0" w:firstLine="720"/>
        <w:jc w:val="both"/>
        <w:rPr/>
      </w:pPr>
      <w:r>
        <w:rPr/>
        <w:t>437 South Highway 101, Suite 209</w:t>
      </w:r>
    </w:p>
    <w:p>
      <w:pPr>
        <w:pStyle w:val="TextBody"/>
        <w:spacing w:before="0" w:after="0"/>
        <w:ind w:left="0" w:right="0" w:firstLine="720"/>
        <w:jc w:val="both"/>
        <w:rPr/>
      </w:pPr>
      <w:r>
        <w:rPr/>
        <w:t>Solana Beach, CA 92075</w:t>
      </w:r>
    </w:p>
    <w:p>
      <w:pPr>
        <w:pStyle w:val="TextBody"/>
        <w:spacing w:before="0" w:after="0"/>
        <w:ind w:left="0" w:right="0" w:hanging="0"/>
        <w:jc w:val="both"/>
        <w:rPr/>
      </w:pPr>
      <w:r>
        <w:rPr/>
      </w:r>
    </w:p>
    <w:p>
      <w:pPr>
        <w:pStyle w:val="TextBody"/>
        <w:spacing w:before="0" w:after="0"/>
        <w:ind w:left="0" w:right="0" w:hanging="0"/>
        <w:jc w:val="both"/>
        <w:rPr/>
      </w:pPr>
      <w:r>
        <w:rPr/>
        <w:t>or to such other address as either party shall have furnished to the other in writing in accordance herewith.</w:t>
      </w:r>
    </w:p>
    <w:p>
      <w:pPr>
        <w:pStyle w:val="TextBody"/>
        <w:spacing w:before="0" w:after="0"/>
        <w:ind w:left="0" w:right="0" w:hanging="0"/>
        <w:jc w:val="center"/>
        <w:rPr/>
      </w:pPr>
      <w:r>
        <w:rPr/>
      </w:r>
    </w:p>
    <w:p>
      <w:pPr>
        <w:pStyle w:val="TextBody"/>
        <w:spacing w:before="0" w:after="0"/>
        <w:ind w:left="0" w:right="0" w:hanging="0"/>
        <w:jc w:val="center"/>
        <w:rPr>
          <w:b/>
          <w:i/>
        </w:rPr>
      </w:pPr>
      <w:r>
        <w:rPr>
          <w:b/>
          <w:i/>
        </w:rPr>
        <w:t>[Remainder of Page Intentionally Left Blank]</w:t>
      </w:r>
    </w:p>
    <w:p>
      <w:pPr>
        <w:pStyle w:val="TextBody"/>
        <w:spacing w:before="0" w:after="0"/>
        <w:ind w:left="0" w:right="0" w:hanging="0"/>
        <w:rPr/>
      </w:pPr>
      <w:r>
        <w:rPr/>
      </w:r>
    </w:p>
    <w:p>
      <w:pPr>
        <w:pStyle w:val="TextBody"/>
        <w:spacing w:before="0" w:after="0"/>
        <w:ind w:left="0" w:right="0" w:hanging="0"/>
        <w:jc w:val="center"/>
        <w:rPr/>
      </w:pPr>
      <w:r>
        <w:rPr/>
      </w:r>
    </w:p>
    <w:p>
      <w:pPr>
        <w:pStyle w:val="TextBody"/>
        <w:spacing w:before="0" w:after="0"/>
        <w:ind w:left="0" w:right="0" w:hanging="0"/>
        <w:jc w:val="center"/>
        <w:rPr/>
      </w:pPr>
      <w:r>
        <w:rPr/>
        <w:t>4</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center"/>
        <w:rPr/>
      </w:pPr>
      <w:r>
        <w:rPr/>
      </w:r>
    </w:p>
    <w:p>
      <w:pPr>
        <w:pStyle w:val="TextBody"/>
        <w:spacing w:before="0" w:after="0"/>
        <w:ind w:left="0" w:right="0" w:firstLine="720"/>
        <w:rPr/>
      </w:pPr>
      <w:r>
        <w:rPr/>
        <w:t xml:space="preserve">IN WITNESS WHEREOF, THE PARTIES TO THIS AGREEMENT HAVE READ THE FOREGOING AGREEMENT AND FULLY UNDERSTAND EACH AND EVERY PROVISION CONTAINED HEREIN. </w:t>
      </w:r>
    </w:p>
    <w:p>
      <w:pPr>
        <w:pStyle w:val="TextBody"/>
        <w:spacing w:before="0" w:after="0"/>
        <w:ind w:left="0" w:right="0" w:hanging="0"/>
        <w:rPr/>
      </w:pPr>
      <w:r>
        <w:rPr/>
      </w:r>
    </w:p>
    <w:p>
      <w:pPr>
        <w:pStyle w:val="TextBody"/>
        <w:spacing w:before="0" w:after="0"/>
        <w:ind w:left="0" w:right="0" w:hanging="0"/>
        <w:rPr>
          <w:b/>
          <w:i/>
        </w:rPr>
      </w:pPr>
      <w:r>
        <w:rPr>
          <w:b/>
          <w:i/>
        </w:rPr>
        <w:t>EXECUTIVE</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i/>
          <w:u w:val="single"/>
        </w:rPr>
      </w:pPr>
      <w:r>
        <w:rPr>
          <w:i/>
          <w:u w:val="single"/>
        </w:rPr>
        <w:t>/s/ Mark L, Baum                            </w:t>
      </w:r>
    </w:p>
    <w:p>
      <w:pPr>
        <w:pStyle w:val="TextBody"/>
        <w:spacing w:before="0" w:after="0"/>
        <w:ind w:left="0" w:right="0" w:hanging="0"/>
        <w:rPr/>
      </w:pPr>
      <w:r>
        <w:rPr/>
        <w:t>Mark L. Baum</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b/>
          <w:i/>
        </w:rPr>
      </w:pPr>
      <w:r>
        <w:rPr>
          <w:b/>
          <w:i/>
        </w:rPr>
        <w:t>IMPRIMIS PHARMACEUTICALS, INC.</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t xml:space="preserve">By: </w:t>
      </w:r>
      <w:r>
        <w:rPr>
          <w:i/>
          <w:u w:val="single"/>
        </w:rPr>
        <w:t>/s/ Robert Kammer                   </w:t>
      </w:r>
    </w:p>
    <w:p>
      <w:pPr>
        <w:pStyle w:val="TextBody"/>
        <w:spacing w:before="0" w:after="0"/>
        <w:ind w:left="0" w:right="0" w:hanging="0"/>
        <w:rPr/>
      </w:pPr>
      <w:r>
        <w:rPr/>
        <w:t>Name: Dr. Robert Kammer</w:t>
      </w:r>
    </w:p>
    <w:p>
      <w:pPr>
        <w:pStyle w:val="TextBody"/>
        <w:spacing w:before="0" w:after="0"/>
        <w:ind w:left="0" w:right="0" w:hanging="0"/>
        <w:rPr/>
      </w:pPr>
      <w:r>
        <w:rPr/>
        <w:t>Title: Chairman of the Board</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t xml:space="preserve">By: </w:t>
      </w:r>
      <w:r>
        <w:rPr>
          <w:i/>
          <w:u w:val="single"/>
        </w:rPr>
        <w:t>/s/ Jeff Abrams</w:t>
      </w:r>
      <w:r>
        <w:rPr>
          <w:u w:val="single"/>
        </w:rPr>
        <w:t xml:space="preserve">                        </w:t>
      </w:r>
    </w:p>
    <w:p>
      <w:pPr>
        <w:pStyle w:val="TextBody"/>
        <w:spacing w:before="0" w:after="0"/>
        <w:ind w:left="0" w:right="0" w:hanging="0"/>
        <w:rPr/>
      </w:pPr>
      <w:r>
        <w:rPr/>
        <w:t>Name: Dr. Jeff Abrams</w:t>
      </w:r>
    </w:p>
    <w:p>
      <w:pPr>
        <w:pStyle w:val="TextBody"/>
        <w:spacing w:before="0" w:after="0"/>
        <w:ind w:left="0" w:right="0" w:hanging="0"/>
        <w:rPr/>
      </w:pPr>
      <w:r>
        <w:rPr/>
        <w:t>Title: Independent Member of the Board</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b/>
          <w:i/>
        </w:rPr>
      </w:pPr>
      <w:r>
        <w:rPr>
          <w:b/>
          <w:i/>
        </w:rPr>
        <w:t>[Signature Page to Employment Agreement]</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pPr>
      <w:r>
        <w:rPr/>
        <w:t>5</w:t>
      </w:r>
    </w:p>
    <w:p>
      <w:pPr>
        <w:pStyle w:val="TextBody"/>
        <w:spacing w:before="0" w:after="0"/>
        <w:ind w:left="0" w:right="0" w:hanging="0"/>
        <w:rPr/>
      </w:pPr>
      <w:r>
        <w:rPr/>
      </w:r>
      <w:r>
        <w:br w:type="page"/>
      </w:r>
    </w:p>
    <w:p>
      <w:pPr>
        <w:pStyle w:val="TextBody"/>
        <w:spacing w:before="0" w:after="0"/>
        <w:ind w:left="0" w:right="0" w:hanging="0"/>
        <w:jc w:val="center"/>
        <w:rPr>
          <w:b/>
        </w:rPr>
      </w:pPr>
      <w:bookmarkStart w:id="27" w:name="f8k042712_ex99z1.htm"/>
      <w:bookmarkStart w:id="28" w:name="ksf8k042712_ex99z1"/>
      <w:bookmarkEnd w:id="27"/>
      <w:bookmarkEnd w:id="28"/>
      <w:r>
        <w:rPr>
          <w:b/>
        </w:rPr>
        <w:commentReference w:id="5"/>
      </w:r>
      <w:r>
        <w:rPr>
          <w:b/>
        </w:rPr>
        <w:t>Exhibit 99.1</w:t>
      </w:r>
    </w:p>
    <w:p>
      <w:pPr>
        <w:pStyle w:val="TextBody"/>
        <w:spacing w:before="0" w:after="0"/>
        <w:ind w:left="0" w:right="0" w:hanging="0"/>
        <w:jc w:val="center"/>
        <w:rPr/>
      </w:pPr>
      <w:r>
        <w:rPr/>
      </w:r>
    </w:p>
    <w:p>
      <w:pPr>
        <w:pStyle w:val="TextBody"/>
        <w:spacing w:before="0" w:after="0"/>
        <w:ind w:left="0" w:right="0" w:hanging="0"/>
        <w:jc w:val="center"/>
        <w:rPr>
          <w:b/>
        </w:rPr>
      </w:pPr>
      <w:r>
        <w:rPr>
          <w:b/>
        </w:rPr>
        <w:t>PRESS RELEASE</w:t>
      </w:r>
    </w:p>
    <w:p>
      <w:pPr>
        <w:pStyle w:val="TextBody"/>
        <w:spacing w:before="0" w:after="0"/>
        <w:ind w:left="0" w:right="0" w:hanging="0"/>
        <w:jc w:val="center"/>
        <w:rPr/>
      </w:pPr>
      <w:r>
        <w:rPr/>
      </w:r>
    </w:p>
    <w:p>
      <w:pPr>
        <w:pStyle w:val="TextBody"/>
        <w:spacing w:before="0" w:after="0"/>
        <w:ind w:left="0" w:right="0" w:hanging="0"/>
        <w:jc w:val="center"/>
        <w:rPr>
          <w:b/>
        </w:rPr>
      </w:pPr>
      <w:r>
        <w:rPr>
          <w:b/>
        </w:rPr>
        <w:t>IMPRIMIS PHARMACEUTICALS CLOSES $7.95M FINANCING AND PROVIDES PROGRESS REPORT TO SHAREHOLDERS</w:t>
      </w:r>
    </w:p>
    <w:p>
      <w:pPr>
        <w:pStyle w:val="TextBody"/>
        <w:spacing w:before="0" w:after="0"/>
        <w:ind w:left="0" w:right="0" w:hanging="0"/>
        <w:rPr/>
      </w:pPr>
      <w:r>
        <w:rPr/>
      </w:r>
    </w:p>
    <w:p>
      <w:pPr>
        <w:pStyle w:val="TextBody"/>
        <w:spacing w:before="0" w:after="0"/>
        <w:ind w:left="0" w:right="0" w:hanging="0"/>
        <w:jc w:val="both"/>
        <w:rPr/>
      </w:pPr>
      <w:r>
        <w:rPr/>
        <w:t>Solana Beach, CA.  April 27, 2012 - Imprimis Pharmaceuticals, Inc. (OTC Markets: IMMY) announced that it has closed a $7.95M private placement of stock and warrants and is providing an update to shareholders and the market.</w:t>
      </w:r>
    </w:p>
    <w:p>
      <w:pPr>
        <w:pStyle w:val="TextBody"/>
        <w:spacing w:before="0" w:after="0"/>
        <w:ind w:left="0" w:right="0" w:hanging="0"/>
        <w:jc w:val="both"/>
        <w:rPr/>
      </w:pPr>
      <w:r>
        <w:rPr/>
      </w:r>
    </w:p>
    <w:p>
      <w:pPr>
        <w:pStyle w:val="TextBody"/>
        <w:spacing w:before="0" w:after="0"/>
        <w:ind w:left="0" w:right="0" w:hanging="0"/>
        <w:jc w:val="both"/>
        <w:rPr/>
      </w:pPr>
      <w:r>
        <w:rPr/>
        <w:t>Imprimis Pharmaceuticals, Inc. CEO Mark L. Baum stated, We are pleased to announce the closing of a $7.95M private placement.  The financing was completed at a price of $0.79 per unit and included one share of common stock and a 25% three year warrant, giving the investor the right, for three years, to buy additional Imprimis common shares at $1.185 per share.  Imprimis has the unilateral right to call for the mandatory exercise of the warrants with 90 days notice to the holders, upon notice from the FDA that our lead drug candidate  Impracor  has been approved for sale in the United States.  No brokerage or investment banking fees were paid related to the financing, so the net cash received by the company was approximately $7.95M.</w:t>
      </w:r>
    </w:p>
    <w:p>
      <w:pPr>
        <w:pStyle w:val="TextBody"/>
        <w:spacing w:before="0" w:after="0"/>
        <w:ind w:left="0" w:right="0" w:hanging="0"/>
        <w:jc w:val="both"/>
        <w:rPr/>
      </w:pPr>
      <w:r>
        <w:rPr/>
      </w:r>
    </w:p>
    <w:p>
      <w:pPr>
        <w:pStyle w:val="TextBody"/>
        <w:spacing w:before="0" w:after="0"/>
        <w:ind w:left="0" w:right="0" w:hanging="0"/>
        <w:jc w:val="both"/>
        <w:rPr/>
      </w:pPr>
      <w:r>
        <w:rPr/>
        <w:t>Baum added, We believe that closing this common stock and warrant financing transaction is a strong sign that the recent changes at Imprimis have had a positive effect on our ability to secure the capital we need to drive value for our stakeholders.  We believe that the market opportunity for our technology and our lead drug candidate is significant, and this capital will certainly provide momentum for us to begin to execute on our clinical and other strategic initiatives.    </w:t>
      </w:r>
    </w:p>
    <w:p>
      <w:pPr>
        <w:pStyle w:val="TextBody"/>
        <w:spacing w:before="0" w:after="0"/>
        <w:ind w:left="0" w:right="0" w:hanging="0"/>
        <w:jc w:val="both"/>
        <w:rPr/>
      </w:pPr>
      <w:r>
        <w:rPr/>
      </w:r>
    </w:p>
    <w:p>
      <w:pPr>
        <w:pStyle w:val="TextBody"/>
        <w:spacing w:before="0" w:after="0"/>
        <w:ind w:left="0" w:right="0" w:hanging="0"/>
        <w:jc w:val="both"/>
        <w:rPr/>
      </w:pPr>
      <w:r>
        <w:rPr/>
        <w:t>Imprimiss Chief Medical Officer, Dr. Joachim Schupp commented, Our science team has been hard at work as we transition towards the re-initiation of clinical studies for our lead drug  Impracor, a ketoprofen-based topical NSAID, as well as additional strategic initiatives which we hope to execute in the future.  We have been in communication with the FDA regarding our IND and our objective to file a 505(b)2 for Impracor following successful Phase 3 development.</w:t>
      </w:r>
    </w:p>
    <w:p>
      <w:pPr>
        <w:pStyle w:val="TextBody"/>
        <w:spacing w:before="0" w:after="0"/>
        <w:ind w:left="0" w:right="0" w:hanging="0"/>
        <w:jc w:val="both"/>
        <w:rPr/>
      </w:pPr>
      <w:r>
        <w:rPr/>
      </w:r>
    </w:p>
    <w:p>
      <w:pPr>
        <w:pStyle w:val="TextBody"/>
        <w:spacing w:before="0" w:after="0"/>
        <w:ind w:left="0" w:right="0" w:hanging="0"/>
        <w:jc w:val="both"/>
        <w:rPr/>
      </w:pPr>
      <w:r>
        <w:rPr/>
        <w:t>Baum continued, Our mission is to be the leader in topical drug delivery solutions.  With the guidance of a team of experts, Imprimis has recently developed an intellectual property strategy that is being aggressively implemented.  Our patented platform technology, called Accudel, allows us to deliver medicines through the skin (topical drug delivery), and we intend to monetize this platform through a pipeline development program which will be guided by pharmaceutical and medical industry thought-leaders and a disciplined approach to development expenditures.  Our science team, including Dr. Joachim Schupp, Dr. Balbir Brar and Dr. Paul Finnegan, has provided our board of directors with tremendous support and we are confident that our clinical efforts are being guided by a pressure tested winning strategy, and are being executed by seasoned scientific leaders.  We look forward to moving these programs forward in the near term.</w:t>
      </w:r>
    </w:p>
    <w:p>
      <w:pPr>
        <w:pStyle w:val="TextBody"/>
        <w:spacing w:before="0" w:after="0"/>
        <w:ind w:left="0" w:right="0" w:hanging="0"/>
        <w:jc w:val="both"/>
        <w:rPr/>
      </w:pPr>
      <w:r>
        <w:rPr/>
      </w:r>
    </w:p>
    <w:p>
      <w:pPr>
        <w:pStyle w:val="TextBody"/>
        <w:spacing w:before="0" w:after="0"/>
        <w:ind w:left="0" w:right="0" w:hanging="0"/>
        <w:jc w:val="both"/>
        <w:rPr/>
      </w:pPr>
      <w:r>
        <w:rPr/>
        <w:t>Imprimiss balance sheet has been dramatically improved as in the past four months, as we have reduced our debt by approximately 86%.  Concurrent with the closing of this financing, our secured debtholder agreed to roll 100% of its secured debt into common stock on the same terms as this $7.95M financing.  Now, we are a company with a promising vision, a world class team to execute on this vision, and we have a financeable balance sheet.</w:t>
      </w:r>
    </w:p>
    <w:p>
      <w:pPr>
        <w:pStyle w:val="TextBody"/>
        <w:spacing w:before="0" w:after="0"/>
        <w:ind w:left="0" w:right="0" w:hanging="0"/>
        <w:jc w:val="both"/>
        <w:rPr/>
      </w:pPr>
      <w:r>
        <w:rPr/>
      </w:r>
    </w:p>
    <w:p>
      <w:pPr>
        <w:pStyle w:val="TextBody"/>
        <w:spacing w:before="0" w:after="0"/>
        <w:ind w:left="0" w:right="0" w:hanging="0"/>
        <w:jc w:val="both"/>
        <w:rPr/>
      </w:pPr>
      <w:r>
        <w:rPr/>
        <w:t>Baum concluded, Looking towards the future, we have hired MDB Capital, LLC of Santa Monica, CA to represent Imprimis for our future investment banking needs.  In the coming months, we also intend to make an application to NASDAQ to list our common shares.  Much has been done and there is much more to be done.  We appreciate the patience of our shareholders, their commitment to our business and our team, and their interest in our shared vision to better peoples lives by providing choices to the traditional methods that medicines are delivered.  </w:t>
      </w:r>
    </w:p>
    <w:p>
      <w:pPr>
        <w:pStyle w:val="TextBody"/>
        <w:spacing w:before="0" w:after="0"/>
        <w:ind w:left="0" w:right="0" w:hanging="0"/>
        <w:jc w:val="both"/>
        <w:rPr/>
      </w:pPr>
      <w:r>
        <w:rPr/>
      </w:r>
    </w:p>
    <w:p>
      <w:pPr>
        <w:pStyle w:val="TextBody"/>
        <w:spacing w:before="0" w:after="0"/>
        <w:ind w:left="0" w:right="0" w:hanging="0"/>
        <w:jc w:val="both"/>
        <w:rPr/>
      </w:pPr>
      <w:r>
        <w:rPr/>
        <w:t>The offer and sale of the shares and warrants in the private placement not been registered under the Securities Act of 1933, as amended, and the shares and warrants may not be offered or sold in the United States absent registration under such act and applicable state securities laws or an applicable exemption from those registration requirements.  This press release shall not constitute an offer to sell or the solicitation of an offer to buy nor shall there be any sale of these securities in any jurisdiction in which such offer, solicitation or sale would be unlawful prior to the registration or qualification under the securities laws of any such jurisdiction.</w:t>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b/>
          <w:u w:val="single"/>
        </w:rPr>
        <w:t>About Imprimis Pharmaceuticals, Inc</w:t>
      </w:r>
      <w:r>
        <w:rPr/>
        <w:t>.</w:t>
      </w:r>
    </w:p>
    <w:p>
      <w:pPr>
        <w:pStyle w:val="TextBody"/>
        <w:spacing w:before="0" w:after="0"/>
        <w:ind w:left="0" w:right="0" w:hanging="0"/>
        <w:jc w:val="both"/>
        <w:rPr/>
      </w:pPr>
      <w:r>
        <w:rPr/>
      </w:r>
    </w:p>
    <w:p>
      <w:pPr>
        <w:pStyle w:val="TextBody"/>
        <w:spacing w:before="0" w:after="0"/>
        <w:ind w:left="0" w:right="0" w:hanging="0"/>
        <w:jc w:val="both"/>
        <w:rPr/>
      </w:pPr>
      <w:r>
        <w:rPr/>
        <w:t>Imprimis Pharmaceuticals is dedicated to creating value for our shareholders by improving patient health and their quality of life by leveraging Accudel, a patented topical drug delivery platform that enables highly targeted site specific treatment.  Imprimis is made up of team of scientists and seasoned executives who are focused on the development and commercialization of non-invasive topically delivered medications.  Our lead Phase 3 drug, Impracor, utilizes our Accudel™ cream formulation to deliver Ketoprofen, a non-steroidal anti-inflammatory drug (NSAID), to target underlying tissue where Impracor exerts its localized anti-inflammatory effect.  Accudel™ technology has the ability to bring numerous promising new products to the prescription drug, over-the-counter and cosmeceutical markets, improving the way people have been treated in a number of large market categories.  </w:t>
      </w:r>
      <w:r>
        <w:rPr>
          <w:i/>
        </w:rPr>
        <w:t>The Imprimis Pharmaceuticals, Inc. website is currently under construction and is expected launch in May of 2012.</w:t>
      </w:r>
    </w:p>
    <w:p>
      <w:pPr>
        <w:pStyle w:val="TextBody"/>
        <w:spacing w:before="0" w:after="0"/>
        <w:ind w:left="0" w:right="0" w:hanging="0"/>
        <w:jc w:val="both"/>
        <w:rPr/>
      </w:pPr>
      <w:r>
        <w:rPr/>
      </w:r>
    </w:p>
    <w:p>
      <w:pPr>
        <w:pStyle w:val="TextBody"/>
        <w:spacing w:before="0" w:after="0"/>
        <w:ind w:left="0" w:right="0" w:hanging="0"/>
        <w:jc w:val="both"/>
        <w:rPr/>
      </w:pPr>
      <w:r>
        <w:rPr/>
        <w:t>For More Information</w:t>
      </w:r>
    </w:p>
    <w:p>
      <w:pPr>
        <w:pStyle w:val="TextBody"/>
        <w:spacing w:before="0" w:after="0"/>
        <w:ind w:left="0" w:right="0" w:hanging="0"/>
        <w:jc w:val="both"/>
        <w:rPr/>
      </w:pPr>
      <w:r>
        <w:rPr/>
        <w:t>Contact:  Mark L. Baum, Esq.</w:t>
      </w:r>
    </w:p>
    <w:p>
      <w:pPr>
        <w:pStyle w:val="TextBody"/>
        <w:spacing w:before="0" w:after="0"/>
        <w:ind w:left="0" w:right="0" w:hanging="0"/>
        <w:jc w:val="both"/>
        <w:rPr/>
      </w:pPr>
      <w:r>
        <w:rPr/>
        <w:t>(858) 433-2800</w:t>
      </w:r>
    </w:p>
    <w:p>
      <w:pPr>
        <w:pStyle w:val="TextBody"/>
        <w:spacing w:before="0" w:after="0"/>
        <w:ind w:left="0" w:right="0" w:hanging="0"/>
        <w:jc w:val="both"/>
        <w:rPr/>
      </w:pPr>
      <w:r>
        <w:rPr/>
      </w:r>
    </w:p>
    <w:p>
      <w:pPr>
        <w:pStyle w:val="TextBody"/>
        <w:spacing w:before="0" w:after="0"/>
        <w:ind w:left="0" w:right="0" w:hanging="0"/>
        <w:jc w:val="both"/>
        <w:rPr>
          <w:i/>
        </w:rPr>
      </w:pPr>
      <w:r>
        <w:rPr>
          <w:i/>
        </w:rPr>
        <w:t>This press release contains forward looking statements within the meaning of the U.S. Private Securities Litigation Reform Act of 1995. Any statements in this release that are not historical facts may be considered such "forward looking statements." Forward looking statements are based on management's current preliminary expectations and are subject to risks and uncertainties which may cause our results to differ materially and adversely from the statements contained herein. Some of the potential risks and uncertainties that could cause actual results to differ from those predicted include our ability to raise additional funding, our ability to acquire, develop or commercialize new products and to enter into strategic alliances and transactions, uncertainties inherent in pre-clinical studies and clinical trials, unexpected new data, safety and technical issues, competition and market conditions. These and additional risks and uncertainties are more fully described in Imprimis filings with the Securities and Exchange Commission. Undue reliance should not be placed on forward looking statements, which speak only as of the date they are made. Imprimis disclaims any obligation to update any forward looking statements to reflect new information, events or circumstances after the date they are made, or to reflect the occurrence of unanticipated events.</w:t>
      </w:r>
    </w:p>
    <w:p>
      <w:pPr>
        <w:pStyle w:val="TextBody"/>
        <w:spacing w:before="0" w:after="0"/>
        <w:ind w:left="0" w:right="0" w:hanging="0"/>
        <w:jc w:val="both"/>
        <w:rPr/>
      </w:pPr>
      <w:r>
        <w:rPr/>
      </w:r>
    </w:p>
    <w:p>
      <w:pPr>
        <w:pStyle w:val="TextBody"/>
        <w:spacing w:before="0" w:after="0"/>
        <w:ind w:left="0" w:right="0" w:hanging="0"/>
        <w:jc w:val="center"/>
        <w:rPr/>
      </w:pPr>
      <w:r>
        <w:rPr/>
        <w:t>2</w:t>
      </w:r>
    </w:p>
    <w:p>
      <w:pPr>
        <w:pStyle w:val="TextBody"/>
        <w:spacing w:before="0" w:after="0"/>
        <w:ind w:left="0" w:right="0" w:hanging="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 w:date="2020-02-21T00:40:54Z" w:initials="">
    <w:p>
      <w:r>
        <w:rPr>
          <w:lang w:val="en-US" w:eastAsia="en-US" w:bidi="en-US"/>
        </w:rPr>
        <w:t>HTML: &lt;meta name="date" content="04/27/2012"&gt;</w:t>
      </w:r>
    </w:p>
  </w:comment>
  <w:comment w:id="1" w:author="" w:date="2020-02-21T00:40:54Z" w:initials="">
    <w:p>
      <w:r>
        <w:rPr>
          <w:lang w:val="en-US" w:eastAsia="en-US" w:bidi="en-US"/>
        </w:rPr>
        <w:t>HTML: &lt;meta name="date" content="04/27/2012"&gt;</w:t>
      </w:r>
    </w:p>
  </w:comment>
  <w:comment w:id="2" w:author="" w:date="2020-02-21T00:40:54Z" w:initials="">
    <w:p>
      <w:r>
        <w:rPr>
          <w:lang w:val="en-US" w:eastAsia="en-US" w:bidi="en-US"/>
        </w:rPr>
        <w:t>HTML: &lt;meta name="date" content="04/27/2012"&gt;</w:t>
      </w:r>
    </w:p>
  </w:comment>
  <w:comment w:id="3" w:author="" w:date="2020-02-21T00:40:54Z" w:initials="">
    <w:p>
      <w:r>
        <w:rPr>
          <w:lang w:val="en-US" w:eastAsia="en-US" w:bidi="en-US"/>
        </w:rPr>
        <w:t>HTML: &lt;meta name="date" content="04/27/2012"&gt;</w:t>
      </w:r>
    </w:p>
  </w:comment>
  <w:comment w:id="4" w:author="" w:date="2020-02-21T00:40:54Z" w:initials="">
    <w:p>
      <w:r>
        <w:rPr>
          <w:lang w:val="en-US" w:eastAsia="en-US" w:bidi="en-US"/>
        </w:rPr>
        <w:t>HTML: &lt;meta name="date" content="04/27/2012"&gt;</w:t>
      </w:r>
    </w:p>
  </w:comment>
  <w:comment w:id="5" w:author="" w:date="2020-02-21T00:40:54Z" w:initials="">
    <w:p>
      <w:r>
        <w:rPr>
          <w:lang w:val="en-US" w:eastAsia="en-US" w:bidi="en-US"/>
        </w:rPr>
        <w:t>HTML: &lt;meta name="date" content="04/27/2012"&gt;</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comments" Target="comments.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61</Pages>
  <Words>36793</Words>
  <CharactersWithSpaces>227938</CharactersWithSpaces>
  <Paragraphs>1094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description/>
  <dc:language>en-US</dc:language>
  <cp:lastModifiedBy/>
  <cp:revision>0</cp:revision>
  <dc:subject/>
  <dc:title>Exhibit 99</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lpwstr>04/27/2012</vt:lpwstr>
  </property>
</Properties>
</file>