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3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SCHEDULE 13G</w:t>
      </w:r>
    </w:p>
    <w:p>
      <w:pPr>
        <w:spacing w:after="0" w:line="233" w:lineRule="exact"/>
        <w:rPr>
          <w:sz w:val="24"/>
          <w:szCs w:val="24"/>
          <w:color w:val="auto"/>
        </w:rPr>
      </w:pPr>
    </w:p>
    <w:p>
      <w:pPr>
        <w:ind w:left="278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0" w:lineRule="exact"/>
        <w:rPr>
          <w:sz w:val="24"/>
          <w:szCs w:val="24"/>
          <w:color w:val="auto"/>
        </w:rPr>
      </w:pPr>
    </w:p>
    <w:p>
      <w:pPr>
        <w:spacing w:after="0" w:line="281" w:lineRule="exact"/>
        <w:rPr>
          <w:sz w:val="24"/>
          <w:szCs w:val="24"/>
          <w:color w:val="auto"/>
        </w:rPr>
      </w:pPr>
    </w:p>
    <w:p>
      <w:pPr>
        <w:jc w:val="center"/>
        <w:ind w:right="739"/>
        <w:spacing w:after="0"/>
        <w:rPr>
          <w:sz w:val="20"/>
          <w:szCs w:val="20"/>
          <w:color w:val="auto"/>
        </w:rPr>
      </w:pPr>
      <w:r>
        <w:rPr>
          <w:rFonts w:ascii="Arial" w:cs="Arial" w:eastAsia="Arial" w:hAnsi="Arial"/>
          <w:sz w:val="25"/>
          <w:szCs w:val="25"/>
          <w:b w:val="1"/>
          <w:bCs w:val="1"/>
          <w:u w:val="single" w:color="auto"/>
          <w:color w:val="auto"/>
        </w:rPr>
        <w:t>IMPRIMIS PHARMACEUTICALS, INC.</w:t>
      </w:r>
    </w:p>
    <w:p>
      <w:pPr>
        <w:spacing w:after="0" w:line="29"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(Name of Issuer)</w:t>
      </w:r>
    </w:p>
    <w:p>
      <w:pPr>
        <w:spacing w:after="0" w:line="215" w:lineRule="exact"/>
        <w:rPr>
          <w:sz w:val="24"/>
          <w:szCs w:val="24"/>
          <w:color w:val="auto"/>
        </w:rPr>
      </w:pPr>
    </w:p>
    <w:p>
      <w:pPr>
        <w:jc w:val="center"/>
        <w:ind w:right="739"/>
        <w:spacing w:after="0"/>
        <w:rPr>
          <w:sz w:val="20"/>
          <w:szCs w:val="20"/>
          <w:color w:val="auto"/>
        </w:rPr>
      </w:pPr>
      <w:r>
        <w:rPr>
          <w:rFonts w:ascii="Arial" w:cs="Arial" w:eastAsia="Arial" w:hAnsi="Arial"/>
          <w:sz w:val="22"/>
          <w:szCs w:val="22"/>
          <w:u w:val="single" w:color="auto"/>
          <w:color w:val="auto"/>
        </w:rPr>
        <w:t>Common Stock, $0.001 par value</w:t>
      </w:r>
    </w:p>
    <w:p>
      <w:pPr>
        <w:spacing w:after="0" w:line="8"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(Title of Class of Securities)</w:t>
      </w:r>
    </w:p>
    <w:p>
      <w:pPr>
        <w:spacing w:after="0" w:line="209"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u w:val="single" w:color="auto"/>
          <w:color w:val="auto"/>
        </w:rPr>
        <w:t>45323A 102</w:t>
      </w:r>
    </w:p>
    <w:p>
      <w:pPr>
        <w:spacing w:after="0" w:line="14"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(CUSIP Number)</w:t>
      </w:r>
    </w:p>
    <w:p>
      <w:pPr>
        <w:spacing w:after="0" w:line="209"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u w:val="single" w:color="auto"/>
          <w:color w:val="auto"/>
        </w:rPr>
        <w:t>February 28, 2012</w:t>
      </w:r>
    </w:p>
    <w:p>
      <w:pPr>
        <w:spacing w:after="0" w:line="14"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(Date of Event Which Requires Filing of this Statement)</w:t>
      </w:r>
    </w:p>
    <w:p>
      <w:pPr>
        <w:spacing w:after="0" w:line="200" w:lineRule="exact"/>
        <w:rPr>
          <w:sz w:val="24"/>
          <w:szCs w:val="24"/>
          <w:color w:val="auto"/>
        </w:rPr>
      </w:pPr>
    </w:p>
    <w:p>
      <w:pPr>
        <w:spacing w:after="0" w:line="258" w:lineRule="exact"/>
        <w:rPr>
          <w:sz w:val="24"/>
          <w:szCs w:val="24"/>
          <w:color w:val="auto"/>
        </w:rPr>
      </w:pPr>
    </w:p>
    <w:p>
      <w:pPr>
        <w:spacing w:after="0"/>
        <w:rPr>
          <w:sz w:val="20"/>
          <w:szCs w:val="20"/>
          <w:color w:val="auto"/>
        </w:rPr>
      </w:pPr>
      <w:r>
        <w:rPr>
          <w:rFonts w:ascii="Arial" w:cs="Arial" w:eastAsia="Arial" w:hAnsi="Arial"/>
          <w:sz w:val="19"/>
          <w:szCs w:val="19"/>
          <w:color w:val="auto"/>
        </w:rPr>
        <w:t>Check the appropriate box to designate the rule pursuant to which this Schedule is filed:</w:t>
      </w:r>
    </w:p>
    <w:p>
      <w:pPr>
        <w:sectPr>
          <w:pgSz w:w="11900" w:h="16838" w:orient="portrait"/>
          <w:cols w:equalWidth="0" w:num="1">
            <w:col w:w="10219"/>
          </w:cols>
          <w:pgMar w:left="240" w:top="220" w:right="1440" w:bottom="1440" w:gutter="0" w:footer="0" w:header="0"/>
        </w:sectPr>
      </w:pPr>
    </w:p>
    <w:p>
      <w:pPr>
        <w:spacing w:after="0" w:line="104" w:lineRule="exact"/>
        <w:rPr>
          <w:sz w:val="24"/>
          <w:szCs w:val="24"/>
          <w:color w:val="auto"/>
        </w:rPr>
      </w:pPr>
    </w:p>
    <w:p>
      <w:pPr>
        <w:jc w:val="right"/>
        <w:spacing w:after="0"/>
        <w:rPr>
          <w:sz w:val="20"/>
          <w:szCs w:val="20"/>
          <w:color w:val="auto"/>
        </w:rPr>
      </w:pPr>
      <w:r>
        <w:rPr>
          <w:rFonts w:ascii="Arial" w:cs="Arial" w:eastAsia="Arial" w:hAnsi="Arial"/>
          <w:sz w:val="11"/>
          <w:szCs w:val="11"/>
          <w:color w:val="FFFFFF"/>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448945</wp:posOffset>
            </wp:positionH>
            <wp:positionV relativeFrom="paragraph">
              <wp:posOffset>-92710</wp:posOffset>
            </wp:positionV>
            <wp:extent cx="107315" cy="107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7315" cy="107315"/>
                    </a:xfrm>
                    <a:prstGeom prst="rect">
                      <a:avLst/>
                    </a:prstGeom>
                    <a:noFill/>
                  </pic:spPr>
                </pic:pic>
              </a:graphicData>
            </a:graphic>
          </wp:anchor>
        </w:drawing>
        <w:drawing>
          <wp:anchor simplePos="0" relativeHeight="251657728" behindDoc="1" locked="0" layoutInCell="0" allowOverlap="1">
            <wp:simplePos x="0" y="0"/>
            <wp:positionH relativeFrom="column">
              <wp:posOffset>448945</wp:posOffset>
            </wp:positionH>
            <wp:positionV relativeFrom="paragraph">
              <wp:posOffset>43815</wp:posOffset>
            </wp:positionV>
            <wp:extent cx="107315" cy="1073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7315" cy="107315"/>
                    </a:xfrm>
                    <a:prstGeom prst="rect">
                      <a:avLst/>
                    </a:prstGeom>
                    <a:noFill/>
                  </pic:spPr>
                </pic:pic>
              </a:graphicData>
            </a:graphic>
          </wp:anchor>
        </w:drawing>
      </w:r>
    </w:p>
    <w:p>
      <w:pPr>
        <w:spacing w:after="0" w:line="70" w:lineRule="exact"/>
        <w:rPr>
          <w:sz w:val="24"/>
          <w:szCs w:val="24"/>
          <w:color w:val="auto"/>
        </w:rPr>
      </w:pPr>
    </w:p>
    <w:p>
      <w:pPr>
        <w:jc w:val="right"/>
        <w:spacing w:after="0"/>
        <w:rPr>
          <w:sz w:val="20"/>
          <w:szCs w:val="20"/>
          <w:color w:val="auto"/>
        </w:rPr>
      </w:pPr>
      <w:r>
        <w:rPr>
          <w:rFonts w:ascii="Arial" w:cs="Arial" w:eastAsia="Arial" w:hAnsi="Arial"/>
          <w:sz w:val="11"/>
          <w:szCs w:val="11"/>
          <w:color w:val="FFFFFF"/>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448945</wp:posOffset>
            </wp:positionH>
            <wp:positionV relativeFrom="paragraph">
              <wp:posOffset>43815</wp:posOffset>
            </wp:positionV>
            <wp:extent cx="107315" cy="1073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7315" cy="107315"/>
                    </a:xfrm>
                    <a:prstGeom prst="rect">
                      <a:avLst/>
                    </a:prstGeom>
                    <a:noFill/>
                  </pic:spPr>
                </pic:pic>
              </a:graphicData>
            </a:graphic>
          </wp:anchor>
        </w:drawing>
      </w:r>
    </w:p>
    <w:p>
      <w:pPr>
        <w:spacing w:after="0" w:line="70" w:lineRule="exact"/>
        <w:rPr>
          <w:sz w:val="24"/>
          <w:szCs w:val="24"/>
          <w:color w:val="auto"/>
        </w:rPr>
      </w:pPr>
    </w:p>
    <w:p>
      <w:pPr>
        <w:ind w:left="860" w:hanging="109"/>
        <w:spacing w:after="0"/>
        <w:tabs>
          <w:tab w:leader="none" w:pos="860" w:val="left"/>
        </w:tabs>
        <w:numPr>
          <w:ilvl w:val="0"/>
          <w:numId w:val="1"/>
        </w:numPr>
        <w:rPr>
          <w:rFonts w:ascii="Arial" w:cs="Arial" w:eastAsia="Arial" w:hAnsi="Arial"/>
          <w:sz w:val="11"/>
          <w:szCs w:val="11"/>
          <w:color w:val="auto"/>
        </w:rPr>
      </w:pPr>
      <w:r>
        <w:rPr>
          <w:rFonts w:ascii="Arial" w:cs="Arial" w:eastAsia="Arial" w:hAnsi="Arial"/>
          <w:sz w:val="11"/>
          <w:szCs w:val="11"/>
          <w:color w:val="FFFFFF"/>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Rule 13d-1(b)</w:t>
      </w:r>
    </w:p>
    <w:p>
      <w:pPr>
        <w:spacing w:after="0" w:line="30" w:lineRule="exact"/>
        <w:rPr>
          <w:sz w:val="24"/>
          <w:szCs w:val="24"/>
          <w:color w:val="auto"/>
        </w:rPr>
      </w:pPr>
    </w:p>
    <w:p>
      <w:pPr>
        <w:spacing w:after="0"/>
        <w:rPr>
          <w:sz w:val="20"/>
          <w:szCs w:val="20"/>
          <w:color w:val="auto"/>
        </w:rPr>
      </w:pPr>
      <w:r>
        <w:rPr>
          <w:rFonts w:ascii="Arial" w:cs="Arial" w:eastAsia="Arial" w:hAnsi="Arial"/>
          <w:sz w:val="16"/>
          <w:szCs w:val="16"/>
          <w:color w:val="auto"/>
        </w:rPr>
        <w:t>Rule 13d-1(c)</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Rule 13d-1(d)</w:t>
      </w:r>
    </w:p>
    <w:p>
      <w:pPr>
        <w:spacing w:after="0" w:line="200" w:lineRule="exact"/>
        <w:rPr>
          <w:sz w:val="24"/>
          <w:szCs w:val="24"/>
          <w:color w:val="auto"/>
        </w:rPr>
      </w:pPr>
    </w:p>
    <w:p>
      <w:pPr>
        <w:sectPr>
          <w:pgSz w:w="11900" w:h="16838" w:orient="portrait"/>
          <w:cols w:equalWidth="0" w:num="2">
            <w:col w:w="900" w:space="80"/>
            <w:col w:w="9239"/>
          </w:cols>
          <w:pgMar w:left="240" w:top="220" w:right="1440" w:bottom="1440" w:gutter="0" w:footer="0" w:header="0"/>
          <w:type w:val="continuous"/>
        </w:sectPr>
      </w:pPr>
    </w:p>
    <w:p>
      <w:pPr>
        <w:spacing w:after="0" w:line="53" w:lineRule="exact"/>
        <w:rPr>
          <w:sz w:val="24"/>
          <w:szCs w:val="24"/>
          <w:color w:val="auto"/>
        </w:rPr>
      </w:pPr>
    </w:p>
    <w:p>
      <w:pPr>
        <w:jc w:val="both"/>
        <w:ind w:right="759"/>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jc w:val="both"/>
        <w:ind w:right="739"/>
        <w:spacing w:after="0" w:line="297" w:lineRule="auto"/>
        <w:rPr>
          <w:sz w:val="20"/>
          <w:szCs w:val="20"/>
          <w:color w:val="auto"/>
        </w:rPr>
      </w:pPr>
      <w:r>
        <w:rPr>
          <w:rFonts w:ascii="Arial" w:cs="Arial" w:eastAsia="Arial" w:hAnsi="Arial"/>
          <w:sz w:val="19"/>
          <w:szCs w:val="19"/>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647700</wp:posOffset>
            </wp:positionV>
            <wp:extent cx="6011545" cy="946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11545" cy="94615"/>
                    </a:xfrm>
                    <a:prstGeom prst="rect">
                      <a:avLst/>
                    </a:prstGeom>
                    <a:noFill/>
                  </pic:spPr>
                </pic:pic>
              </a:graphicData>
            </a:graphic>
          </wp:anchor>
        </w:drawing>
      </w:r>
    </w:p>
    <w:p>
      <w:pPr>
        <w:sectPr>
          <w:pgSz w:w="11900" w:h="16838" w:orient="portrait"/>
          <w:cols w:equalWidth="0" w:num="1">
            <w:col w:w="10219"/>
          </w:cols>
          <w:pgMar w:left="240" w:top="220" w:right="1440" w:bottom="1440" w:gutter="0" w:footer="0" w:header="0"/>
          <w:type w:val="continuous"/>
        </w:sectPr>
      </w:pPr>
    </w:p>
    <w:bookmarkStart w:id="1" w:name="page2"/>
    <w:bookmarkEnd w:id="1"/>
    <w:p>
      <w:pPr>
        <w:spacing w:after="0"/>
        <w:rPr>
          <w:sz w:val="20"/>
          <w:szCs w:val="20"/>
          <w:color w:val="auto"/>
        </w:rPr>
      </w:pPr>
      <w:r>
        <w:rPr>
          <w:sz w:val="1"/>
          <w:szCs w:val="1"/>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6212840" cy="1410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12840" cy="1410335"/>
                    </a:xfrm>
                    <a:prstGeom prst="rect">
                      <a:avLst/>
                    </a:prstGeom>
                    <a:noFill/>
                  </pic:spPr>
                </pic:pic>
              </a:graphicData>
            </a:graphic>
          </wp:anchor>
        </w:drawing>
        <w:drawing>
          <wp:inline distT="0" distB="0" distL="0" distR="0">
            <wp:extent cx="12700" cy="1930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193040"/>
                    </a:xfrm>
                    <a:prstGeom prst="rect">
                      <a:avLst/>
                    </a:prstGeom>
                    <a:noFill/>
                    <a:ln>
                      <a:noFill/>
                    </a:ln>
                  </pic:spPr>
                </pic:pic>
              </a:graphicData>
            </a:graphic>
          </wp:inline>
        </w:drawing>
        <w:drawing>
          <wp:inline distT="0" distB="0" distL="0" distR="0">
            <wp:extent cx="12700" cy="1587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158750"/>
                    </a:xfrm>
                    <a:prstGeom prst="rect">
                      <a:avLst/>
                    </a:prstGeom>
                    <a:noFill/>
                    <a:ln>
                      <a:noFill/>
                    </a:ln>
                  </pic:spPr>
                </pic:pic>
              </a:graphicData>
            </a:graphic>
          </wp:inline>
        </w:drawing>
      </w:r>
      <w:r>
        <w:rPr>
          <w:rFonts w:ascii="Arial" w:cs="Arial" w:eastAsia="Arial" w:hAnsi="Arial"/>
          <w:sz w:val="18"/>
          <w:szCs w:val="18"/>
          <w:color w:val="auto"/>
        </w:rPr>
        <w:t xml:space="preserve">CUSIP No. </w:t>
      </w:r>
      <w:r>
        <w:rPr>
          <w:rFonts w:ascii="Arial" w:cs="Arial" w:eastAsia="Arial" w:hAnsi="Arial"/>
          <w:sz w:val="18"/>
          <w:szCs w:val="18"/>
          <w:b w:val="1"/>
          <w:bCs w:val="1"/>
          <w:color w:val="auto"/>
        </w:rPr>
        <w:t>45323A 102</w:t>
      </w:r>
    </w:p>
    <w:p>
      <w:pPr>
        <w:spacing w:after="0" w:line="266" w:lineRule="exact"/>
        <w:rPr>
          <w:sz w:val="20"/>
          <w:szCs w:val="20"/>
          <w:color w:val="auto"/>
        </w:rPr>
      </w:pPr>
    </w:p>
    <w:p>
      <w:pPr>
        <w:ind w:left="280" w:hanging="231"/>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1" w:lineRule="exact"/>
        <w:rPr>
          <w:rFonts w:ascii="Arial" w:cs="Arial" w:eastAsia="Arial" w:hAnsi="Arial"/>
          <w:sz w:val="18"/>
          <w:szCs w:val="18"/>
          <w:color w:val="auto"/>
        </w:rPr>
      </w:pPr>
    </w:p>
    <w:p>
      <w:pPr>
        <w:ind w:left="300"/>
        <w:spacing w:after="0"/>
        <w:rPr>
          <w:rFonts w:ascii="Arial" w:cs="Arial" w:eastAsia="Arial" w:hAnsi="Arial"/>
          <w:sz w:val="18"/>
          <w:szCs w:val="18"/>
          <w:color w:val="auto"/>
        </w:rPr>
      </w:pPr>
      <w:r>
        <w:rPr>
          <w:rFonts w:ascii="Arial" w:cs="Arial" w:eastAsia="Arial" w:hAnsi="Arial"/>
          <w:sz w:val="18"/>
          <w:szCs w:val="18"/>
          <w:b w:val="1"/>
          <w:bCs w:val="1"/>
          <w:color w:val="auto"/>
        </w:rPr>
        <w:t>Alexej Ladonnikov</w:t>
      </w:r>
    </w:p>
    <w:p>
      <w:pPr>
        <w:spacing w:after="0" w:line="53" w:lineRule="exact"/>
        <w:rPr>
          <w:rFonts w:ascii="Arial" w:cs="Arial" w:eastAsia="Arial" w:hAnsi="Arial"/>
          <w:sz w:val="18"/>
          <w:szCs w:val="18"/>
          <w:color w:val="auto"/>
        </w:rPr>
      </w:pPr>
    </w:p>
    <w:p>
      <w:pPr>
        <w:ind w:left="280" w:hanging="231"/>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
          <w:szCs w:val="1"/>
          <w:color w:val="auto"/>
        </w:rPr>
        <w:drawing>
          <wp:inline distT="0" distB="0" distL="0" distR="0">
            <wp:extent cx="107315" cy="10731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7315" cy="107315"/>
                    </a:xfrm>
                    <a:prstGeom prst="rect">
                      <a:avLst/>
                    </a:prstGeom>
                    <a:noFill/>
                    <a:ln>
                      <a:noFill/>
                    </a:ln>
                  </pic:spPr>
                </pic:pic>
              </a:graphicData>
            </a:graphic>
          </wp:inline>
        </w:drawing>
        <w:drawing>
          <wp:inline distT="0" distB="0" distL="0" distR="0">
            <wp:extent cx="12700" cy="10731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107315"/>
                    </a:xfrm>
                    <a:prstGeom prst="rect">
                      <a:avLst/>
                    </a:prstGeom>
                    <a:noFill/>
                    <a:ln>
                      <a:noFill/>
                    </a:ln>
                  </pic:spPr>
                </pic:pic>
              </a:graphicData>
            </a:graphic>
          </wp:inline>
        </w:drawing>
      </w:r>
      <w:r>
        <w:rPr>
          <w:rFonts w:ascii="Arial" w:cs="Arial" w:eastAsia="Arial" w:hAnsi="Arial"/>
          <w:sz w:val="11"/>
          <w:szCs w:val="11"/>
          <w:color w:val="FFFFFF"/>
        </w:rPr>
        <w:t>.</w:t>
      </w:r>
    </w:p>
    <w:p>
      <w:pPr>
        <w:spacing w:after="0" w:line="9" w:lineRule="exact"/>
        <w:rPr>
          <w:rFonts w:ascii="Arial" w:cs="Arial" w:eastAsia="Arial" w:hAnsi="Arial"/>
          <w:sz w:val="18"/>
          <w:szCs w:val="18"/>
          <w:color w:val="auto"/>
        </w:rPr>
      </w:pPr>
    </w:p>
    <w:p>
      <w:pPr>
        <w:ind w:left="40"/>
        <w:spacing w:after="0" w:line="238" w:lineRule="auto"/>
        <w:rPr>
          <w:rFonts w:ascii="Arial" w:cs="Arial" w:eastAsia="Arial" w:hAnsi="Arial"/>
          <w:sz w:val="18"/>
          <w:szCs w:val="18"/>
          <w:color w:val="auto"/>
        </w:rPr>
      </w:pPr>
      <w:r>
        <w:rPr>
          <w:rFonts w:ascii="Arial" w:cs="Arial" w:eastAsia="Arial" w:hAnsi="Arial"/>
          <w:sz w:val="18"/>
          <w:szCs w:val="18"/>
          <w:color w:val="auto"/>
        </w:rPr>
        <w:t xml:space="preserve">(b) </w:t>
      </w:r>
      <w:r>
        <w:rPr>
          <w:rFonts w:ascii="Arial" w:cs="Arial" w:eastAsia="Arial" w:hAnsi="Arial"/>
          <w:sz w:val="1"/>
          <w:szCs w:val="1"/>
          <w:color w:val="auto"/>
        </w:rPr>
        <w:drawing>
          <wp:inline distT="0" distB="0" distL="0" distR="0">
            <wp:extent cx="107315" cy="10731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7315" cy="107315"/>
                    </a:xfrm>
                    <a:prstGeom prst="rect">
                      <a:avLst/>
                    </a:prstGeom>
                    <a:noFill/>
                    <a:ln>
                      <a:noFill/>
                    </a:ln>
                  </pic:spPr>
                </pic:pic>
              </a:graphicData>
            </a:graphic>
          </wp:inline>
        </w:drawing>
      </w:r>
      <w:r>
        <w:rPr>
          <w:rFonts w:ascii="Arial" w:cs="Arial" w:eastAsia="Arial" w:hAnsi="Arial"/>
          <w:sz w:val="11"/>
          <w:szCs w:val="11"/>
          <w:color w:val="FFFFFF"/>
        </w:rPr>
        <w:t>.</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3. SEC Use Only</w:t>
      </w:r>
    </w:p>
    <w:p>
      <w:pPr>
        <w:spacing w:after="0" w:line="50" w:lineRule="exact"/>
        <w:rPr>
          <w:sz w:val="20"/>
          <w:szCs w:val="20"/>
          <w:color w:val="auto"/>
        </w:rPr>
      </w:pPr>
    </w:p>
    <w:p>
      <w:pPr>
        <w:ind w:left="280" w:hanging="231"/>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300"/>
        <w:spacing w:after="0"/>
        <w:rPr>
          <w:rFonts w:ascii="Arial" w:cs="Arial" w:eastAsia="Arial" w:hAnsi="Arial"/>
          <w:sz w:val="18"/>
          <w:szCs w:val="18"/>
          <w:color w:val="auto"/>
        </w:rPr>
      </w:pPr>
      <w:r>
        <w:rPr>
          <w:rFonts w:ascii="Arial" w:cs="Arial" w:eastAsia="Arial" w:hAnsi="Arial"/>
          <w:sz w:val="18"/>
          <w:szCs w:val="18"/>
          <w:b w:val="1"/>
          <w:bCs w:val="1"/>
          <w:color w:val="auto"/>
        </w:rPr>
        <w:t>U.S.A</w:t>
      </w:r>
    </w:p>
    <w:p>
      <w:pPr>
        <w:spacing w:after="0" w:line="53" w:lineRule="exact"/>
        <w:rPr>
          <w:rFonts w:ascii="Arial" w:cs="Arial" w:eastAsia="Arial" w:hAnsi="Arial"/>
          <w:sz w:val="18"/>
          <w:szCs w:val="18"/>
          <w:color w:val="auto"/>
        </w:rPr>
      </w:pPr>
    </w:p>
    <w:p>
      <w:pPr>
        <w:ind w:left="2280" w:hanging="233"/>
        <w:spacing w:after="0"/>
        <w:tabs>
          <w:tab w:leader="none" w:pos="2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1" w:lineRule="exact"/>
        <w:rPr>
          <w:rFonts w:ascii="Arial" w:cs="Arial" w:eastAsia="Arial" w:hAnsi="Arial"/>
          <w:sz w:val="18"/>
          <w:szCs w:val="18"/>
          <w:color w:val="auto"/>
        </w:rPr>
      </w:pPr>
    </w:p>
    <w:p>
      <w:pPr>
        <w:ind w:left="2260"/>
        <w:spacing w:after="0"/>
        <w:rPr>
          <w:rFonts w:ascii="Arial" w:cs="Arial" w:eastAsia="Arial" w:hAnsi="Arial"/>
          <w:sz w:val="18"/>
          <w:szCs w:val="18"/>
          <w:color w:val="auto"/>
        </w:rPr>
      </w:pPr>
      <w:r>
        <w:rPr>
          <w:rFonts w:ascii="Arial" w:cs="Arial" w:eastAsia="Arial" w:hAnsi="Arial"/>
          <w:sz w:val="18"/>
          <w:szCs w:val="18"/>
          <w:b w:val="1"/>
          <w:bCs w:val="1"/>
          <w:color w:val="auto"/>
        </w:rPr>
        <w:t>1,984,156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6209030" cy="17754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09030" cy="1775460"/>
                    </a:xfrm>
                    <a:prstGeom prst="rect">
                      <a:avLst/>
                    </a:prstGeom>
                    <a:noFill/>
                  </pic:spPr>
                </pic:pic>
              </a:graphicData>
            </a:graphic>
          </wp:anchor>
        </w:drawing>
      </w:r>
    </w:p>
    <w:p>
      <w:pPr>
        <w:spacing w:after="0" w:line="34"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1900" w:type="dxa"/>
            <w:vAlign w:val="bottom"/>
            <w:vMerge w:val="restart"/>
          </w:tcPr>
          <w:p>
            <w:pPr>
              <w:ind w:left="40"/>
              <w:spacing w:after="0"/>
              <w:rPr>
                <w:sz w:val="20"/>
                <w:szCs w:val="20"/>
                <w:color w:val="auto"/>
              </w:rPr>
            </w:pPr>
            <w:r>
              <w:rPr>
                <w:rFonts w:ascii="Arial" w:cs="Arial" w:eastAsia="Arial" w:hAnsi="Arial"/>
                <w:sz w:val="18"/>
                <w:szCs w:val="18"/>
                <w:color w:val="auto"/>
              </w:rPr>
              <w:t>Number of Shares</w:t>
            </w:r>
          </w:p>
        </w:tc>
        <w:tc>
          <w:tcPr>
            <w:tcW w:w="220" w:type="dxa"/>
            <w:vAlign w:val="bottom"/>
          </w:tcPr>
          <w:p>
            <w:pPr>
              <w:jc w:val="right"/>
              <w:spacing w:after="0"/>
              <w:rPr>
                <w:sz w:val="20"/>
                <w:szCs w:val="20"/>
                <w:color w:val="auto"/>
              </w:rPr>
            </w:pPr>
            <w:r>
              <w:rPr>
                <w:rFonts w:ascii="Arial" w:cs="Arial" w:eastAsia="Arial" w:hAnsi="Arial"/>
                <w:sz w:val="18"/>
                <w:szCs w:val="18"/>
                <w:color w:val="auto"/>
              </w:rPr>
              <w:t>6.</w:t>
            </w:r>
          </w:p>
        </w:tc>
        <w:tc>
          <w:tcPr>
            <w:tcW w:w="75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7"/>
        </w:trPr>
        <w:tc>
          <w:tcPr>
            <w:tcW w:w="19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7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900" w:type="dxa"/>
            <w:vAlign w:val="bottom"/>
          </w:tcPr>
          <w:p>
            <w:pPr>
              <w:ind w:left="40"/>
              <w:spacing w:after="0"/>
              <w:rPr>
                <w:sz w:val="20"/>
                <w:szCs w:val="20"/>
                <w:color w:val="auto"/>
              </w:rPr>
            </w:pPr>
            <w:r>
              <w:rPr>
                <w:rFonts w:ascii="Arial" w:cs="Arial" w:eastAsia="Arial" w:hAnsi="Arial"/>
                <w:sz w:val="18"/>
                <w:szCs w:val="18"/>
                <w:color w:val="auto"/>
              </w:rPr>
              <w:t>Beneficially</w:t>
            </w:r>
          </w:p>
        </w:tc>
        <w:tc>
          <w:tcPr>
            <w:tcW w:w="220" w:type="dxa"/>
            <w:vAlign w:val="bottom"/>
          </w:tcPr>
          <w:p>
            <w:pPr>
              <w:spacing w:after="0"/>
              <w:rPr>
                <w:sz w:val="18"/>
                <w:szCs w:val="18"/>
                <w:color w:val="auto"/>
              </w:rPr>
            </w:pPr>
          </w:p>
        </w:tc>
        <w:tc>
          <w:tcPr>
            <w:tcW w:w="75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09"/>
        </w:trPr>
        <w:tc>
          <w:tcPr>
            <w:tcW w:w="1900" w:type="dxa"/>
            <w:vAlign w:val="bottom"/>
            <w:vMerge w:val="restart"/>
          </w:tcPr>
          <w:p>
            <w:pPr>
              <w:spacing w:after="0"/>
              <w:rPr>
                <w:sz w:val="20"/>
                <w:szCs w:val="20"/>
                <w:color w:val="auto"/>
              </w:rPr>
            </w:pPr>
            <w:r>
              <w:rPr>
                <w:rFonts w:ascii="Arial" w:cs="Arial" w:eastAsia="Arial" w:hAnsi="Arial"/>
                <w:sz w:val="18"/>
                <w:szCs w:val="18"/>
                <w:color w:val="auto"/>
              </w:rPr>
              <w:t>Owned by</w:t>
            </w:r>
          </w:p>
        </w:tc>
        <w:tc>
          <w:tcPr>
            <w:tcW w:w="220" w:type="dxa"/>
            <w:vAlign w:val="bottom"/>
            <w:tcBorders>
              <w:bottom w:val="single" w:sz="8" w:color="3F3F3F"/>
            </w:tcBorders>
          </w:tcPr>
          <w:p>
            <w:pPr>
              <w:spacing w:after="0"/>
              <w:rPr>
                <w:sz w:val="9"/>
                <w:szCs w:val="9"/>
                <w:color w:val="auto"/>
              </w:rPr>
            </w:pPr>
          </w:p>
        </w:tc>
        <w:tc>
          <w:tcPr>
            <w:tcW w:w="7520" w:type="dxa"/>
            <w:vAlign w:val="bottom"/>
            <w:tcBorders>
              <w:bottom w:val="single" w:sz="8" w:color="3F3F3F"/>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900" w:type="dxa"/>
            <w:vAlign w:val="bottom"/>
            <w:vMerge w:val="continue"/>
          </w:tcPr>
          <w:p>
            <w:pPr>
              <w:spacing w:after="0" w:line="20" w:lineRule="exact"/>
              <w:rPr>
                <w:sz w:val="1"/>
                <w:szCs w:val="1"/>
                <w:color w:val="auto"/>
              </w:rPr>
            </w:pPr>
          </w:p>
        </w:tc>
        <w:tc>
          <w:tcPr>
            <w:tcW w:w="220" w:type="dxa"/>
            <w:vAlign w:val="bottom"/>
            <w:tcBorders>
              <w:bottom w:val="single" w:sz="8" w:color="3F3F3F"/>
            </w:tcBorders>
          </w:tcPr>
          <w:p>
            <w:pPr>
              <w:spacing w:after="0" w:line="20" w:lineRule="exact"/>
              <w:rPr>
                <w:sz w:val="1"/>
                <w:szCs w:val="1"/>
                <w:color w:val="auto"/>
              </w:rPr>
            </w:pPr>
          </w:p>
        </w:tc>
        <w:tc>
          <w:tcPr>
            <w:tcW w:w="7520" w:type="dxa"/>
            <w:vAlign w:val="bottom"/>
            <w:tcBorders>
              <w:bottom w:val="single" w:sz="8" w:color="3F3F3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1900" w:type="dxa"/>
            <w:vAlign w:val="bottom"/>
            <w:vMerge w:val="continue"/>
          </w:tcPr>
          <w:p>
            <w:pPr>
              <w:spacing w:after="0"/>
              <w:rPr>
                <w:sz w:val="4"/>
                <w:szCs w:val="4"/>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75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4"/>
        </w:trPr>
        <w:tc>
          <w:tcPr>
            <w:tcW w:w="1900" w:type="dxa"/>
            <w:vAlign w:val="bottom"/>
            <w:vMerge w:val="restart"/>
          </w:tcPr>
          <w:p>
            <w:pPr>
              <w:spacing w:after="0"/>
              <w:rPr>
                <w:sz w:val="20"/>
                <w:szCs w:val="20"/>
                <w:color w:val="auto"/>
              </w:rPr>
            </w:pPr>
            <w:r>
              <w:rPr>
                <w:rFonts w:ascii="Arial" w:cs="Arial" w:eastAsia="Arial" w:hAnsi="Arial"/>
                <w:sz w:val="18"/>
                <w:szCs w:val="18"/>
                <w:color w:val="auto"/>
              </w:rPr>
              <w:t>Each Reporting</w:t>
            </w:r>
          </w:p>
        </w:tc>
        <w:tc>
          <w:tcPr>
            <w:tcW w:w="220" w:type="dxa"/>
            <w:vAlign w:val="bottom"/>
            <w:vMerge w:val="continue"/>
          </w:tcPr>
          <w:p>
            <w:pPr>
              <w:spacing w:after="0"/>
              <w:rPr>
                <w:sz w:val="14"/>
                <w:szCs w:val="14"/>
                <w:color w:val="auto"/>
              </w:rPr>
            </w:pPr>
          </w:p>
        </w:tc>
        <w:tc>
          <w:tcPr>
            <w:tcW w:w="7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19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7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900" w:type="dxa"/>
            <w:vAlign w:val="bottom"/>
          </w:tcPr>
          <w:p>
            <w:pPr>
              <w:spacing w:after="0"/>
              <w:rPr>
                <w:sz w:val="20"/>
                <w:szCs w:val="20"/>
                <w:color w:val="auto"/>
              </w:rPr>
            </w:pPr>
            <w:r>
              <w:rPr>
                <w:rFonts w:ascii="Arial" w:cs="Arial" w:eastAsia="Arial" w:hAnsi="Arial"/>
                <w:sz w:val="18"/>
                <w:szCs w:val="18"/>
                <w:color w:val="auto"/>
              </w:rPr>
              <w:t>Person With:</w:t>
            </w:r>
          </w:p>
        </w:tc>
        <w:tc>
          <w:tcPr>
            <w:tcW w:w="220" w:type="dxa"/>
            <w:vAlign w:val="bottom"/>
          </w:tcPr>
          <w:p>
            <w:pPr>
              <w:spacing w:after="0"/>
              <w:rPr>
                <w:sz w:val="20"/>
                <w:szCs w:val="20"/>
                <w:color w:val="auto"/>
              </w:rPr>
            </w:pPr>
          </w:p>
        </w:tc>
        <w:tc>
          <w:tcPr>
            <w:tcW w:w="75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1,984,156</w:t>
            </w: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-857250</wp:posOffset>
            </wp:positionV>
            <wp:extent cx="49136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13630" cy="8890"/>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-857250</wp:posOffset>
            </wp:positionV>
            <wp:extent cx="49136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13630" cy="8890"/>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0</wp:posOffset>
            </wp:positionV>
            <wp:extent cx="49136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13630" cy="8890"/>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0</wp:posOffset>
            </wp:positionV>
            <wp:extent cx="49136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13630" cy="8890"/>
                    </a:xfrm>
                    <a:prstGeom prst="rect">
                      <a:avLst/>
                    </a:prstGeom>
                    <a:noFill/>
                  </pic:spPr>
                </pic:pic>
              </a:graphicData>
            </a:graphic>
          </wp:anchor>
        </w:drawing>
      </w:r>
    </w:p>
    <w:p>
      <w:pPr>
        <w:spacing w:after="0" w:line="6" w:lineRule="exact"/>
        <w:rPr>
          <w:sz w:val="20"/>
          <w:szCs w:val="20"/>
          <w:color w:val="auto"/>
        </w:rPr>
      </w:pPr>
    </w:p>
    <w:p>
      <w:pPr>
        <w:ind w:left="2320" w:hanging="232"/>
        <w:spacing w:after="0"/>
        <w:tabs>
          <w:tab w:leader="none" w:pos="23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21" w:lineRule="exact"/>
        <w:rPr>
          <w:rFonts w:ascii="Arial" w:cs="Arial" w:eastAsia="Arial" w:hAnsi="Arial"/>
          <w:sz w:val="18"/>
          <w:szCs w:val="18"/>
          <w:color w:val="auto"/>
        </w:rPr>
      </w:pPr>
    </w:p>
    <w:p>
      <w:pPr>
        <w:ind w:left="2300"/>
        <w:spacing w:after="0"/>
        <w:rPr>
          <w:rFonts w:ascii="Arial" w:cs="Arial" w:eastAsia="Arial" w:hAnsi="Arial"/>
          <w:sz w:val="18"/>
          <w:szCs w:val="18"/>
          <w:color w:val="auto"/>
        </w:rPr>
      </w:pPr>
      <w:r>
        <w:rPr>
          <w:rFonts w:ascii="Arial" w:cs="Arial" w:eastAsia="Arial" w:hAnsi="Arial"/>
          <w:sz w:val="18"/>
          <w:szCs w:val="18"/>
          <w:b w:val="1"/>
          <w:bCs w:val="1"/>
          <w:color w:val="auto"/>
        </w:rPr>
        <w:t>0</w:t>
      </w:r>
    </w:p>
    <w:p>
      <w:pPr>
        <w:spacing w:after="0" w:line="53" w:lineRule="exact"/>
        <w:rPr>
          <w:rFonts w:ascii="Arial" w:cs="Arial" w:eastAsia="Arial" w:hAnsi="Arial"/>
          <w:sz w:val="18"/>
          <w:szCs w:val="18"/>
          <w:color w:val="auto"/>
        </w:rPr>
      </w:pPr>
    </w:p>
    <w:p>
      <w:pPr>
        <w:ind w:left="260" w:hanging="211"/>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-567690</wp:posOffset>
            </wp:positionV>
            <wp:extent cx="4913630" cy="4457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13630" cy="445770"/>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-567690</wp:posOffset>
            </wp:positionV>
            <wp:extent cx="4913630" cy="4457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13630" cy="445770"/>
                    </a:xfrm>
                    <a:prstGeom prst="rect">
                      <a:avLst/>
                    </a:prstGeom>
                    <a:noFill/>
                  </pic:spPr>
                </pic:pic>
              </a:graphicData>
            </a:graphic>
          </wp:anchor>
        </w:drawing>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1,984,156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2090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Borders>
              <w:bottom w:val="single" w:sz="8" w:color="3F3F3F"/>
            </w:tcBorders>
          </w:tcPr>
          <w:p>
            <w:pPr>
              <w:ind w:left="40"/>
              <w:spacing w:after="0"/>
              <w:rPr>
                <w:sz w:val="20"/>
                <w:szCs w:val="20"/>
                <w:color w:val="auto"/>
              </w:rPr>
            </w:pPr>
            <w:r>
              <w:rPr>
                <w:rFonts w:ascii="Arial" w:cs="Arial" w:eastAsia="Arial" w:hAnsi="Arial"/>
                <w:sz w:val="18"/>
                <w:szCs w:val="18"/>
                <w:color w:val="auto"/>
              </w:rPr>
              <w:t>10.</w:t>
            </w:r>
          </w:p>
        </w:tc>
        <w:tc>
          <w:tcPr>
            <w:tcW w:w="6500" w:type="dxa"/>
            <w:vAlign w:val="bottom"/>
            <w:tcBorders>
              <w:bottom w:val="single" w:sz="8" w:color="3F3F3F"/>
            </w:tcBorders>
          </w:tcPr>
          <w:p>
            <w:pPr>
              <w:ind w:left="40"/>
              <w:spacing w:after="0"/>
              <w:rPr>
                <w:sz w:val="20"/>
                <w:szCs w:val="20"/>
                <w:color w:val="auto"/>
              </w:rPr>
            </w:pPr>
            <w:r>
              <w:rPr>
                <w:rFonts w:ascii="Arial" w:cs="Arial" w:eastAsia="Arial" w:hAnsi="Arial"/>
                <w:sz w:val="18"/>
                <w:szCs w:val="18"/>
                <w:color w:val="auto"/>
                <w:w w:val="94"/>
              </w:rPr>
              <w:t>Check if the Aggregate Amount in Row (9) Excludes Certain Shares (see instructions)</w:t>
            </w:r>
          </w:p>
        </w:tc>
        <w:tc>
          <w:tcPr>
            <w:tcW w:w="2960" w:type="dxa"/>
            <w:vAlign w:val="bottom"/>
            <w:tcBorders>
              <w:bottom w:val="single" w:sz="8" w:color="3F3F3F"/>
            </w:tcBorders>
          </w:tcPr>
          <w:p>
            <w:pPr>
              <w:jc w:val="right"/>
              <w:ind w:right="2626"/>
              <w:spacing w:after="0"/>
              <w:rPr>
                <w:sz w:val="20"/>
                <w:szCs w:val="20"/>
                <w:color w:val="auto"/>
              </w:rPr>
            </w:pPr>
            <w:r>
              <w:rPr>
                <w:rFonts w:ascii="Arial" w:cs="Arial" w:eastAsia="Arial" w:hAnsi="Arial"/>
                <w:sz w:val="11"/>
                <w:szCs w:val="11"/>
                <w:color w:val="FFFFFF"/>
              </w:rPr>
              <w:t>.</w:t>
            </w:r>
          </w:p>
        </w:tc>
      </w:tr>
      <w:tr>
        <w:trPr>
          <w:trHeight w:val="20"/>
        </w:trPr>
        <w:tc>
          <w:tcPr>
            <w:tcW w:w="6820" w:type="dxa"/>
            <w:vAlign w:val="bottom"/>
            <w:tcBorders>
              <w:bottom w:val="single" w:sz="8" w:color="3F3F3F"/>
            </w:tcBorders>
            <w:gridSpan w:val="2"/>
          </w:tcPr>
          <w:p>
            <w:pPr>
              <w:spacing w:after="0" w:line="20" w:lineRule="exact"/>
              <w:rPr>
                <w:sz w:val="1"/>
                <w:szCs w:val="1"/>
                <w:color w:val="auto"/>
              </w:rPr>
            </w:pPr>
          </w:p>
        </w:tc>
        <w:tc>
          <w:tcPr>
            <w:tcW w:w="2960" w:type="dxa"/>
            <w:vAlign w:val="bottom"/>
            <w:tcBorders>
              <w:bottom w:val="single" w:sz="8" w:color="3F3F3F"/>
            </w:tcBorders>
          </w:tcPr>
          <w:p>
            <w:pPr>
              <w:spacing w:after="0" w:line="20" w:lineRule="exact"/>
              <w:rPr>
                <w:sz w:val="1"/>
                <w:szCs w:val="1"/>
                <w:color w:val="auto"/>
              </w:rPr>
            </w:pPr>
          </w:p>
        </w:tc>
      </w:tr>
      <w:tr>
        <w:trPr>
          <w:trHeight w:val="211"/>
        </w:trPr>
        <w:tc>
          <w:tcPr>
            <w:tcW w:w="6820" w:type="dxa"/>
            <w:vAlign w:val="bottom"/>
            <w:gridSpan w:val="2"/>
          </w:tcPr>
          <w:p>
            <w:pPr>
              <w:ind w:left="40"/>
              <w:spacing w:after="0"/>
              <w:rPr>
                <w:sz w:val="20"/>
                <w:szCs w:val="20"/>
                <w:color w:val="auto"/>
              </w:rPr>
            </w:pPr>
            <w:r>
              <w:rPr>
                <w:rFonts w:ascii="Arial" w:cs="Arial" w:eastAsia="Arial" w:hAnsi="Arial"/>
                <w:sz w:val="18"/>
                <w:szCs w:val="18"/>
                <w:color w:val="auto"/>
              </w:rPr>
              <w:t>11. Percent of Class Represented by Amount in Row (9)</w:t>
            </w:r>
          </w:p>
        </w:tc>
        <w:tc>
          <w:tcPr>
            <w:tcW w:w="2960" w:type="dxa"/>
            <w:vAlign w:val="bottom"/>
          </w:tcPr>
          <w:p>
            <w:pPr>
              <w:spacing w:after="0"/>
              <w:rPr>
                <w:sz w:val="18"/>
                <w:szCs w:val="18"/>
                <w:color w:val="auto"/>
              </w:rPr>
            </w:pPr>
          </w:p>
        </w:tc>
      </w:tr>
      <w:tr>
        <w:trPr>
          <w:trHeight w:val="458"/>
        </w:trPr>
        <w:tc>
          <w:tcPr>
            <w:tcW w:w="320" w:type="dxa"/>
            <w:vAlign w:val="bottom"/>
            <w:tcBorders>
              <w:bottom w:val="single" w:sz="8" w:color="3F3F3F"/>
            </w:tcBorders>
          </w:tcPr>
          <w:p>
            <w:pPr>
              <w:spacing w:after="0"/>
              <w:rPr>
                <w:sz w:val="24"/>
                <w:szCs w:val="24"/>
                <w:color w:val="auto"/>
              </w:rPr>
            </w:pPr>
          </w:p>
        </w:tc>
        <w:tc>
          <w:tcPr>
            <w:tcW w:w="6500" w:type="dxa"/>
            <w:vAlign w:val="bottom"/>
            <w:tcBorders>
              <w:bottom w:val="single" w:sz="8" w:color="3F3F3F"/>
            </w:tcBorders>
          </w:tcPr>
          <w:p>
            <w:pPr>
              <w:ind w:left="60"/>
              <w:spacing w:after="0"/>
              <w:rPr>
                <w:sz w:val="20"/>
                <w:szCs w:val="20"/>
                <w:color w:val="auto"/>
              </w:rPr>
            </w:pPr>
            <w:r>
              <w:rPr>
                <w:rFonts w:ascii="Arial" w:cs="Arial" w:eastAsia="Arial" w:hAnsi="Arial"/>
                <w:sz w:val="18"/>
                <w:szCs w:val="18"/>
                <w:b w:val="1"/>
                <w:bCs w:val="1"/>
                <w:color w:val="auto"/>
              </w:rPr>
              <w:t>8.94%</w:t>
            </w:r>
            <w:r>
              <w:rPr>
                <w:rFonts w:ascii="Arial" w:cs="Arial" w:eastAsia="Arial" w:hAnsi="Arial"/>
                <w:sz w:val="30"/>
                <w:szCs w:val="30"/>
                <w:color w:val="auto"/>
                <w:vertAlign w:val="superscript"/>
              </w:rPr>
              <w:t>1</w:t>
            </w:r>
          </w:p>
        </w:tc>
        <w:tc>
          <w:tcPr>
            <w:tcW w:w="2960" w:type="dxa"/>
            <w:vAlign w:val="bottom"/>
            <w:tcBorders>
              <w:bottom w:val="single" w:sz="8" w:color="3F3F3F"/>
            </w:tcBorders>
          </w:tcPr>
          <w:p>
            <w:pPr>
              <w:spacing w:after="0"/>
              <w:rPr>
                <w:sz w:val="24"/>
                <w:szCs w:val="24"/>
                <w:color w:val="auto"/>
              </w:rPr>
            </w:pPr>
          </w:p>
        </w:tc>
      </w:tr>
      <w:tr>
        <w:trPr>
          <w:trHeight w:val="20"/>
        </w:trPr>
        <w:tc>
          <w:tcPr>
            <w:tcW w:w="320" w:type="dxa"/>
            <w:vAlign w:val="bottom"/>
            <w:tcBorders>
              <w:bottom w:val="single" w:sz="8" w:color="3F3F3F"/>
            </w:tcBorders>
          </w:tcPr>
          <w:p>
            <w:pPr>
              <w:spacing w:after="0" w:line="20" w:lineRule="exact"/>
              <w:rPr>
                <w:sz w:val="1"/>
                <w:szCs w:val="1"/>
                <w:color w:val="auto"/>
              </w:rPr>
            </w:pPr>
          </w:p>
        </w:tc>
        <w:tc>
          <w:tcPr>
            <w:tcW w:w="6500" w:type="dxa"/>
            <w:vAlign w:val="bottom"/>
            <w:tcBorders>
              <w:bottom w:val="single" w:sz="8" w:color="3F3F3F"/>
            </w:tcBorders>
          </w:tcPr>
          <w:p>
            <w:pPr>
              <w:spacing w:after="0" w:line="20" w:lineRule="exact"/>
              <w:rPr>
                <w:sz w:val="1"/>
                <w:szCs w:val="1"/>
                <w:color w:val="auto"/>
              </w:rPr>
            </w:pPr>
          </w:p>
        </w:tc>
        <w:tc>
          <w:tcPr>
            <w:tcW w:w="2960" w:type="dxa"/>
            <w:vAlign w:val="bottom"/>
            <w:tcBorders>
              <w:bottom w:val="single" w:sz="8" w:color="3F3F3F"/>
            </w:tcBorders>
          </w:tcPr>
          <w:p>
            <w:pPr>
              <w:spacing w:after="0" w:line="20" w:lineRule="exact"/>
              <w:rPr>
                <w:sz w:val="1"/>
                <w:szCs w:val="1"/>
                <w:color w:val="auto"/>
              </w:rPr>
            </w:pPr>
          </w:p>
        </w:tc>
      </w:tr>
      <w:tr>
        <w:trPr>
          <w:trHeight w:val="211"/>
        </w:trPr>
        <w:tc>
          <w:tcPr>
            <w:tcW w:w="320" w:type="dxa"/>
            <w:vAlign w:val="bottom"/>
          </w:tcPr>
          <w:p>
            <w:pPr>
              <w:ind w:left="40"/>
              <w:spacing w:after="0"/>
              <w:rPr>
                <w:sz w:val="20"/>
                <w:szCs w:val="20"/>
                <w:color w:val="auto"/>
              </w:rPr>
            </w:pPr>
            <w:r>
              <w:rPr>
                <w:rFonts w:ascii="Arial" w:cs="Arial" w:eastAsia="Arial" w:hAnsi="Arial"/>
                <w:sz w:val="18"/>
                <w:szCs w:val="18"/>
                <w:color w:val="auto"/>
              </w:rPr>
              <w:t>12.</w:t>
            </w:r>
          </w:p>
        </w:tc>
        <w:tc>
          <w:tcPr>
            <w:tcW w:w="6500" w:type="dxa"/>
            <w:vAlign w:val="bottom"/>
          </w:tcPr>
          <w:p>
            <w:pPr>
              <w:ind w:left="40"/>
              <w:spacing w:after="0"/>
              <w:rPr>
                <w:sz w:val="20"/>
                <w:szCs w:val="20"/>
                <w:color w:val="auto"/>
              </w:rPr>
            </w:pPr>
            <w:r>
              <w:rPr>
                <w:rFonts w:ascii="Arial" w:cs="Arial" w:eastAsia="Arial" w:hAnsi="Arial"/>
                <w:sz w:val="18"/>
                <w:szCs w:val="18"/>
                <w:color w:val="auto"/>
              </w:rPr>
              <w:t>Type of Reporting Person (see instructions)</w:t>
            </w:r>
          </w:p>
        </w:tc>
        <w:tc>
          <w:tcPr>
            <w:tcW w:w="29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-780415</wp:posOffset>
            </wp:positionV>
            <wp:extent cx="62090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6209030" cy="437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09030" cy="43751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-748030</wp:posOffset>
            </wp:positionV>
            <wp:extent cx="107315" cy="1073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7315" cy="107315"/>
                    </a:xfrm>
                    <a:prstGeom prst="rect">
                      <a:avLst/>
                    </a:prstGeom>
                    <a:noFill/>
                  </pic:spPr>
                </pic:pic>
              </a:graphicData>
            </a:graphic>
          </wp:anchor>
        </w:drawing>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w:t>
      </w: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Name of Issuer:</w:t>
      </w:r>
    </w:p>
    <w:p>
      <w:pPr>
        <w:spacing w:after="0" w:line="227" w:lineRule="exact"/>
        <w:rPr>
          <w:sz w:val="20"/>
          <w:szCs w:val="20"/>
          <w:color w:val="auto"/>
        </w:rPr>
      </w:pPr>
    </w:p>
    <w:p>
      <w:pPr>
        <w:ind w:left="900"/>
        <w:spacing w:after="0"/>
        <w:rPr>
          <w:sz w:val="20"/>
          <w:szCs w:val="20"/>
          <w:color w:val="auto"/>
        </w:rPr>
      </w:pPr>
      <w:r>
        <w:rPr>
          <w:rFonts w:ascii="Arial" w:cs="Arial" w:eastAsia="Arial" w:hAnsi="Arial"/>
          <w:sz w:val="22"/>
          <w:szCs w:val="22"/>
          <w:b w:val="1"/>
          <w:bCs w:val="1"/>
          <w:color w:val="auto"/>
        </w:rPr>
        <w:t>Imprimis Pharmaceuticals, Inc.</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 Address of Issuer's Principal Executive Offices:</w:t>
      </w:r>
    </w:p>
    <w:p>
      <w:pPr>
        <w:spacing w:after="0" w:line="227" w:lineRule="exact"/>
        <w:rPr>
          <w:sz w:val="20"/>
          <w:szCs w:val="20"/>
          <w:color w:val="auto"/>
        </w:rPr>
      </w:pPr>
    </w:p>
    <w:p>
      <w:pPr>
        <w:ind w:left="900"/>
        <w:spacing w:after="0"/>
        <w:rPr>
          <w:sz w:val="20"/>
          <w:szCs w:val="20"/>
          <w:color w:val="auto"/>
        </w:rPr>
      </w:pPr>
      <w:r>
        <w:rPr>
          <w:rFonts w:ascii="Arial" w:cs="Arial" w:eastAsia="Arial" w:hAnsi="Arial"/>
          <w:sz w:val="22"/>
          <w:szCs w:val="22"/>
          <w:b w:val="1"/>
          <w:bCs w:val="1"/>
          <w:color w:val="auto"/>
        </w:rPr>
        <w:t>437 S. Highway 101, Suite 209</w:t>
      </w:r>
    </w:p>
    <w:p>
      <w:pPr>
        <w:spacing w:after="0" w:line="14" w:lineRule="exact"/>
        <w:rPr>
          <w:sz w:val="20"/>
          <w:szCs w:val="20"/>
          <w:color w:val="auto"/>
        </w:rPr>
      </w:pPr>
    </w:p>
    <w:p>
      <w:pPr>
        <w:ind w:left="900"/>
        <w:spacing w:after="0"/>
        <w:rPr>
          <w:sz w:val="20"/>
          <w:szCs w:val="20"/>
          <w:color w:val="auto"/>
        </w:rPr>
      </w:pPr>
      <w:r>
        <w:rPr>
          <w:rFonts w:ascii="Arial" w:cs="Arial" w:eastAsia="Arial" w:hAnsi="Arial"/>
          <w:sz w:val="22"/>
          <w:szCs w:val="22"/>
          <w:b w:val="1"/>
          <w:bCs w:val="1"/>
          <w:color w:val="auto"/>
        </w:rPr>
        <w:t>Solana Beach, CA 92075</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w:t>
      </w:r>
    </w:p>
    <w:p>
      <w:pPr>
        <w:spacing w:after="0" w:line="44" w:lineRule="exact"/>
        <w:rPr>
          <w:sz w:val="20"/>
          <w:szCs w:val="20"/>
          <w:color w:val="auto"/>
        </w:rPr>
      </w:pPr>
    </w:p>
    <w:p>
      <w:pPr>
        <w:ind w:right="759" w:firstLine="8"/>
        <w:spacing w:after="0" w:line="186" w:lineRule="auto"/>
        <w:tabs>
          <w:tab w:leader="none" w:pos="145" w:val="left"/>
        </w:tabs>
        <w:numPr>
          <w:ilvl w:val="0"/>
          <w:numId w:val="6"/>
        </w:numPr>
        <w:rPr>
          <w:rFonts w:ascii="Arial" w:cs="Arial" w:eastAsia="Arial" w:hAnsi="Arial"/>
          <w:sz w:val="36"/>
          <w:szCs w:val="36"/>
          <w:color w:val="auto"/>
          <w:vertAlign w:val="superscript"/>
        </w:rPr>
      </w:pPr>
      <w:r>
        <w:rPr>
          <w:rFonts w:ascii="Arial" w:cs="Arial" w:eastAsia="Arial" w:hAnsi="Arial"/>
          <w:sz w:val="22"/>
          <w:szCs w:val="22"/>
          <w:color w:val="auto"/>
        </w:rPr>
        <w:t>The percentage was calculated based upon 22,190,526 shares of Common Stock outstanding as of April 27, 2012.</w:t>
      </w:r>
    </w:p>
    <w:p>
      <w:pPr>
        <w:spacing w:after="0" w:line="200" w:lineRule="exact"/>
        <w:rPr>
          <w:sz w:val="20"/>
          <w:szCs w:val="20"/>
          <w:color w:val="auto"/>
        </w:rPr>
      </w:pPr>
    </w:p>
    <w:p>
      <w:pPr>
        <w:spacing w:after="0" w:line="256"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6011545" cy="946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11545" cy="9461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2.</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Name of Person Filing:</w:t>
      </w:r>
    </w:p>
    <w:p>
      <w:pPr>
        <w:spacing w:after="0" w:line="227" w:lineRule="exact"/>
        <w:rPr>
          <w:sz w:val="20"/>
          <w:szCs w:val="20"/>
          <w:color w:val="auto"/>
        </w:rPr>
      </w:pPr>
    </w:p>
    <w:p>
      <w:pPr>
        <w:ind w:left="900"/>
        <w:spacing w:after="0"/>
        <w:rPr>
          <w:sz w:val="20"/>
          <w:szCs w:val="20"/>
          <w:color w:val="auto"/>
        </w:rPr>
      </w:pPr>
      <w:r>
        <w:rPr>
          <w:rFonts w:ascii="Arial" w:cs="Arial" w:eastAsia="Arial" w:hAnsi="Arial"/>
          <w:sz w:val="22"/>
          <w:szCs w:val="22"/>
          <w:b w:val="1"/>
          <w:bCs w:val="1"/>
          <w:color w:val="auto"/>
        </w:rPr>
        <w:t>Alexej Ladonnikov</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 Address of Principal Business Office, or if None, Residence:</w:t>
      </w:r>
    </w:p>
    <w:p>
      <w:pPr>
        <w:spacing w:after="0" w:line="227" w:lineRule="exact"/>
        <w:rPr>
          <w:sz w:val="20"/>
          <w:szCs w:val="20"/>
          <w:color w:val="auto"/>
        </w:rPr>
      </w:pPr>
    </w:p>
    <w:p>
      <w:pPr>
        <w:ind w:left="900"/>
        <w:spacing w:after="0"/>
        <w:rPr>
          <w:sz w:val="20"/>
          <w:szCs w:val="20"/>
          <w:color w:val="auto"/>
        </w:rPr>
      </w:pPr>
      <w:r>
        <w:rPr>
          <w:rFonts w:ascii="Arial" w:cs="Arial" w:eastAsia="Arial" w:hAnsi="Arial"/>
          <w:sz w:val="22"/>
          <w:szCs w:val="22"/>
          <w:b w:val="1"/>
          <w:bCs w:val="1"/>
          <w:color w:val="auto"/>
        </w:rPr>
        <w:t>13388 Surrey Lane</w:t>
      </w:r>
    </w:p>
    <w:p>
      <w:pPr>
        <w:spacing w:after="0" w:line="14" w:lineRule="exact"/>
        <w:rPr>
          <w:sz w:val="20"/>
          <w:szCs w:val="20"/>
          <w:color w:val="auto"/>
        </w:rPr>
      </w:pPr>
    </w:p>
    <w:p>
      <w:pPr>
        <w:ind w:left="900"/>
        <w:spacing w:after="0"/>
        <w:rPr>
          <w:sz w:val="20"/>
          <w:szCs w:val="20"/>
          <w:color w:val="auto"/>
        </w:rPr>
      </w:pPr>
      <w:r>
        <w:rPr>
          <w:rFonts w:ascii="Arial" w:cs="Arial" w:eastAsia="Arial" w:hAnsi="Arial"/>
          <w:sz w:val="22"/>
          <w:szCs w:val="22"/>
          <w:b w:val="1"/>
          <w:bCs w:val="1"/>
          <w:color w:val="auto"/>
        </w:rPr>
        <w:t>Saratoga, CA 95070</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 Citizenship:</w:t>
      </w:r>
    </w:p>
    <w:p>
      <w:pPr>
        <w:spacing w:after="0" w:line="227" w:lineRule="exact"/>
        <w:rPr>
          <w:sz w:val="20"/>
          <w:szCs w:val="20"/>
          <w:color w:val="auto"/>
        </w:rPr>
      </w:pPr>
    </w:p>
    <w:p>
      <w:pPr>
        <w:ind w:left="900"/>
        <w:spacing w:after="0"/>
        <w:rPr>
          <w:sz w:val="20"/>
          <w:szCs w:val="20"/>
          <w:color w:val="auto"/>
        </w:rPr>
      </w:pPr>
      <w:r>
        <w:rPr>
          <w:rFonts w:ascii="Arial" w:cs="Arial" w:eastAsia="Arial" w:hAnsi="Arial"/>
          <w:sz w:val="22"/>
          <w:szCs w:val="22"/>
          <w:b w:val="1"/>
          <w:bCs w:val="1"/>
          <w:color w:val="auto"/>
        </w:rPr>
        <w:t>U.S.A.</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 Title of Class of Securities:</w:t>
      </w:r>
    </w:p>
    <w:p>
      <w:pPr>
        <w:spacing w:after="0" w:line="227" w:lineRule="exact"/>
        <w:rPr>
          <w:sz w:val="20"/>
          <w:szCs w:val="20"/>
          <w:color w:val="auto"/>
        </w:rPr>
      </w:pPr>
    </w:p>
    <w:p>
      <w:pPr>
        <w:ind w:left="900"/>
        <w:spacing w:after="0"/>
        <w:rPr>
          <w:sz w:val="20"/>
          <w:szCs w:val="20"/>
          <w:color w:val="auto"/>
        </w:rPr>
      </w:pPr>
      <w:r>
        <w:rPr>
          <w:rFonts w:ascii="Arial" w:cs="Arial" w:eastAsia="Arial" w:hAnsi="Arial"/>
          <w:sz w:val="22"/>
          <w:szCs w:val="22"/>
          <w:b w:val="1"/>
          <w:bCs w:val="1"/>
          <w:color w:val="auto"/>
        </w:rPr>
        <w:t>Common Stock, par value $0.001</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 CUSIP Number:</w:t>
      </w:r>
    </w:p>
    <w:p>
      <w:pPr>
        <w:spacing w:after="0" w:line="227" w:lineRule="exact"/>
        <w:rPr>
          <w:sz w:val="20"/>
          <w:szCs w:val="20"/>
          <w:color w:val="auto"/>
        </w:rPr>
      </w:pPr>
    </w:p>
    <w:p>
      <w:pPr>
        <w:ind w:left="900"/>
        <w:spacing w:after="0"/>
        <w:rPr>
          <w:sz w:val="20"/>
          <w:szCs w:val="20"/>
          <w:color w:val="auto"/>
        </w:rPr>
      </w:pPr>
      <w:r>
        <w:rPr>
          <w:rFonts w:ascii="Arial" w:cs="Arial" w:eastAsia="Arial" w:hAnsi="Arial"/>
          <w:sz w:val="22"/>
          <w:szCs w:val="22"/>
          <w:b w:val="1"/>
          <w:bCs w:val="1"/>
          <w:color w:val="auto"/>
        </w:rPr>
        <w:t>45323A 102</w:t>
      </w:r>
    </w:p>
    <w:p>
      <w:pPr>
        <w:spacing w:after="0" w:line="2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3. IF THIS STATEMENT IS FILED PURSUANT TO SS.240.13d-1(b) OR 240.13d-2(b) OR (c),</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CHECK WHETHER THE PERSON FILING IS A:</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OWNERSHIP.</w:t>
      </w:r>
    </w:p>
    <w:p>
      <w:pPr>
        <w:spacing w:after="0" w:line="239" w:lineRule="exact"/>
        <w:rPr>
          <w:sz w:val="20"/>
          <w:szCs w:val="20"/>
          <w:color w:val="auto"/>
        </w:rPr>
      </w:pPr>
    </w:p>
    <w:p>
      <w:pPr>
        <w:ind w:right="759"/>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Amount beneficially owned:</w:t>
      </w:r>
    </w:p>
    <w:p>
      <w:pPr>
        <w:spacing w:after="0" w:line="227" w:lineRule="exact"/>
        <w:rPr>
          <w:sz w:val="20"/>
          <w:szCs w:val="20"/>
          <w:color w:val="auto"/>
        </w:rPr>
      </w:pPr>
    </w:p>
    <w:p>
      <w:pPr>
        <w:ind w:left="900"/>
        <w:spacing w:after="0"/>
        <w:rPr>
          <w:sz w:val="20"/>
          <w:szCs w:val="20"/>
          <w:color w:val="auto"/>
        </w:rPr>
      </w:pPr>
      <w:r>
        <w:rPr>
          <w:rFonts w:ascii="Arial" w:cs="Arial" w:eastAsia="Arial" w:hAnsi="Arial"/>
          <w:sz w:val="22"/>
          <w:szCs w:val="22"/>
          <w:b w:val="1"/>
          <w:bCs w:val="1"/>
          <w:color w:val="auto"/>
        </w:rPr>
        <w:t>1,984,156</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 Percent of class:</w:t>
      </w:r>
    </w:p>
    <w:p>
      <w:pPr>
        <w:spacing w:after="0" w:line="227" w:lineRule="exact"/>
        <w:rPr>
          <w:sz w:val="20"/>
          <w:szCs w:val="20"/>
          <w:color w:val="auto"/>
        </w:rPr>
      </w:pPr>
    </w:p>
    <w:p>
      <w:pPr>
        <w:ind w:left="900"/>
        <w:spacing w:after="0"/>
        <w:rPr>
          <w:sz w:val="20"/>
          <w:szCs w:val="20"/>
          <w:color w:val="auto"/>
        </w:rPr>
      </w:pPr>
      <w:r>
        <w:rPr>
          <w:rFonts w:ascii="Arial" w:cs="Arial" w:eastAsia="Arial" w:hAnsi="Arial"/>
          <w:sz w:val="22"/>
          <w:szCs w:val="22"/>
          <w:b w:val="1"/>
          <w:bCs w:val="1"/>
          <w:color w:val="auto"/>
        </w:rPr>
        <w:t>8.94%</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 Number of shares as to which such person has: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 Sole power to vote or to direct the vote</w:t>
      </w:r>
    </w:p>
    <w:p>
      <w:pPr>
        <w:spacing w:after="0" w:line="227" w:lineRule="exact"/>
        <w:rPr>
          <w:sz w:val="20"/>
          <w:szCs w:val="20"/>
          <w:color w:val="auto"/>
        </w:rPr>
      </w:pPr>
    </w:p>
    <w:p>
      <w:pPr>
        <w:ind w:left="1540"/>
        <w:spacing w:after="0"/>
        <w:rPr>
          <w:sz w:val="20"/>
          <w:szCs w:val="20"/>
          <w:color w:val="auto"/>
        </w:rPr>
      </w:pPr>
      <w:r>
        <w:rPr>
          <w:rFonts w:ascii="Arial" w:cs="Arial" w:eastAsia="Arial" w:hAnsi="Arial"/>
          <w:sz w:val="22"/>
          <w:szCs w:val="22"/>
          <w:b w:val="1"/>
          <w:bCs w:val="1"/>
          <w:color w:val="auto"/>
        </w:rPr>
        <w:t>1,984,156</w:t>
      </w:r>
    </w:p>
    <w:p>
      <w:pPr>
        <w:spacing w:after="0" w:line="200" w:lineRule="exact"/>
        <w:rPr>
          <w:sz w:val="20"/>
          <w:szCs w:val="20"/>
          <w:color w:val="auto"/>
        </w:rPr>
      </w:pPr>
    </w:p>
    <w:p>
      <w:pPr>
        <w:spacing w:after="0" w:line="28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(ii) Shared power to vote or to direct the vote</w:t>
      </w:r>
    </w:p>
    <w:p>
      <w:pPr>
        <w:spacing w:after="0" w:line="227" w:lineRule="exact"/>
        <w:rPr>
          <w:sz w:val="20"/>
          <w:szCs w:val="20"/>
          <w:color w:val="auto"/>
        </w:rPr>
      </w:pPr>
    </w:p>
    <w:p>
      <w:pPr>
        <w:ind w:left="1540"/>
        <w:spacing w:after="0"/>
        <w:rPr>
          <w:sz w:val="20"/>
          <w:szCs w:val="20"/>
          <w:color w:val="auto"/>
        </w:rPr>
      </w:pPr>
      <w:r>
        <w:rPr>
          <w:rFonts w:ascii="Arial" w:cs="Arial" w:eastAsia="Arial" w:hAnsi="Arial"/>
          <w:sz w:val="22"/>
          <w:szCs w:val="22"/>
          <w:b w:val="1"/>
          <w:bCs w:val="1"/>
          <w:color w:val="auto"/>
        </w:rPr>
        <w:t>0</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(iii) Sole power to dispose or to direct the disposition of</w:t>
      </w:r>
    </w:p>
    <w:p>
      <w:pPr>
        <w:spacing w:after="0" w:line="227" w:lineRule="exact"/>
        <w:rPr>
          <w:sz w:val="20"/>
          <w:szCs w:val="20"/>
          <w:color w:val="auto"/>
        </w:rPr>
      </w:pPr>
    </w:p>
    <w:p>
      <w:pPr>
        <w:ind w:left="1620"/>
        <w:spacing w:after="0"/>
        <w:rPr>
          <w:sz w:val="20"/>
          <w:szCs w:val="20"/>
          <w:color w:val="auto"/>
        </w:rPr>
      </w:pPr>
      <w:r>
        <w:rPr>
          <w:rFonts w:ascii="Arial" w:cs="Arial" w:eastAsia="Arial" w:hAnsi="Arial"/>
          <w:sz w:val="22"/>
          <w:szCs w:val="22"/>
          <w:b w:val="1"/>
          <w:bCs w:val="1"/>
          <w:color w:val="auto"/>
        </w:rPr>
        <w:t>1,984,156</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(iv) Shared power to dispose or to direct the disposition of</w:t>
      </w:r>
    </w:p>
    <w:p>
      <w:pPr>
        <w:spacing w:after="0" w:line="227" w:lineRule="exact"/>
        <w:rPr>
          <w:sz w:val="20"/>
          <w:szCs w:val="20"/>
          <w:color w:val="auto"/>
        </w:rPr>
      </w:pPr>
    </w:p>
    <w:p>
      <w:pPr>
        <w:ind w:left="1620"/>
        <w:spacing w:after="0"/>
        <w:rPr>
          <w:sz w:val="20"/>
          <w:szCs w:val="20"/>
          <w:color w:val="auto"/>
        </w:rPr>
      </w:pPr>
      <w:r>
        <w:rPr>
          <w:rFonts w:ascii="Arial" w:cs="Arial" w:eastAsia="Arial" w:hAnsi="Arial"/>
          <w:sz w:val="22"/>
          <w:szCs w:val="22"/>
          <w:b w:val="1"/>
          <w:bCs w:val="1"/>
          <w:color w:val="auto"/>
        </w:rPr>
        <w:t>0</w:t>
      </w:r>
    </w:p>
    <w:p>
      <w:pPr>
        <w:sectPr>
          <w:pgSz w:w="11900" w:h="16838" w:orient="portrait"/>
          <w:cols w:equalWidth="0" w:num="1">
            <w:col w:w="10219"/>
          </w:cols>
          <w:pgMar w:left="240" w:top="355" w:right="1440" w:bottom="842" w:gutter="0" w:footer="0" w:header="0"/>
        </w:sectPr>
      </w:pPr>
    </w:p>
    <w:p>
      <w:pPr>
        <w:spacing w:after="0" w:line="200" w:lineRule="exact"/>
        <w:rPr>
          <w:sz w:val="20"/>
          <w:szCs w:val="20"/>
          <w:color w:val="auto"/>
        </w:rPr>
      </w:pPr>
    </w:p>
    <w:p>
      <w:pPr>
        <w:spacing w:after="0" w:line="282" w:lineRule="exact"/>
        <w:rPr>
          <w:sz w:val="20"/>
          <w:szCs w:val="20"/>
          <w:color w:val="auto"/>
        </w:rPr>
      </w:pPr>
    </w:p>
    <w:p>
      <w:pPr>
        <w:ind w:left="4680"/>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6011545" cy="946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11545" cy="94615"/>
                    </a:xfrm>
                    <a:prstGeom prst="rect">
                      <a:avLst/>
                    </a:prstGeom>
                    <a:noFill/>
                  </pic:spPr>
                </pic:pic>
              </a:graphicData>
            </a:graphic>
          </wp:anchor>
        </w:drawing>
      </w:r>
    </w:p>
    <w:p>
      <w:pPr>
        <w:sectPr>
          <w:pgSz w:w="11900" w:h="16838" w:orient="portrait"/>
          <w:cols w:equalWidth="0" w:num="1">
            <w:col w:w="10219"/>
          </w:cols>
          <w:pgMar w:left="240" w:top="355" w:right="1440" w:bottom="842" w:gutter="0" w:footer="0" w:header="0"/>
          <w:type w:val="continuous"/>
        </w:sectPr>
      </w:pPr>
    </w:p>
    <w:bookmarkStart w:id="3" w:name="page4"/>
    <w:bookmarkEnd w:id="3"/>
    <w:p>
      <w:pPr>
        <w:spacing w:after="0"/>
        <w:rPr>
          <w:sz w:val="20"/>
          <w:szCs w:val="20"/>
          <w:color w:val="auto"/>
        </w:rPr>
      </w:pPr>
      <w:r>
        <w:rPr>
          <w:rFonts w:ascii="Arial" w:cs="Arial" w:eastAsia="Arial" w:hAnsi="Arial"/>
          <w:sz w:val="22"/>
          <w:szCs w:val="22"/>
          <w:b w:val="1"/>
          <w:bCs w:val="1"/>
          <w:color w:val="auto"/>
        </w:rPr>
        <w:t>ITEM 5. OWNERSHIP OF FIVE PERCENT OR LESS OF A CLASS.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6. OWNERSHIP OF MORE THAN FIVE PERCENT ON BEHALF OF ANOTHER PERSON.</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jc w:val="both"/>
        <w:ind w:right="759"/>
        <w:spacing w:after="0" w:line="256" w:lineRule="auto"/>
        <w:rPr>
          <w:sz w:val="20"/>
          <w:szCs w:val="20"/>
          <w:color w:val="auto"/>
        </w:rPr>
      </w:pPr>
      <w:r>
        <w:rPr>
          <w:rFonts w:ascii="Arial" w:cs="Arial" w:eastAsia="Arial" w:hAnsi="Arial"/>
          <w:sz w:val="22"/>
          <w:szCs w:val="22"/>
          <w:b w:val="1"/>
          <w:bCs w:val="1"/>
          <w:color w:val="auto"/>
        </w:rPr>
        <w:t>ITEM 7. IDENTIFICATION AND CLASSIFICATION OF THE SUBSIDIARY WHICH ACQUIRED THE SECURITY BEING REPORTED ON BY THE PARENT HOLDING COMPANY.</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IDENTIFICATION AND CLASSIFICATION OF MEMBERS OF THE GROUP.</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NOTICE OF DISSOLUTION OF GROUP.</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CERTIFICATIONS.</w:t>
      </w:r>
    </w:p>
    <w:p>
      <w:pPr>
        <w:spacing w:after="0" w:line="239" w:lineRule="exact"/>
        <w:rPr>
          <w:sz w:val="20"/>
          <w:szCs w:val="20"/>
          <w:color w:val="auto"/>
        </w:rPr>
      </w:pPr>
    </w:p>
    <w:p>
      <w:pPr>
        <w:jc w:val="both"/>
        <w:ind w:right="739"/>
        <w:spacing w:after="0" w:line="236"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such purpose or effect, other than activities solely in connection with a nomination under § 240.14a-11.</w:t>
      </w:r>
    </w:p>
    <w:p>
      <w:pPr>
        <w:spacing w:after="0" w:line="200" w:lineRule="exact"/>
        <w:rPr>
          <w:sz w:val="20"/>
          <w:szCs w:val="20"/>
          <w:color w:val="auto"/>
        </w:rPr>
      </w:pPr>
    </w:p>
    <w:p>
      <w:pPr>
        <w:spacing w:after="0" w:line="252" w:lineRule="exact"/>
        <w:rPr>
          <w:sz w:val="20"/>
          <w:szCs w:val="20"/>
          <w:color w:val="auto"/>
        </w:rPr>
      </w:pPr>
    </w:p>
    <w:p>
      <w:pPr>
        <w:jc w:val="center"/>
        <w:ind w:right="739"/>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jc w:val="both"/>
        <w:ind w:right="759"/>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46" w:lineRule="exact"/>
        <w:rPr>
          <w:sz w:val="20"/>
          <w:szCs w:val="20"/>
          <w:color w:val="auto"/>
        </w:rPr>
      </w:pPr>
    </w:p>
    <w:p>
      <w:pPr>
        <w:spacing w:after="0"/>
        <w:tabs>
          <w:tab w:leader="none" w:pos="4500" w:val="left"/>
        </w:tabs>
        <w:rPr>
          <w:sz w:val="20"/>
          <w:szCs w:val="20"/>
          <w:color w:val="auto"/>
        </w:rPr>
      </w:pPr>
      <w:r>
        <w:rPr>
          <w:rFonts w:ascii="Arial" w:cs="Arial" w:eastAsia="Arial" w:hAnsi="Arial"/>
          <w:sz w:val="18"/>
          <w:szCs w:val="18"/>
          <w:color w:val="auto"/>
        </w:rPr>
        <w:t>Dated: April 27, 2012</w:t>
      </w:r>
      <w:r>
        <w:rPr>
          <w:sz w:val="20"/>
          <w:szCs w:val="20"/>
          <w:color w:val="auto"/>
        </w:rPr>
        <w:tab/>
      </w:r>
      <w:r>
        <w:rPr>
          <w:rFonts w:ascii="Arial" w:cs="Arial" w:eastAsia="Arial" w:hAnsi="Arial"/>
          <w:sz w:val="18"/>
          <w:szCs w:val="18"/>
          <w:b w:val="1"/>
          <w:bCs w:val="1"/>
          <w:color w:val="auto"/>
        </w:rPr>
        <w:t>ALEXEJ LADONNIKOV</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/s/ Alexej Ladonnikov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-10160</wp:posOffset>
            </wp:positionV>
            <wp:extent cx="13328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32865"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Alexej Ladonnikov</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 individual</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4</w:t>
      </w:r>
    </w:p>
    <w:sectPr>
      <w:pgSz w:w="11900" w:h="16838" w:orient="portrait"/>
      <w:cols w:equalWidth="0" w:num="1">
        <w:col w:w="10219"/>
      </w:cols>
      <w:pgMar w:left="240" w:top="3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X"/>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4"/>
    </w:lvl>
    <w:lvl w:ilvl="1">
      <w:lvlJc w:val="left"/>
      <w:lvlText w:val="%2."/>
      <w:numFmt w:val="decimal"/>
      <w:start w:val="5"/>
    </w:lvl>
  </w:abstractNum>
  <w:abstractNum w:abstractNumId="3">
    <w:nsid w:val="46E87CCD"/>
    <w:multiLevelType w:val="hybridMultilevel"/>
    <w:lvl w:ilvl="0">
      <w:lvlJc w:val="left"/>
      <w:lvlText w:val="%1"/>
      <w:numFmt w:val="decimal"/>
      <w:start w:val="1"/>
    </w:lvl>
    <w:lvl w:ilvl="1">
      <w:lvlJc w:val="left"/>
      <w:lvlText w:val="%2."/>
      <w:numFmt w:val="decimal"/>
      <w:start w:val="8"/>
    </w:lvl>
  </w:abstractNum>
  <w:abstractNum w:abstractNumId="4">
    <w:nsid w:val="3D1B58BA"/>
    <w:multiLevelType w:val="hybridMultilevel"/>
    <w:lvl w:ilvl="0">
      <w:lvlJc w:val="left"/>
      <w:lvlText w:val="%1."/>
      <w:numFmt w:val="decimal"/>
      <w:start w:val="9"/>
    </w:lvl>
    <w:lvl w:ilvl="1">
      <w:lvlJc w:val="left"/>
      <w:lvlText w:val="%2"/>
      <w:numFmt w:val="decimal"/>
      <w:start w:val="1"/>
    </w:lvl>
  </w:abstractNum>
  <w:abstractNum w:abstractNumId="5">
    <w:nsid w:val="507ED7AB"/>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2020-01-30T07:42:11Z</dcterms:created>
  <dcterms:modified xsi:type="dcterms:W3CDTF">2020-01-30T07:42:11Z</dcterms:modified>
</cp:coreProperties>
</file>