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0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001-35814</w:t>
            </w:r>
          </w:p>
        </w:tc>
        <w:tc>
          <w:tcPr>
            <w:tcW w:w="200" w:type="dxa"/>
            <w:vAlign w:val="bottom"/>
          </w:tcPr>
          <w:p>
            <w:pPr>
              <w:spacing w:after="0"/>
              <w:rPr>
                <w:sz w:val="19"/>
                <w:szCs w:val="19"/>
                <w:color w:val="auto"/>
              </w:rPr>
            </w:pPr>
          </w:p>
        </w:tc>
        <w:tc>
          <w:tcPr>
            <w:tcW w:w="422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20" w:type="dxa"/>
            <w:vAlign w:val="bottom"/>
          </w:tcPr>
          <w:p>
            <w:pPr>
              <w:spacing w:after="0"/>
              <w:rPr>
                <w:sz w:val="18"/>
                <w:szCs w:val="18"/>
                <w:color w:val="auto"/>
              </w:rPr>
            </w:pPr>
          </w:p>
        </w:tc>
        <w:tc>
          <w:tcPr>
            <w:tcW w:w="5200" w:type="dxa"/>
            <w:vAlign w:val="bottom"/>
            <w:gridSpan w:val="4"/>
          </w:tcPr>
          <w:p>
            <w:pPr>
              <w:jc w:val="center"/>
              <w:ind w:right="1560"/>
              <w:spacing w:after="0"/>
              <w:rPr>
                <w:sz w:val="20"/>
                <w:szCs w:val="20"/>
                <w:color w:val="auto"/>
              </w:rPr>
            </w:pPr>
            <w:r>
              <w:rPr>
                <w:rFonts w:ascii="Arial" w:cs="Arial" w:eastAsia="Arial" w:hAnsi="Arial"/>
                <w:sz w:val="18"/>
                <w:szCs w:val="18"/>
                <w:color w:val="auto"/>
                <w:w w:val="91"/>
              </w:rPr>
              <w:t>(State or other jurisdiction</w:t>
            </w:r>
          </w:p>
        </w:tc>
        <w:tc>
          <w:tcPr>
            <w:tcW w:w="1980" w:type="dxa"/>
            <w:vAlign w:val="bottom"/>
            <w:gridSpan w:val="2"/>
          </w:tcPr>
          <w:p>
            <w:pPr>
              <w:jc w:val="center"/>
              <w:ind w:right="1000"/>
              <w:spacing w:after="0"/>
              <w:rPr>
                <w:sz w:val="20"/>
                <w:szCs w:val="20"/>
                <w:color w:val="auto"/>
              </w:rPr>
            </w:pPr>
            <w:r>
              <w:rPr>
                <w:rFonts w:ascii="Arial" w:cs="Arial" w:eastAsia="Arial" w:hAnsi="Arial"/>
                <w:sz w:val="18"/>
                <w:szCs w:val="18"/>
                <w:color w:val="auto"/>
                <w:w w:val="93"/>
              </w:rPr>
              <w:t>(Commission</w:t>
            </w:r>
          </w:p>
        </w:tc>
        <w:tc>
          <w:tcPr>
            <w:tcW w:w="1380" w:type="dxa"/>
            <w:vAlign w:val="bottom"/>
          </w:tcPr>
          <w:p>
            <w:pPr>
              <w:spacing w:after="0"/>
              <w:rPr>
                <w:sz w:val="18"/>
                <w:szCs w:val="18"/>
                <w:color w:val="auto"/>
              </w:rPr>
            </w:pPr>
          </w:p>
        </w:tc>
        <w:tc>
          <w:tcPr>
            <w:tcW w:w="2840" w:type="dxa"/>
            <w:vAlign w:val="bottom"/>
          </w:tcPr>
          <w:p>
            <w:pPr>
              <w:jc w:val="center"/>
              <w:ind w:right="730"/>
              <w:spacing w:after="0"/>
              <w:rPr>
                <w:sz w:val="20"/>
                <w:szCs w:val="20"/>
                <w:color w:val="auto"/>
              </w:rPr>
            </w:pPr>
            <w:r>
              <w:rPr>
                <w:rFonts w:ascii="Arial" w:cs="Arial" w:eastAsia="Arial" w:hAnsi="Arial"/>
                <w:sz w:val="18"/>
                <w:szCs w:val="18"/>
                <w:color w:val="auto"/>
                <w:w w:val="93"/>
              </w:rPr>
              <w:t>(IRS Employer</w:t>
            </w:r>
          </w:p>
        </w:tc>
      </w:tr>
      <w:tr>
        <w:trPr>
          <w:trHeight w:val="230"/>
        </w:trPr>
        <w:tc>
          <w:tcPr>
            <w:tcW w:w="20" w:type="dxa"/>
            <w:vAlign w:val="bottom"/>
          </w:tcPr>
          <w:p>
            <w:pPr>
              <w:spacing w:after="0"/>
              <w:rPr>
                <w:sz w:val="20"/>
                <w:szCs w:val="20"/>
                <w:color w:val="auto"/>
              </w:rPr>
            </w:pPr>
          </w:p>
        </w:tc>
        <w:tc>
          <w:tcPr>
            <w:tcW w:w="5200" w:type="dxa"/>
            <w:vAlign w:val="bottom"/>
            <w:gridSpan w:val="4"/>
          </w:tcPr>
          <w:p>
            <w:pPr>
              <w:jc w:val="center"/>
              <w:ind w:right="1560"/>
              <w:spacing w:after="0"/>
              <w:rPr>
                <w:sz w:val="20"/>
                <w:szCs w:val="20"/>
                <w:color w:val="auto"/>
              </w:rPr>
            </w:pPr>
            <w:r>
              <w:rPr>
                <w:rFonts w:ascii="Arial" w:cs="Arial" w:eastAsia="Arial" w:hAnsi="Arial"/>
                <w:sz w:val="18"/>
                <w:szCs w:val="18"/>
                <w:color w:val="auto"/>
                <w:w w:val="95"/>
              </w:rPr>
              <w:t>of incorporation)</w:t>
            </w:r>
          </w:p>
        </w:tc>
        <w:tc>
          <w:tcPr>
            <w:tcW w:w="198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File Number)</w:t>
            </w:r>
          </w:p>
        </w:tc>
        <w:tc>
          <w:tcPr>
            <w:tcW w:w="1380" w:type="dxa"/>
            <w:vAlign w:val="bottom"/>
          </w:tcPr>
          <w:p>
            <w:pPr>
              <w:spacing w:after="0"/>
              <w:rPr>
                <w:sz w:val="20"/>
                <w:szCs w:val="20"/>
                <w:color w:val="auto"/>
              </w:rPr>
            </w:pPr>
          </w:p>
        </w:tc>
        <w:tc>
          <w:tcPr>
            <w:tcW w:w="2840" w:type="dxa"/>
            <w:vAlign w:val="bottom"/>
          </w:tcPr>
          <w:p>
            <w:pPr>
              <w:jc w:val="center"/>
              <w:ind w:right="7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0" w:type="dxa"/>
            <w:vAlign w:val="bottom"/>
          </w:tcPr>
          <w:p>
            <w:pPr>
              <w:spacing w:after="0"/>
              <w:rPr>
                <w:sz w:val="24"/>
                <w:szCs w:val="24"/>
                <w:color w:val="auto"/>
              </w:rPr>
            </w:pPr>
          </w:p>
        </w:tc>
        <w:tc>
          <w:tcPr>
            <w:tcW w:w="5200" w:type="dxa"/>
            <w:vAlign w:val="bottom"/>
            <w:gridSpan w:val="4"/>
          </w:tcPr>
          <w:p>
            <w:pPr>
              <w:jc w:val="center"/>
              <w:ind w:left="2230"/>
              <w:spacing w:after="0"/>
              <w:rPr>
                <w:sz w:val="20"/>
                <w:szCs w:val="20"/>
                <w:color w:val="auto"/>
              </w:rPr>
            </w:pPr>
            <w:r>
              <w:rPr>
                <w:rFonts w:ascii="Arial" w:cs="Arial" w:eastAsia="Arial" w:hAnsi="Arial"/>
                <w:sz w:val="18"/>
                <w:szCs w:val="18"/>
                <w:b w:val="1"/>
                <w:bCs w:val="1"/>
                <w:color w:val="auto"/>
                <w:w w:val="91"/>
              </w:rPr>
              <w:t>12264 El Camino Real, Suite 350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36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0"/>
              </w:rPr>
              <w:t>San Diego, CA</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2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92130</w:t>
            </w:r>
          </w:p>
        </w:tc>
      </w:tr>
      <w:tr>
        <w:trPr>
          <w:trHeight w:val="230"/>
        </w:trPr>
        <w:tc>
          <w:tcPr>
            <w:tcW w:w="20" w:type="dxa"/>
            <w:vAlign w:val="bottom"/>
          </w:tcPr>
          <w:p>
            <w:pPr>
              <w:spacing w:after="0"/>
              <w:rPr>
                <w:sz w:val="20"/>
                <w:szCs w:val="20"/>
                <w:color w:val="auto"/>
              </w:rPr>
            </w:pPr>
          </w:p>
        </w:tc>
        <w:tc>
          <w:tcPr>
            <w:tcW w:w="5200" w:type="dxa"/>
            <w:vAlign w:val="bottom"/>
            <w:gridSpan w:val="4"/>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40" w:type="dxa"/>
            <w:vAlign w:val="bottom"/>
          </w:tcPr>
          <w:p>
            <w:pPr>
              <w:jc w:val="center"/>
              <w:ind w:right="710"/>
              <w:spacing w:after="0"/>
              <w:rPr>
                <w:sz w:val="20"/>
                <w:szCs w:val="20"/>
                <w:color w:val="auto"/>
              </w:rPr>
            </w:pPr>
            <w:r>
              <w:rPr>
                <w:rFonts w:ascii="Arial" w:cs="Arial" w:eastAsia="Arial" w:hAnsi="Arial"/>
                <w:sz w:val="18"/>
                <w:szCs w:val="18"/>
                <w:color w:val="auto"/>
                <w:w w:val="94"/>
              </w:rPr>
              <w:t>(Zip Code)</w:t>
            </w:r>
          </w:p>
        </w:tc>
      </w:tr>
      <w:tr>
        <w:trPr>
          <w:trHeight w:val="432"/>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560" w:type="dxa"/>
            <w:vAlign w:val="bottom"/>
            <w:gridSpan w:val="7"/>
          </w:tcPr>
          <w:p>
            <w:pPr>
              <w:jc w:val="center"/>
              <w:ind w:right="27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(858) 704-4040</w:t>
            </w:r>
          </w:p>
        </w:tc>
      </w:tr>
      <w:tr>
        <w:trPr>
          <w:trHeight w:val="43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center"/>
              <w:ind w:right="100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Borders>
              <w:bottom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5720" w:type="dxa"/>
            <w:vAlign w:val="bottom"/>
            <w:gridSpan w:val="6"/>
          </w:tcPr>
          <w:p>
            <w:pPr>
              <w:jc w:val="center"/>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840" w:type="dxa"/>
            <w:vAlign w:val="bottom"/>
          </w:tcPr>
          <w:p>
            <w:pPr>
              <w:spacing w:after="0"/>
              <w:rPr>
                <w:sz w:val="20"/>
                <w:szCs w:val="20"/>
                <w:color w:val="auto"/>
              </w:rPr>
            </w:pPr>
          </w:p>
        </w:tc>
      </w:tr>
      <w:tr>
        <w:trPr>
          <w:trHeight w:val="431"/>
        </w:trPr>
        <w:tc>
          <w:tcPr>
            <w:tcW w:w="5220" w:type="dxa"/>
            <w:vAlign w:val="bottom"/>
            <w:gridSpan w:val="5"/>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5200" w:type="dxa"/>
            <w:vAlign w:val="bottom"/>
            <w:gridSpan w:val="4"/>
          </w:tcPr>
          <w:p>
            <w:pPr>
              <w:jc w:val="center"/>
              <w:ind w:right="540"/>
              <w:spacing w:after="0"/>
              <w:rPr>
                <w:sz w:val="20"/>
                <w:szCs w:val="20"/>
                <w:color w:val="auto"/>
              </w:rPr>
            </w:pPr>
            <w:r>
              <w:rPr>
                <w:rFonts w:ascii="Arial" w:cs="Arial" w:eastAsia="Arial" w:hAnsi="Arial"/>
                <w:sz w:val="18"/>
                <w:szCs w:val="18"/>
                <w:color w:val="auto"/>
                <w:w w:val="90"/>
              </w:rPr>
              <w:t>Title of each class</w:t>
            </w:r>
          </w:p>
        </w:tc>
        <w:tc>
          <w:tcPr>
            <w:tcW w:w="19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Trading Symbol(s)</w:t>
            </w:r>
          </w:p>
        </w:tc>
        <w:tc>
          <w:tcPr>
            <w:tcW w:w="4220" w:type="dxa"/>
            <w:vAlign w:val="bottom"/>
            <w:gridSpan w:val="2"/>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20" w:type="dxa"/>
            <w:vAlign w:val="bottom"/>
          </w:tcPr>
          <w:p>
            <w:pPr>
              <w:spacing w:after="0"/>
              <w:rPr>
                <w:sz w:val="20"/>
                <w:szCs w:val="20"/>
                <w:color w:val="auto"/>
              </w:rPr>
            </w:pPr>
          </w:p>
        </w:tc>
        <w:tc>
          <w:tcPr>
            <w:tcW w:w="46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8"/>
              </w:rPr>
              <w:t>HROW</w:t>
            </w:r>
          </w:p>
        </w:tc>
        <w:tc>
          <w:tcPr>
            <w:tcW w:w="200" w:type="dxa"/>
            <w:vAlign w:val="bottom"/>
          </w:tcPr>
          <w:p>
            <w:pPr>
              <w:spacing w:after="0"/>
              <w:rPr>
                <w:sz w:val="20"/>
                <w:szCs w:val="20"/>
                <w:color w:val="auto"/>
              </w:rPr>
            </w:pPr>
          </w:p>
        </w:tc>
        <w:tc>
          <w:tcPr>
            <w:tcW w:w="4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4"/>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Act of 1934: Emerging growth company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On June 6, 2019, Harrow Health, Inc. (the “Company”) held its 2019 Annual Meeting of Stockholders (the “Annual Meeting”) at the Marriott Del Mar, 11966 El Camino Real, San Diego, California. The number of shares of common stock entitled to vote at the Annual Meeting was 24,703,649. The number of shares of common stock present or represented by valid proxy at the Annual Meeting was 15,197,198. All matters submitted to a binding vote of stockholders at the Annual Meeting were approved, other than Proposal 3. The number of votes cast for and against, and the number of abstentions and broker non-votes with respect to the matters voted upon at the Annual Meeting, are set forth below:</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Stockholders voted to elect to the Board of Directors the five (5) director nominees named in the Company’s proxy statement to serve until the 2020 annual meeting of stockholders and until their successors are duly elected and qualified.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Directors</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gridSpan w:val="2"/>
          </w:tcPr>
          <w:p>
            <w:pPr>
              <w:ind w:left="460"/>
              <w:spacing w:after="0"/>
              <w:rPr>
                <w:sz w:val="20"/>
                <w:szCs w:val="20"/>
                <w:color w:val="auto"/>
              </w:rPr>
            </w:pPr>
            <w:r>
              <w:rPr>
                <w:rFonts w:ascii="Arial" w:cs="Arial" w:eastAsia="Arial" w:hAnsi="Arial"/>
                <w:sz w:val="18"/>
                <w:szCs w:val="18"/>
                <w:b w:val="1"/>
                <w:bCs w:val="1"/>
                <w:color w:val="auto"/>
              </w:rPr>
              <w:t>Withheld</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Stephen Austin</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13,895,886</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1,301,312</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Mark Baum</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13,654,889</w:t>
            </w:r>
          </w:p>
        </w:tc>
        <w:tc>
          <w:tcPr>
            <w:tcW w:w="20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8"/>
                <w:szCs w:val="18"/>
                <w:color w:val="auto"/>
              </w:rPr>
              <w:t>1,542,309</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Robert Kammer</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13,286,782</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1,910,416</w:t>
            </w: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Richard Lindstrom</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13,365,407</w:t>
            </w:r>
          </w:p>
        </w:tc>
        <w:tc>
          <w:tcPr>
            <w:tcW w:w="200" w:type="dxa"/>
            <w:vAlign w:val="bottom"/>
          </w:tcPr>
          <w:p>
            <w:pPr>
              <w:spacing w:after="0"/>
              <w:rPr>
                <w:sz w:val="18"/>
                <w:szCs w:val="18"/>
                <w:color w:val="auto"/>
              </w:rPr>
            </w:pPr>
          </w:p>
        </w:tc>
        <w:tc>
          <w:tcPr>
            <w:tcW w:w="1640" w:type="dxa"/>
            <w:vAlign w:val="bottom"/>
          </w:tcPr>
          <w:p>
            <w:pPr>
              <w:ind w:left="460"/>
              <w:spacing w:after="0"/>
              <w:rPr>
                <w:sz w:val="20"/>
                <w:szCs w:val="20"/>
                <w:color w:val="auto"/>
              </w:rPr>
            </w:pPr>
            <w:r>
              <w:rPr>
                <w:rFonts w:ascii="Arial" w:cs="Arial" w:eastAsia="Arial" w:hAnsi="Arial"/>
                <w:sz w:val="18"/>
                <w:szCs w:val="18"/>
                <w:color w:val="auto"/>
              </w:rPr>
              <w:t>1,831,791</w:t>
            </w:r>
          </w:p>
        </w:tc>
        <w:tc>
          <w:tcPr>
            <w:tcW w:w="2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6"/>
              </w:rPr>
              <w:t>Anthony Principi</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13,534,780</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1,662,418</w:t>
            </w: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2: Ratification of Auditors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Stockholders ratified the selection of KMJ Corbin and Company, LLP as the Company’s independent registered public accounting firm for the fiscal year ending December 31, 2019.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Against</w:t>
            </w:r>
          </w:p>
        </w:tc>
        <w:tc>
          <w:tcPr>
            <w:tcW w:w="1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Abstain</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4320" w:type="dxa"/>
            <w:vAlign w:val="bottom"/>
            <w:tcBorders>
              <w:top w:val="single" w:sz="8" w:color="auto"/>
            </w:tcBorders>
            <w:shd w:val="clear" w:color="auto" w:fill="CCEEFF"/>
          </w:tcPr>
          <w:p>
            <w:pPr>
              <w:jc w:val="right"/>
              <w:ind w:right="1650"/>
              <w:spacing w:after="0"/>
              <w:rPr>
                <w:sz w:val="20"/>
                <w:szCs w:val="20"/>
                <w:color w:val="auto"/>
              </w:rPr>
            </w:pPr>
            <w:r>
              <w:rPr>
                <w:rFonts w:ascii="Arial" w:cs="Arial" w:eastAsia="Arial" w:hAnsi="Arial"/>
                <w:sz w:val="18"/>
                <w:szCs w:val="18"/>
                <w:color w:val="auto"/>
              </w:rPr>
              <w:t>14,790,405</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7,261</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399,532</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3: To approve an amendment to the Company’s Amended and Restated Certificate of Incorporation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Stockholders representing a majority of shares outstanding did not approve an amendment to the Company’s Amended and Restated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to adopt a classified Board of Directors. The results of the voting were: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Against</w:t>
            </w:r>
          </w:p>
        </w:tc>
        <w:tc>
          <w:tcPr>
            <w:tcW w:w="1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Abstain</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r>
      <w:tr>
        <w:trPr>
          <w:trHeight w:val="216"/>
        </w:trPr>
        <w:tc>
          <w:tcPr>
            <w:tcW w:w="4320" w:type="dxa"/>
            <w:vAlign w:val="bottom"/>
            <w:tcBorders>
              <w:top w:val="single" w:sz="8" w:color="auto"/>
            </w:tcBorders>
            <w:shd w:val="clear" w:color="auto" w:fill="CCEEFF"/>
          </w:tcPr>
          <w:p>
            <w:pPr>
              <w:jc w:val="right"/>
              <w:ind w:right="1710"/>
              <w:spacing w:after="0"/>
              <w:rPr>
                <w:sz w:val="20"/>
                <w:szCs w:val="20"/>
                <w:color w:val="auto"/>
              </w:rPr>
            </w:pPr>
            <w:r>
              <w:rPr>
                <w:rFonts w:ascii="Arial" w:cs="Arial" w:eastAsia="Arial" w:hAnsi="Arial"/>
                <w:sz w:val="18"/>
                <w:szCs w:val="18"/>
                <w:color w:val="auto"/>
              </w:rPr>
              <w:t>9,114,861</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5,842,878</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239,459</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Proposal 4: To approve on an advisory basis, the compensation of the Company’s named executive officers.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Stockholders approved, on an advisory basis, the compensation of the Company’s named executive officers. The results of the voting were: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For</w:t>
            </w:r>
          </w:p>
        </w:tc>
        <w:tc>
          <w:tcPr>
            <w:tcW w:w="1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Against</w:t>
            </w:r>
          </w:p>
        </w:tc>
        <w:tc>
          <w:tcPr>
            <w:tcW w:w="1840" w:type="dxa"/>
            <w:vAlign w:val="bottom"/>
            <w:gridSpan w:val="2"/>
          </w:tcPr>
          <w:p>
            <w:pPr>
              <w:ind w:left="520"/>
              <w:spacing w:after="0"/>
              <w:rPr>
                <w:sz w:val="20"/>
                <w:szCs w:val="20"/>
                <w:color w:val="auto"/>
              </w:rPr>
            </w:pPr>
            <w:r>
              <w:rPr>
                <w:rFonts w:ascii="Arial" w:cs="Arial" w:eastAsia="Arial" w:hAnsi="Arial"/>
                <w:sz w:val="18"/>
                <w:szCs w:val="18"/>
                <w:b w:val="1"/>
                <w:bCs w:val="1"/>
                <w:color w:val="auto"/>
              </w:rPr>
              <w:t>Abstain</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2"/>
              </w:rPr>
              <w:t>Broker Non-Vote</w:t>
            </w:r>
          </w:p>
        </w:tc>
        <w:tc>
          <w:tcPr>
            <w:tcW w:w="1140" w:type="dxa"/>
            <w:vAlign w:val="bottom"/>
          </w:tcPr>
          <w:p>
            <w:pPr>
              <w:spacing w:after="0"/>
              <w:rPr>
                <w:sz w:val="20"/>
                <w:szCs w:val="20"/>
                <w:color w:val="auto"/>
              </w:rPr>
            </w:pPr>
          </w:p>
        </w:tc>
      </w:tr>
      <w:tr>
        <w:trPr>
          <w:trHeight w:val="216"/>
        </w:trPr>
        <w:tc>
          <w:tcPr>
            <w:tcW w:w="4320" w:type="dxa"/>
            <w:vAlign w:val="bottom"/>
            <w:tcBorders>
              <w:top w:val="single" w:sz="8" w:color="auto"/>
            </w:tcBorders>
            <w:shd w:val="clear" w:color="auto" w:fill="CCEEFF"/>
          </w:tcPr>
          <w:p>
            <w:pPr>
              <w:jc w:val="right"/>
              <w:ind w:right="1650"/>
              <w:spacing w:after="0"/>
              <w:rPr>
                <w:sz w:val="20"/>
                <w:szCs w:val="20"/>
                <w:color w:val="auto"/>
              </w:rPr>
            </w:pPr>
            <w:r>
              <w:rPr>
                <w:rFonts w:ascii="Arial" w:cs="Arial" w:eastAsia="Arial" w:hAnsi="Arial"/>
                <w:sz w:val="18"/>
                <w:szCs w:val="18"/>
                <w:color w:val="auto"/>
              </w:rPr>
              <w:t>14,239,634</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247,885</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709,679</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439"/>
        </w:trPr>
        <w:tc>
          <w:tcPr>
            <w:tcW w:w="4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both"/>
        <w:ind w:right="20" w:firstLine="495"/>
        <w:spacing w:after="0" w:line="277" w:lineRule="auto"/>
        <w:rPr>
          <w:sz w:val="20"/>
          <w:szCs w:val="20"/>
          <w:color w:val="auto"/>
        </w:rPr>
      </w:pPr>
      <w:r>
        <w:rPr>
          <w:rFonts w:ascii="Arial" w:cs="Arial" w:eastAsia="Arial" w:hAnsi="Arial"/>
          <w:sz w:val="18"/>
          <w:szCs w:val="18"/>
          <w:i w:val="1"/>
          <w:iCs w:val="1"/>
          <w:color w:val="auto"/>
        </w:rPr>
        <w:t>Proposal 5: To vote, on an advisory basis, on the frequency of holding an advisory vote on the compensation of the Company’s named executive officers.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Stockholders representing a plurality of votes cast approved of a one-year (1-year) frequency for the stockholder advisory vote on compensation awarded to our named executive officers. The results of the voting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One Year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Two Year</w:t>
            </w:r>
          </w:p>
        </w:tc>
        <w:tc>
          <w:tcPr>
            <w:tcW w:w="1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Three Year</w:t>
            </w:r>
          </w:p>
        </w:tc>
        <w:tc>
          <w:tcPr>
            <w:tcW w:w="2060" w:type="dxa"/>
            <w:vAlign w:val="bottom"/>
          </w:tcPr>
          <w:p>
            <w:pPr>
              <w:ind w:left="720"/>
              <w:spacing w:after="0"/>
              <w:rPr>
                <w:sz w:val="20"/>
                <w:szCs w:val="20"/>
                <w:color w:val="auto"/>
              </w:rPr>
            </w:pPr>
            <w:r>
              <w:rPr>
                <w:rFonts w:ascii="Arial" w:cs="Arial" w:eastAsia="Arial" w:hAnsi="Arial"/>
                <w:sz w:val="18"/>
                <w:szCs w:val="18"/>
                <w:b w:val="1"/>
                <w:bCs w:val="1"/>
                <w:color w:val="auto"/>
              </w:rPr>
              <w:t>Abstain</w:t>
            </w:r>
          </w:p>
        </w:tc>
      </w:tr>
      <w:tr>
        <w:trPr>
          <w:trHeight w:val="216"/>
        </w:trPr>
        <w:tc>
          <w:tcPr>
            <w:tcW w:w="4320" w:type="dxa"/>
            <w:vAlign w:val="bottom"/>
            <w:tcBorders>
              <w:top w:val="single" w:sz="8" w:color="auto"/>
            </w:tcBorders>
            <w:shd w:val="clear" w:color="auto" w:fill="CCEEFF"/>
          </w:tcPr>
          <w:p>
            <w:pPr>
              <w:jc w:val="right"/>
              <w:ind w:right="1650"/>
              <w:spacing w:after="0"/>
              <w:rPr>
                <w:sz w:val="20"/>
                <w:szCs w:val="20"/>
                <w:color w:val="auto"/>
              </w:rPr>
            </w:pPr>
            <w:r>
              <w:rPr>
                <w:rFonts w:ascii="Arial" w:cs="Arial" w:eastAsia="Arial" w:hAnsi="Arial"/>
                <w:sz w:val="18"/>
                <w:szCs w:val="18"/>
                <w:color w:val="auto"/>
              </w:rPr>
              <w:t>11,943,731</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283,251</w:t>
            </w:r>
          </w:p>
        </w:tc>
        <w:tc>
          <w:tcPr>
            <w:tcW w:w="2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2,584,824</w:t>
            </w:r>
          </w:p>
        </w:tc>
        <w:tc>
          <w:tcPr>
            <w:tcW w:w="2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385,392</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has considered the stockholder vote regarding the frequency of advisory votes on executive compensation and determined that the Company will hold an advisory vote on its executive compensation every 1 year until the next vote by the Board on frequency, which will be no later than the Company’s Annual Meeting of Stockholders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June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2019-12-01T20:18:58Z</dcterms:created>
  <dcterms:modified xsi:type="dcterms:W3CDTF">2019-12-01T20:18:58Z</dcterms:modified>
</cp:coreProperties>
</file>