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660" w:right="1880" w:hanging="3652"/>
        <w:spacing w:after="0" w:line="486"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-502920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 w:lineRule="exact"/>
        <w:rPr>
          <w:sz w:val="24"/>
          <w:szCs w:val="24"/>
          <w:color w:val="auto"/>
        </w:rPr>
      </w:pPr>
    </w:p>
    <w:p>
      <w:pPr>
        <w:ind w:left="3240" w:right="1860" w:hanging="323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001-35814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634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16"/>
        </w:trPr>
        <w:tc>
          <w:tcPr>
            <w:tcW w:w="634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34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34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102 Woodmont Blvd., Suite 610</w:t>
            </w:r>
          </w:p>
        </w:tc>
        <w:tc>
          <w:tcPr>
            <w:tcW w:w="1480" w:type="dxa"/>
            <w:vAlign w:val="bottom"/>
          </w:tcPr>
          <w:p>
            <w:pPr>
              <w:spacing w:after="0"/>
              <w:rPr>
                <w:sz w:val="24"/>
                <w:szCs w:val="24"/>
                <w:color w:val="auto"/>
              </w:rPr>
            </w:pPr>
          </w:p>
        </w:tc>
      </w:tr>
      <w:tr>
        <w:trPr>
          <w:trHeight w:val="220"/>
        </w:trPr>
        <w:tc>
          <w:tcPr>
            <w:tcW w:w="634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37205</w:t>
            </w:r>
          </w:p>
        </w:tc>
      </w:tr>
      <w:tr>
        <w:trPr>
          <w:trHeight w:val="234"/>
        </w:trPr>
        <w:tc>
          <w:tcPr>
            <w:tcW w:w="6340" w:type="dxa"/>
            <w:vAlign w:val="bottom"/>
          </w:tcPr>
          <w:p>
            <w:pPr>
              <w:jc w:val="center"/>
              <w:ind w:right="34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414"/>
        </w:trPr>
        <w:tc>
          <w:tcPr>
            <w:tcW w:w="634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(615) 733-4730</w:t>
            </w:r>
          </w:p>
        </w:tc>
        <w:tc>
          <w:tcPr>
            <w:tcW w:w="1480" w:type="dxa"/>
            <w:vAlign w:val="bottom"/>
          </w:tcPr>
          <w:p>
            <w:pPr>
              <w:spacing w:after="0"/>
              <w:rPr>
                <w:sz w:val="24"/>
                <w:szCs w:val="24"/>
                <w:color w:val="auto"/>
              </w:rPr>
            </w:pPr>
          </w:p>
        </w:tc>
      </w:tr>
      <w:tr>
        <w:trPr>
          <w:trHeight w:val="234"/>
        </w:trPr>
        <w:tc>
          <w:tcPr>
            <w:tcW w:w="634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 reporting company, or an emerging growth company.</w:t>
      </w:r>
    </w:p>
    <w:p>
      <w:pPr>
        <w:spacing w:after="0" w:line="133"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6, 2020, there were 25,745,967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HARROW HEALTH, INC.</w:t>
            </w:r>
          </w:p>
        </w:tc>
        <w:tc>
          <w:tcPr>
            <w:tcW w:w="640" w:type="dxa"/>
            <w:vAlign w:val="bottom"/>
          </w:tcPr>
          <w:p>
            <w:pPr>
              <w:spacing w:after="0"/>
              <w:rPr>
                <w:sz w:val="20"/>
                <w:szCs w:val="20"/>
                <w:color w:val="auto"/>
              </w:rPr>
            </w:pPr>
          </w:p>
        </w:tc>
      </w:tr>
      <w:tr>
        <w:trPr>
          <w:trHeight w:val="391"/>
        </w:trPr>
        <w:tc>
          <w:tcPr>
            <w:tcW w:w="10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620" w:type="dxa"/>
            <w:vAlign w:val="bottom"/>
            <w:gridSpan w:val="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640" w:type="dxa"/>
            <w:vAlign w:val="bottom"/>
          </w:tcPr>
          <w:p>
            <w:pPr>
              <w:spacing w:after="0"/>
              <w:rPr>
                <w:sz w:val="24"/>
                <w:szCs w:val="24"/>
                <w:color w:val="auto"/>
              </w:rPr>
            </w:pPr>
          </w:p>
        </w:tc>
      </w:tr>
      <w:tr>
        <w:trPr>
          <w:trHeight w:val="460"/>
        </w:trPr>
        <w:tc>
          <w:tcPr>
            <w:tcW w:w="1040" w:type="dxa"/>
            <w:vAlign w:val="bottom"/>
            <w:tcBorders>
              <w:bottom w:val="single" w:sz="8" w:color="CCEEFF"/>
            </w:tcBorders>
          </w:tcPr>
          <w:p>
            <w:pPr>
              <w:spacing w:after="0"/>
              <w:rPr>
                <w:sz w:val="24"/>
                <w:szCs w:val="24"/>
                <w:color w:val="auto"/>
              </w:rPr>
            </w:pPr>
          </w:p>
        </w:tc>
        <w:tc>
          <w:tcPr>
            <w:tcW w:w="394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CCEEFF"/>
            </w:tcBorders>
          </w:tcPr>
          <w:p>
            <w:pPr>
              <w:spacing w:after="0"/>
              <w:rPr>
                <w:sz w:val="24"/>
                <w:szCs w:val="24"/>
                <w:color w:val="auto"/>
              </w:rPr>
            </w:pPr>
          </w:p>
        </w:tc>
        <w:tc>
          <w:tcPr>
            <w:tcW w:w="4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64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OTHER INFORMATION</w:t>
              </w:r>
            </w:hyperlink>
          </w:p>
        </w:tc>
        <w:tc>
          <w:tcPr>
            <w:tcW w:w="64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0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9560" w:type="dxa"/>
            <w:vAlign w:val="bottom"/>
            <w:gridSpan w:val="3"/>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Signatures</w:t>
              </w:r>
            </w:hyperlink>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439"/>
        </w:trPr>
        <w:tc>
          <w:tcPr>
            <w:tcW w:w="10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center"/>
              <w:ind w:left="3850"/>
              <w:spacing w:after="0"/>
              <w:rPr>
                <w:sz w:val="20"/>
                <w:szCs w:val="20"/>
                <w:color w:val="auto"/>
              </w:rPr>
            </w:pPr>
            <w:r>
              <w:rPr>
                <w:rFonts w:ascii="Times New Roman" w:cs="Times New Roman" w:eastAsia="Times New Roman" w:hAnsi="Times New Roman"/>
                <w:sz w:val="18"/>
                <w:szCs w:val="18"/>
                <w:color w:val="auto"/>
                <w:w w:val="88"/>
              </w:rPr>
              <w:t>2</w:t>
            </w:r>
          </w:p>
        </w:tc>
        <w:tc>
          <w:tcPr>
            <w:tcW w:w="4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including restricted cash of $200</w:t>
            </w:r>
          </w:p>
        </w:tc>
        <w:tc>
          <w:tcPr>
            <w:tcW w:w="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5,727</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Eton Pharmaceuticals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1,431</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40,977</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36,767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Surface Ophthalmics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Melt Pharmaceuticals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5,691</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paycheck protection program loan payable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loan payable, net of unamortized debt discount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net of current portion</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Paycheck protection program loan payable, net of current portion</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net of current portion and unamortized debt discount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12,331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FFFFFF"/>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FFFFFF"/>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25,652,169 and</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25,526,931 shares issued and outstanding at September 30, 2020 and December 31,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2019, respectively</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103,798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(78,549)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(74,043)</w:t>
            </w:r>
          </w:p>
        </w:tc>
        <w:tc>
          <w:tcPr>
            <w:tcW w:w="0" w:type="dxa"/>
            <w:vAlign w:val="bottom"/>
          </w:tcPr>
          <w:p>
            <w:pPr>
              <w:spacing w:after="0"/>
              <w:rPr>
                <w:sz w:val="1"/>
                <w:szCs w:val="1"/>
                <w:color w:val="auto"/>
              </w:rPr>
            </w:pPr>
          </w:p>
        </w:tc>
      </w:tr>
      <w:tr>
        <w:trPr>
          <w:trHeight w:val="216"/>
        </w:trPr>
        <w:tc>
          <w:tcPr>
            <w:tcW w:w="6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HARROW HEALTH STOCKHOLDERS’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6"/>
        </w:trPr>
        <w:tc>
          <w:tcPr>
            <w:tcW w:w="6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For the</w:t>
            </w:r>
          </w:p>
        </w:tc>
        <w:tc>
          <w:tcPr>
            <w:tcW w:w="160" w:type="dxa"/>
            <w:vAlign w:val="bottom"/>
          </w:tcPr>
          <w:p>
            <w:pPr>
              <w:spacing w:after="0"/>
              <w:rPr>
                <w:sz w:val="18"/>
                <w:szCs w:val="18"/>
                <w:color w:val="auto"/>
              </w:rPr>
            </w:pPr>
          </w:p>
        </w:tc>
        <w:tc>
          <w:tcPr>
            <w:tcW w:w="166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color w:val="auto"/>
              </w:rPr>
              <w:t>For the</w:t>
            </w:r>
          </w:p>
        </w:tc>
        <w:tc>
          <w:tcPr>
            <w:tcW w:w="140" w:type="dxa"/>
            <w:vAlign w:val="bottom"/>
          </w:tcPr>
          <w:p>
            <w:pPr>
              <w:spacing w:after="0"/>
              <w:rPr>
                <w:sz w:val="18"/>
                <w:szCs w:val="18"/>
                <w:color w:val="auto"/>
              </w:rPr>
            </w:pPr>
          </w:p>
        </w:tc>
        <w:tc>
          <w:tcPr>
            <w:tcW w:w="15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For the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For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Three Months</w:t>
            </w:r>
          </w:p>
        </w:tc>
        <w:tc>
          <w:tcPr>
            <w:tcW w:w="16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color w:val="auto"/>
              </w:rPr>
              <w:t>Three Months</w:t>
            </w:r>
          </w:p>
        </w:tc>
        <w:tc>
          <w:tcPr>
            <w:tcW w:w="140" w:type="dxa"/>
            <w:vAlign w:val="bottom"/>
          </w:tcPr>
          <w:p>
            <w:pPr>
              <w:spacing w:after="0"/>
              <w:rPr>
                <w:sz w:val="18"/>
                <w:szCs w:val="18"/>
                <w:color w:val="auto"/>
              </w:rPr>
            </w:pPr>
          </w:p>
        </w:tc>
        <w:tc>
          <w:tcPr>
            <w:tcW w:w="15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Nine Months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Nine Months</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Ended</w:t>
            </w:r>
          </w:p>
        </w:tc>
        <w:tc>
          <w:tcPr>
            <w:tcW w:w="160" w:type="dxa"/>
            <w:vAlign w:val="bottom"/>
          </w:tcPr>
          <w:p>
            <w:pPr>
              <w:spacing w:after="0"/>
              <w:rPr>
                <w:sz w:val="18"/>
                <w:szCs w:val="18"/>
                <w:color w:val="auto"/>
              </w:rPr>
            </w:pPr>
          </w:p>
        </w:tc>
        <w:tc>
          <w:tcPr>
            <w:tcW w:w="166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color w:val="auto"/>
                <w:w w:val="99"/>
              </w:rPr>
              <w:t>Ended</w:t>
            </w:r>
          </w:p>
        </w:tc>
        <w:tc>
          <w:tcPr>
            <w:tcW w:w="140" w:type="dxa"/>
            <w:vAlign w:val="bottom"/>
          </w:tcPr>
          <w:p>
            <w:pPr>
              <w:spacing w:after="0"/>
              <w:rPr>
                <w:sz w:val="18"/>
                <w:szCs w:val="18"/>
                <w:color w:val="auto"/>
              </w:rPr>
            </w:pPr>
          </w:p>
        </w:tc>
        <w:tc>
          <w:tcPr>
            <w:tcW w:w="15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19"/>
                <w:szCs w:val="19"/>
                <w:color w:val="auto"/>
              </w:rPr>
            </w:pPr>
          </w:p>
        </w:tc>
        <w:tc>
          <w:tcPr>
            <w:tcW w:w="166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color w:val="auto"/>
                <w:w w:val="99"/>
              </w:rPr>
              <w:t>September 30,</w:t>
            </w:r>
          </w:p>
        </w:tc>
        <w:tc>
          <w:tcPr>
            <w:tcW w:w="140" w:type="dxa"/>
            <w:vAlign w:val="bottom"/>
          </w:tcPr>
          <w:p>
            <w:pPr>
              <w:spacing w:after="0"/>
              <w:rPr>
                <w:sz w:val="19"/>
                <w:szCs w:val="19"/>
                <w:color w:val="auto"/>
              </w:rPr>
            </w:pPr>
          </w:p>
        </w:tc>
        <w:tc>
          <w:tcPr>
            <w:tcW w:w="15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2020</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2019</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14,385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12,748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34,244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14,399</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12,755</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34,276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38,561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(3,696)</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(4,061)</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(13,184)</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10,703</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8,694</w:t>
            </w:r>
          </w:p>
        </w:tc>
        <w:tc>
          <w:tcPr>
            <w:tcW w:w="3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23,750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8,436</w:t>
            </w:r>
          </w:p>
        </w:tc>
        <w:tc>
          <w:tcPr>
            <w:tcW w:w="160" w:type="dxa"/>
            <w:vAlign w:val="bottom"/>
          </w:tcPr>
          <w:p>
            <w:pPr>
              <w:spacing w:after="0"/>
              <w:rPr>
                <w:sz w:val="18"/>
                <w:szCs w:val="18"/>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8,608</w:t>
            </w:r>
          </w:p>
        </w:tc>
        <w:tc>
          <w:tcPr>
            <w:tcW w:w="14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23,806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4,040</w:t>
            </w:r>
          </w:p>
        </w:tc>
        <w:tc>
          <w:tcPr>
            <w:tcW w:w="140" w:type="dxa"/>
            <w:vAlign w:val="bottom"/>
          </w:tcPr>
          <w:p>
            <w:pPr>
              <w:spacing w:after="0"/>
              <w:rPr>
                <w:sz w:val="20"/>
                <w:szCs w:val="20"/>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1,597</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(4,398</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(5,721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Investment (loss) gain from Melt Pharmaceuticals,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loss from Surface Ophthalmics,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Investment gain (loss) from Eton Pharmaceuticals,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8,575</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(5,530)</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8,623</w:t>
            </w:r>
          </w:p>
        </w:tc>
        <w:tc>
          <w:tcPr>
            <w:tcW w:w="160" w:type="dxa"/>
            <w:vAlign w:val="bottom"/>
          </w:tcPr>
          <w:p>
            <w:pPr>
              <w:spacing w:after="0"/>
              <w:rPr>
                <w:sz w:val="18"/>
                <w:szCs w:val="18"/>
                <w:color w:val="auto"/>
              </w:rPr>
            </w:pP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(11,630)</w:t>
            </w:r>
          </w:p>
        </w:tc>
        <w:tc>
          <w:tcPr>
            <w:tcW w:w="14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net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0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Total net income (loss) including noncontrolling</w:t>
            </w: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8,623</w:t>
            </w:r>
          </w:p>
        </w:tc>
        <w:tc>
          <w:tcPr>
            <w:tcW w:w="160" w:type="dxa"/>
            <w:vAlign w:val="bottom"/>
          </w:tcPr>
          <w:p>
            <w:pPr>
              <w:spacing w:after="0"/>
              <w:rPr>
                <w:sz w:val="20"/>
                <w:szCs w:val="20"/>
                <w:color w:val="auto"/>
              </w:rPr>
            </w:pP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(11,630)</w:t>
            </w:r>
          </w:p>
        </w:tc>
        <w:tc>
          <w:tcPr>
            <w:tcW w:w="140" w:type="dxa"/>
            <w:vAlign w:val="bottom"/>
          </w:tcPr>
          <w:p>
            <w:pPr>
              <w:spacing w:after="0"/>
              <w:rPr>
                <w:sz w:val="20"/>
                <w:szCs w:val="20"/>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Harrow Health, Inc.</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3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40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net income (loss) per share of common stock</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income (loss) per share of common stock</w:t>
            </w: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3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0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number of shares of common stock</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basic</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25,921,573</w:t>
            </w: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25,583,998</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25,880,554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25,205,215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diluted</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27,090,060</w:t>
            </w:r>
          </w:p>
        </w:tc>
        <w:tc>
          <w:tcPr>
            <w:tcW w:w="160" w:type="dxa"/>
            <w:vAlign w:val="bottom"/>
          </w:tcPr>
          <w:p>
            <w:pPr>
              <w:spacing w:after="0"/>
              <w:rPr>
                <w:sz w:val="22"/>
                <w:szCs w:val="22"/>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25,583,998</w:t>
            </w:r>
          </w:p>
        </w:tc>
        <w:tc>
          <w:tcPr>
            <w:tcW w:w="140" w:type="dxa"/>
            <w:vAlign w:val="bottom"/>
          </w:tcPr>
          <w:p>
            <w:pPr>
              <w:spacing w:after="0"/>
              <w:rPr>
                <w:sz w:val="22"/>
                <w:szCs w:val="22"/>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25,880,554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25,205,215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Harrow Health,</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740" w:type="dxa"/>
            <w:vAlign w:val="bottom"/>
          </w:tcPr>
          <w:p>
            <w:pPr>
              <w:spacing w:after="0"/>
              <w:rPr>
                <w:sz w:val="22"/>
                <w:szCs w:val="22"/>
                <w:color w:val="auto"/>
              </w:rPr>
            </w:pPr>
          </w:p>
        </w:tc>
        <w:tc>
          <w:tcPr>
            <w:tcW w:w="18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Inc.</w:t>
            </w:r>
          </w:p>
        </w:tc>
        <w:tc>
          <w:tcPr>
            <w:tcW w:w="220" w:type="dxa"/>
            <w:vAlign w:val="bottom"/>
          </w:tcPr>
          <w:p>
            <w:pPr>
              <w:spacing w:after="0"/>
              <w:rPr>
                <w:sz w:val="22"/>
                <w:szCs w:val="22"/>
                <w:color w:val="auto"/>
              </w:rPr>
            </w:pPr>
          </w:p>
        </w:tc>
        <w:tc>
          <w:tcPr>
            <w:tcW w:w="124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22"/>
                <w:szCs w:val="22"/>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1"/>
        </w:trPr>
        <w:tc>
          <w:tcPr>
            <w:tcW w:w="27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8"/>
                <w:szCs w:val="18"/>
                <w:color w:val="auto"/>
              </w:rPr>
            </w:pPr>
          </w:p>
        </w:tc>
        <w:tc>
          <w:tcPr>
            <w:tcW w:w="12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Accumulated</w:t>
            </w:r>
          </w:p>
        </w:tc>
        <w:tc>
          <w:tcPr>
            <w:tcW w:w="8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Stockholders’</w:t>
            </w:r>
          </w:p>
        </w:tc>
        <w:tc>
          <w:tcPr>
            <w:tcW w:w="146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color w:val="auto"/>
                <w:w w:val="99"/>
              </w:rPr>
              <w:t>Noncontrolling</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274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Equity</w:t>
            </w:r>
          </w:p>
        </w:tc>
        <w:tc>
          <w:tcPr>
            <w:tcW w:w="220" w:type="dxa"/>
            <w:vAlign w:val="bottom"/>
          </w:tcPr>
          <w:p>
            <w:pPr>
              <w:spacing w:after="0"/>
              <w:rPr>
                <w:sz w:val="20"/>
                <w:szCs w:val="20"/>
                <w:color w:val="auto"/>
              </w:rPr>
            </w:pPr>
          </w:p>
        </w:tc>
        <w:tc>
          <w:tcPr>
            <w:tcW w:w="12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color w:val="auto"/>
                <w:w w:val="99"/>
              </w:rPr>
              <w:t>Interest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25,138,958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25,135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options, net of tax</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2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 payment for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provided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(11,469)</w:t>
            </w:r>
          </w:p>
        </w:tc>
        <w:tc>
          <w:tcPr>
            <w:tcW w:w="22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(11,630)</w:t>
            </w:r>
          </w:p>
        </w:tc>
      </w:tr>
      <w:tr>
        <w:trPr>
          <w:trHeight w:val="230"/>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25,168,841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900" w:orient="portrait"/>
          <w:cols w:equalWidth="0" w:num="1">
            <w:col w:w="11240"/>
          </w:cols>
          <w:pgMar w:left="320" w:top="65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2020</w:t>
      </w:r>
    </w:p>
    <w:p>
      <w:pPr>
        <w:spacing w:after="0" w:line="22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Issuance of common stock in connection with:</w:t>
      </w:r>
    </w:p>
    <w:p>
      <w:pPr>
        <w:ind w:left="180" w:right="320"/>
        <w:spacing w:after="0" w:line="250" w:lineRule="auto"/>
        <w:rPr>
          <w:sz w:val="20"/>
          <w:szCs w:val="20"/>
          <w:color w:val="auto"/>
        </w:rPr>
      </w:pPr>
      <w:r>
        <w:rPr>
          <w:rFonts w:ascii="Times New Roman" w:cs="Times New Roman" w:eastAsia="Times New Roman" w:hAnsi="Times New Roman"/>
          <w:sz w:val="18"/>
          <w:szCs w:val="18"/>
          <w:color w:val="auto"/>
        </w:rPr>
        <w:t>Exercise of employee stock-based options, net of tax withholding</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Stock-based compensation expense Net income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Harrow</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18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Health, Inc.</w:t>
            </w:r>
          </w:p>
        </w:tc>
        <w:tc>
          <w:tcPr>
            <w:tcW w:w="10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2"/>
                <w:szCs w:val="2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1"/>
        </w:trPr>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Stockholders’</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Noncontrolling</w:t>
            </w: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34"/>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25,649,171</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102,889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-156845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125730</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2,998</w:t>
            </w: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917</w:t>
            </w:r>
          </w:p>
        </w:tc>
        <w:tc>
          <w:tcPr>
            <w:tcW w:w="300" w:type="dxa"/>
            <w:vAlign w:val="bottom"/>
          </w:tcPr>
          <w:p>
            <w:pPr>
              <w:spacing w:after="0"/>
              <w:rPr>
                <w:sz w:val="18"/>
                <w:szCs w:val="18"/>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917</w:t>
            </w:r>
          </w:p>
        </w:tc>
        <w:tc>
          <w:tcPr>
            <w:tcW w:w="5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60" w:type="dxa"/>
            <w:vAlign w:val="bottom"/>
          </w:tcPr>
          <w:p>
            <w:pPr>
              <w:spacing w:after="0"/>
              <w:rPr>
                <w:sz w:val="18"/>
                <w:szCs w:val="18"/>
                <w:color w:val="auto"/>
              </w:rPr>
            </w:pPr>
          </w:p>
        </w:tc>
      </w:tr>
      <w:tr>
        <w:trPr>
          <w:trHeight w:val="255"/>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8,638</w:t>
            </w:r>
          </w:p>
        </w:tc>
        <w:tc>
          <w:tcPr>
            <w:tcW w:w="3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8,638</w:t>
            </w:r>
          </w:p>
        </w:tc>
        <w:tc>
          <w:tcPr>
            <w:tcW w:w="500" w:type="dxa"/>
            <w:vAlign w:val="bottom"/>
          </w:tcPr>
          <w:p>
            <w:pPr>
              <w:spacing w:after="0"/>
              <w:rPr>
                <w:sz w:val="22"/>
                <w:szCs w:val="22"/>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60" w:type="dxa"/>
            <w:vAlign w:val="bottom"/>
          </w:tcPr>
          <w:p>
            <w:pPr>
              <w:spacing w:after="0"/>
              <w:rPr>
                <w:sz w:val="22"/>
                <w:szCs w:val="22"/>
                <w:color w:val="auto"/>
              </w:rPr>
            </w:pPr>
          </w:p>
        </w:tc>
      </w:tr>
      <w:tr>
        <w:trPr>
          <w:trHeight w:val="230"/>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25,652,169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103,798</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25,275</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6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-471170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-179070</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900" w:orient="portrait"/>
          <w:cols w:equalWidth="0" w:num="2">
            <w:col w:w="2560" w:space="180"/>
            <w:col w:w="8500"/>
          </w:cols>
          <w:pgMar w:left="320" w:top="657" w:right="3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Harrow</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Health, Inc.</w:t>
            </w:r>
          </w:p>
        </w:tc>
        <w:tc>
          <w:tcPr>
            <w:tcW w:w="100" w:type="dxa"/>
            <w:vAlign w:val="bottom"/>
          </w:tcPr>
          <w:p>
            <w:pPr>
              <w:spacing w:after="0"/>
              <w:rPr>
                <w:sz w:val="22"/>
                <w:szCs w:val="22"/>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2"/>
                <w:szCs w:val="22"/>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1"/>
        </w:trPr>
        <w:tc>
          <w:tcPr>
            <w:tcW w:w="2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Paid-in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Stockholders’</w:t>
            </w:r>
          </w:p>
        </w:tc>
        <w:tc>
          <w:tcPr>
            <w:tcW w:w="100" w:type="dxa"/>
            <w:vAlign w:val="bottom"/>
          </w:tcPr>
          <w:p>
            <w:pPr>
              <w:spacing w:after="0"/>
              <w:rPr>
                <w:sz w:val="18"/>
                <w:szCs w:val="18"/>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Noncontrolling</w:t>
            </w:r>
          </w:p>
        </w:tc>
        <w:tc>
          <w:tcPr>
            <w:tcW w:w="1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w w:val="99"/>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24,339,610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788,528</w:t>
            </w: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198"/>
        </w:trPr>
        <w:tc>
          <w:tcPr>
            <w:tcW w:w="2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options, net of tax</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25,703</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2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 payment for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provided</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r>
      <w:tr>
        <w:trPr>
          <w:trHeight w:val="23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0"/>
                <w:szCs w:val="20"/>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(2,717)</w:t>
            </w:r>
          </w:p>
        </w:tc>
      </w:tr>
      <w:tr>
        <w:trPr>
          <w:trHeight w:val="230"/>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25,168,841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Harrow</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Health, Inc.</w:t>
            </w:r>
          </w:p>
        </w:tc>
        <w:tc>
          <w:tcPr>
            <w:tcW w:w="100" w:type="dxa"/>
            <w:vAlign w:val="bottom"/>
          </w:tcPr>
          <w:p>
            <w:pPr>
              <w:spacing w:after="0"/>
              <w:rPr>
                <w:sz w:val="22"/>
                <w:szCs w:val="22"/>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2"/>
                <w:szCs w:val="22"/>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1"/>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Paid-in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Stockholders’</w:t>
            </w:r>
          </w:p>
        </w:tc>
        <w:tc>
          <w:tcPr>
            <w:tcW w:w="100" w:type="dxa"/>
            <w:vAlign w:val="bottom"/>
          </w:tcPr>
          <w:p>
            <w:pPr>
              <w:spacing w:after="0"/>
              <w:rPr>
                <w:sz w:val="18"/>
                <w:szCs w:val="18"/>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Noncontrolling</w:t>
            </w:r>
          </w:p>
        </w:tc>
        <w:tc>
          <w:tcPr>
            <w:tcW w:w="1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w w:val="99"/>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0"/>
                <w:szCs w:val="20"/>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23"/>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25,526,931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(74,043</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options, net of tax</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2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1160" w:type="dxa"/>
            <w:vAlign w:val="bottom"/>
            <w:tcBorders>
              <w:bottom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900" w:orient="portrait"/>
          <w:cols w:equalWidth="0" w:num="1">
            <w:col w:w="11240"/>
          </w:cols>
          <w:pgMar w:left="320" w:top="657" w:right="3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91,987</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 payment for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provided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0"/>
                <w:szCs w:val="20"/>
                <w:color w:val="auto"/>
              </w:rPr>
            </w:pPr>
          </w:p>
        </w:tc>
        <w:tc>
          <w:tcPr>
            <w:tcW w:w="10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(4,506)</w:t>
            </w:r>
          </w:p>
        </w:tc>
        <w:tc>
          <w:tcPr>
            <w:tcW w:w="3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(4,506)</w:t>
            </w:r>
          </w:p>
        </w:tc>
        <w:tc>
          <w:tcPr>
            <w:tcW w:w="500" w:type="dxa"/>
            <w:vAlign w:val="bottom"/>
          </w:tcPr>
          <w:p>
            <w:pPr>
              <w:spacing w:after="0"/>
              <w:rPr>
                <w:sz w:val="20"/>
                <w:szCs w:val="20"/>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(4,560)</w:t>
            </w:r>
          </w:p>
        </w:tc>
      </w:tr>
      <w:tr>
        <w:trPr>
          <w:trHeight w:val="229"/>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25,652,169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103,798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For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Nine Months Ended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(including noncontrolling interests)</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(4,560)</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gain from Eton,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loss from Surface, net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loss (gain) from Melt,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sale and disposal of equipment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paid-in-kind on loan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payment of consulting services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provision for bad debt expense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on sale and disposal of assets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patent and trademark assets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SWK debt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on loan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costs related to amendment of note payable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Payroll Protection Program loan payable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proceeds from exercise of warrants and stock options, net of taxes remitted for RSU</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options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4,949</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57"/>
        </w:trPr>
        <w:tc>
          <w:tcPr>
            <w:tcW w:w="686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5,527</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5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6"/>
        </w:trPr>
        <w:tc>
          <w:tcPr>
            <w:tcW w:w="68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180"/>
              <w:spacing w:after="0" w:line="191" w:lineRule="exact"/>
              <w:rPr>
                <w:sz w:val="20"/>
                <w:szCs w:val="20"/>
                <w:color w:val="auto"/>
              </w:rPr>
            </w:pPr>
            <w:r>
              <w:rPr>
                <w:rFonts w:ascii="Times New Roman" w:cs="Times New Roman" w:eastAsia="Times New Roman" w:hAnsi="Times New Roman"/>
                <w:sz w:val="18"/>
                <w:szCs w:val="18"/>
                <w:color w:val="auto"/>
              </w:rPr>
              <w:t>SUPPLEMENTAL DISCLOSURES OF NON-CASH INVESTING AND FINANCING</w:t>
            </w: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revaluation of right-of-use asset obtained in exchange for lease obligation</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936</w:t>
            </w:r>
          </w:p>
        </w:tc>
        <w:tc>
          <w:tcPr>
            <w:tcW w:w="8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2020 and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equity positions in Eton Pharmaceuticals, Inc. (“Eton”), Surface Ophthalmics, Inc. (“Surface”), and Melt Pharmaceuticals, Inc. (“Melt”), all companies that began as subsidiaries of Harrow. More recently, the Company founded drug development subsidiaries Mayfield Pharmaceuticals, Inc. (“Mayfield”) and Stowe Pharmaceuticals, Inc. (“Stowe”), among others. In 2020, Harrow created Visionology, Inc., which intends to launch an online eye health platform business. Harrow also owns royalty rights in various drug candidates being developed by Surface, Melt and Mayfield. The Company intends to continue to create, and hold equity and royalty rights in, new businesses that commercialize drug candidates that are internally developed or otherwise acquired or licensed from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2020 are not necessarily indicative of the results that may be expected for the year ending December 31, 2020 or for any other period. For further information, refer to the Company’s audited consolidated financial statements and footnotes thereto included in the Company’s Annual Report on Form 10-K for the year ended December 31, 2019.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as well as Mayfield (79% majority controlled) and Stowe (70% majority controlled) each subsidiaries of Harrow as of September 30, 2020. The remaining 21% of Mayfield is owned by Elle Pharmaceutical, LLC (“Elle”), TGV-Health, LLC and its affiliated entities (collectively “TGV”) or other consultants. Mayfield was organized to develop women’s health-focused drug candidates. The remaining 30% of Stowe is owned by TGV. Stowe was organized to develop ophthalmic drug candidates. All inter-company accounts and transactions have been eliminated in consolidation.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Harrow consolidates entities in which it has a controlling financial interest. We consolidate subsidiaries in which we hold and/or control, directly or indirectly, more than 50% of the voting rights. All intercompany accounts and transactions have been eliminated in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balance sheets at September 30, 2020 and December 31, 2019 and the condensed consolidated statements of operations, stockholders’ equity and cash flows for the periods ended September 30, 2020 and 2019 include our accounts and those of our wholly owned subsidiaries as well as Mayfield and Stowe.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Uncertainties and Liquidity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as a result of the COVID-19 pandemic. On March 18, 2020, the Centers for Medicare &amp; Medicaid Services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recommendations, stay-at-home orders and other restrictive measures, and created significant volatility in financial markets.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 Company’s customers use its drugs in procedures impacted by the CMS guidance to limit elective procedures. In addition, the Company and our business partners need access to healthcare providers and facilities to conduct clinical trials and other activities required to achieve regulatory clearance of products under development.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reductions in elective procedures in response to CMS guidance have had, and may in the future have, an adverse impact, which may be material, to the Company’s financial condition, liquidity and results of operations. The severity of the impact of the COVID-19 pandemic on the Company’s business will depend on a number of factors, including, but not limited to, the duration and severity of the pandemic and the extent and severity of the impact on its customers, all of which are uncertain and cannot be predicted. As of the date of filing of this Quarterly Report, the extent to which the COVID-19 pandemic may materially impact the Company’s financial condition, liquidity or results of operations is uncertain. For further information, refer to “Risk Factors” in Part II, Item 1A of this Quarterly Report and information in the Company’s other filings with the Securities and Exchange Commission.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certain periods, including those impacted by the COVID-19 pandemic, the Company has incurred operating losses and negative cash flows from operations. The Company incurred operating losses of $2,241 and $5,721 for the nine months ended September 30, 2020 and 2019, respectively, and had an accumulated deficit of $78,549 and $74,043 as of September 30, 2020 and December 31, 2019, respectively. In addition, the Company used cash in operating activities of $534 and $702 for the nine months ended September 30, 2020 and 2019,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there is no assurance, management of the Company believes existing cash resources and restricted cash of $5,727 at September 30, 2020 together with cash generated from revenues, will be sufficient to sustain the Company’s planned level of operations for at least the next twelve months. However, estimates of operating expenses, working capital requirements and the future impact of the COVID-19 pandemic on its business could be incorrect, and the Company could use its cash resources faster than anticipated. Further, some or all of the ongoing or planned activities may not be successful and could result in further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seek to increase liquidity and capital resources through a variety of means which may include, but are not limited to: the sale of assets, investments and/or businesses; obtaining financing through the issuance of equity, debt, or convertible securities; and working to increase revenue growth through sales. There is no guarantee that the Company will be able to obtain capital when needed on terms management deems acceptable,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represents an update for the three and nine months ended September 30, 2020 to the significant accounting policies described in the Company’s Annual Report on Form 10-K for the year ended December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decision-maker is its Chief Executive Officer who makes resource allocation decisions and assesses performance based on financial information presented as operating segments. The Company has identified two operating segments as reportable segments. See Note 15 for more information regarding the Company’s reportable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any noncontrolling interest as a separate line item in equity in the condensed consolidated financial statements. A noncontrolling interest represents the portion of equity ownership in a less-than-wholly 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condensed consolidated statements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interests that separately discloses:</w:t>
      </w:r>
    </w:p>
    <w:p>
      <w:pPr>
        <w:spacing w:after="0" w:line="162" w:lineRule="exact"/>
        <w:rPr>
          <w:sz w:val="20"/>
          <w:szCs w:val="20"/>
          <w:color w:val="auto"/>
        </w:rPr>
      </w:pPr>
    </w:p>
    <w:p>
      <w:pPr>
        <w:ind w:left="580" w:hanging="343"/>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or loss;</w:t>
      </w:r>
    </w:p>
    <w:p>
      <w:pPr>
        <w:spacing w:after="0" w:line="27"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owners acting in their capacity as owners, showing separately contributions from and distributions to owners; and</w:t>
      </w:r>
    </w:p>
    <w:p>
      <w:pPr>
        <w:spacing w:after="0" w:line="9"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component of other income or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restricted stock units (“RSUs”) and warrants, outstanding during the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and diluted net income (loss) per share is computed using the weighted average number of shares of common stock outstanding during the period. Common stock equivalents (using the treasury stock or “if converted” method) from stock options, unvested RSUs and warrants were 5,447,716 and 5,263,131 at September 30, 2020 and 2019, respectively, and, except for the three months ended September 30, 2020, are excluded from the calculation of diluted net income (loss) per share for the periods presented,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September 30, 2020 and 2019 was 281,507 and 314,588, respectively.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computation of basic net income (loss) per share of common stock for the three and nine months ended September 30, 2020 and 2019: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20" w:type="dxa"/>
            <w:vAlign w:val="bottom"/>
          </w:tcPr>
          <w:p>
            <w:pPr>
              <w:spacing w:after="0"/>
              <w:rPr>
                <w:sz w:val="19"/>
                <w:szCs w:val="19"/>
                <w:color w:val="auto"/>
              </w:rPr>
            </w:pPr>
          </w:p>
        </w:tc>
        <w:tc>
          <w:tcPr>
            <w:tcW w:w="300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Numerator – net income (loss) attributable to Harrow</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Inc.</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8,638</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(11,469)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(4,506)</w:t>
            </w: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Denominator – weighted average number of shares</w:t>
            </w: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25,921,573</w:t>
            </w:r>
          </w:p>
        </w:tc>
        <w:tc>
          <w:tcPr>
            <w:tcW w:w="460" w:type="dxa"/>
            <w:vAlign w:val="bottom"/>
          </w:tcPr>
          <w:p>
            <w:pPr>
              <w:spacing w:after="0"/>
              <w:rPr>
                <w:sz w:val="22"/>
                <w:szCs w:val="22"/>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25,583,998</w:t>
            </w:r>
          </w:p>
        </w:tc>
        <w:tc>
          <w:tcPr>
            <w:tcW w:w="320" w:type="dxa"/>
            <w:vAlign w:val="bottom"/>
          </w:tcPr>
          <w:p>
            <w:pPr>
              <w:spacing w:after="0"/>
              <w:rPr>
                <w:sz w:val="22"/>
                <w:szCs w:val="22"/>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25,880,554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25,205,215</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the Company had net income. As a result, the Company computed diluted net income per share using the weighted-average number of common shares and dilutive common equivalent shares outstanding during the period. Diluted common equivalent shares for the three months ended September 30, 2020, consisted of the following: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38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30, 2020</w:t>
            </w:r>
          </w:p>
        </w:tc>
        <w:tc>
          <w:tcPr>
            <w:tcW w:w="3380" w:type="dxa"/>
            <w:vAlign w:val="bottom"/>
          </w:tcPr>
          <w:p>
            <w:pPr>
              <w:spacing w:after="0"/>
              <w:rPr>
                <w:sz w:val="19"/>
                <w:szCs w:val="19"/>
                <w:color w:val="auto"/>
              </w:rPr>
            </w:pPr>
          </w:p>
        </w:tc>
      </w:tr>
      <w:tr>
        <w:trPr>
          <w:trHeight w:val="216"/>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shares related to:</w:t>
            </w:r>
          </w:p>
        </w:tc>
        <w:tc>
          <w:tcPr>
            <w:tcW w:w="242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504,742</w:t>
            </w:r>
          </w:p>
        </w:tc>
        <w:tc>
          <w:tcPr>
            <w:tcW w:w="3380" w:type="dxa"/>
            <w:vAlign w:val="bottom"/>
          </w:tcPr>
          <w:p>
            <w:pPr>
              <w:spacing w:after="0"/>
              <w:rPr>
                <w:sz w:val="18"/>
                <w:szCs w:val="18"/>
                <w:color w:val="auto"/>
              </w:rPr>
            </w:pPr>
          </w:p>
        </w:tc>
      </w:tr>
      <w:tr>
        <w:trPr>
          <w:trHeight w:val="250"/>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663,745</w:t>
            </w:r>
          </w:p>
        </w:tc>
        <w:tc>
          <w:tcPr>
            <w:tcW w:w="3380" w:type="dxa"/>
            <w:vAlign w:val="bottom"/>
          </w:tcPr>
          <w:p>
            <w:pPr>
              <w:spacing w:after="0"/>
              <w:rPr>
                <w:sz w:val="21"/>
                <w:szCs w:val="21"/>
                <w:color w:val="auto"/>
              </w:rPr>
            </w:pPr>
          </w:p>
        </w:tc>
      </w:tr>
      <w:tr>
        <w:trPr>
          <w:trHeight w:val="216"/>
        </w:trPr>
        <w:tc>
          <w:tcPr>
            <w:tcW w:w="54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Dilutive common equivalent shares</w:t>
            </w:r>
          </w:p>
        </w:tc>
        <w:tc>
          <w:tcPr>
            <w:tcW w:w="2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1,168,487</w:t>
            </w:r>
          </w:p>
        </w:tc>
        <w:tc>
          <w:tcPr>
            <w:tcW w:w="33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5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090"/>
              <w:spacing w:after="0"/>
              <w:rPr>
                <w:sz w:val="20"/>
                <w:szCs w:val="20"/>
                <w:color w:val="auto"/>
              </w:rPr>
            </w:pPr>
            <w:r>
              <w:rPr>
                <w:rFonts w:ascii="Times New Roman" w:cs="Times New Roman" w:eastAsia="Times New Roman" w:hAnsi="Times New Roman"/>
                <w:sz w:val="18"/>
                <w:szCs w:val="18"/>
                <w:color w:val="auto"/>
              </w:rPr>
              <w:t>9</w:t>
            </w: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computation of diluted net income (loss) per share of common stock for the three and nine months ended September 30, 2020 and 2019: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20" w:type="dxa"/>
            <w:vAlign w:val="bottom"/>
          </w:tcPr>
          <w:p>
            <w:pPr>
              <w:spacing w:after="0"/>
              <w:rPr>
                <w:sz w:val="19"/>
                <w:szCs w:val="19"/>
                <w:color w:val="auto"/>
              </w:rPr>
            </w:pPr>
          </w:p>
        </w:tc>
        <w:tc>
          <w:tcPr>
            <w:tcW w:w="300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Numerator – net income (loss) attributable to Harrow</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Inc.</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8,638</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(11,469)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(4,506)</w:t>
            </w:r>
          </w:p>
        </w:tc>
        <w:tc>
          <w:tcPr>
            <w:tcW w:w="5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Denominator – weighted average number of shares</w:t>
            </w: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25,921,573</w:t>
            </w:r>
          </w:p>
        </w:tc>
        <w:tc>
          <w:tcPr>
            <w:tcW w:w="460" w:type="dxa"/>
            <w:vAlign w:val="bottom"/>
          </w:tcPr>
          <w:p>
            <w:pPr>
              <w:spacing w:after="0"/>
              <w:rPr>
                <w:sz w:val="20"/>
                <w:szCs w:val="20"/>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25,583,998</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25,880,554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25,205,215</w:t>
            </w:r>
          </w:p>
        </w:tc>
        <w:tc>
          <w:tcPr>
            <w:tcW w:w="0" w:type="dxa"/>
            <w:vAlign w:val="bottom"/>
          </w:tcPr>
          <w:p>
            <w:pPr>
              <w:spacing w:after="0"/>
              <w:rPr>
                <w:sz w:val="1"/>
                <w:szCs w:val="1"/>
                <w:color w:val="auto"/>
              </w:rPr>
            </w:pPr>
          </w:p>
        </w:tc>
      </w:tr>
      <w:tr>
        <w:trPr>
          <w:trHeight w:val="24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common equivalent shares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1,168,487</w:t>
            </w:r>
          </w:p>
        </w:tc>
        <w:tc>
          <w:tcPr>
            <w:tcW w:w="4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0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Number of shares used for diluted earnings per share</w:t>
            </w: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computation</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27,090,060</w:t>
            </w:r>
          </w:p>
        </w:tc>
        <w:tc>
          <w:tcPr>
            <w:tcW w:w="460" w:type="dxa"/>
            <w:vAlign w:val="bottom"/>
          </w:tcPr>
          <w:p>
            <w:pPr>
              <w:spacing w:after="0"/>
              <w:rPr>
                <w:sz w:val="22"/>
                <w:szCs w:val="22"/>
                <w:color w:val="auto"/>
              </w:rPr>
            </w:pPr>
          </w:p>
        </w:tc>
        <w:tc>
          <w:tcPr>
            <w:tcW w:w="13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25,583,998</w:t>
            </w:r>
          </w:p>
        </w:tc>
        <w:tc>
          <w:tcPr>
            <w:tcW w:w="320" w:type="dxa"/>
            <w:vAlign w:val="bottom"/>
          </w:tcPr>
          <w:p>
            <w:pPr>
              <w:spacing w:after="0"/>
              <w:rPr>
                <w:sz w:val="22"/>
                <w:szCs w:val="22"/>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25,880,554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25,205,215</w:t>
            </w:r>
          </w:p>
        </w:tc>
        <w:tc>
          <w:tcPr>
            <w:tcW w:w="0" w:type="dxa"/>
            <w:vAlign w:val="bottom"/>
          </w:tcPr>
          <w:p>
            <w:pPr>
              <w:spacing w:after="0"/>
              <w:rPr>
                <w:sz w:val="1"/>
                <w:szCs w:val="1"/>
                <w:color w:val="auto"/>
              </w:rPr>
            </w:pPr>
          </w:p>
        </w:tc>
      </w:tr>
      <w:tr>
        <w:trPr>
          <w:trHeight w:val="230"/>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Eton Pharmaceuticals, Inc.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owns 3,500,000 shares of Eton common stock, which represents approximately 16.7% of the equity and voting interests of Eton as of September 30, 2020. At September 30, 2020 the fair market value of Eton’s common stock was $7.90 per share. In accordance with Accounting Standard’s Update (“ASU”) 2016-01, </w:t>
      </w:r>
      <w:r>
        <w:rPr>
          <w:rFonts w:ascii="Times New Roman" w:cs="Times New Roman" w:eastAsia="Times New Roman" w:hAnsi="Times New Roman"/>
          <w:sz w:val="18"/>
          <w:szCs w:val="18"/>
          <w:i w:val="1"/>
          <w:iCs w:val="1"/>
          <w:color w:val="auto"/>
        </w:rPr>
        <w:t>Financial Instruments-Overall (Subtopic 825-10): Recognition and Measurement of Financial Assets and Financial Liabilities</w:t>
      </w:r>
      <w:r>
        <w:rPr>
          <w:rFonts w:ascii="Times New Roman" w:cs="Times New Roman" w:eastAsia="Times New Roman" w:hAnsi="Times New Roman"/>
          <w:sz w:val="18"/>
          <w:szCs w:val="18"/>
          <w:color w:val="auto"/>
        </w:rPr>
        <w:t>, for the three and nine months ended September 30, 2020, the Company recorded an investment gain (loss) from its Eton common stock position of $8,575 and $2,450, respectively, related to the change in fair market value of the Company’s investment in Eton during the measurement periods. As of September 30, 2020, the fair market value of the Company’s investment in Eton was $27,650.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Baum, the Company’s Chief Executive Officer, is a member of the board of directors of Eton.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2018, the Company formed Melt as a wholly owned subsidiary. In January and March of 2019, Melt entered into definitive stock purchase agreements (collectively, the “Melt Series A Preferred Stock Agreement”) with certain investors and closed on the sale of Melt’s Series A Preferred Stock (the “Melt Series A Stock”), totaling approximately $11,400 of proceeds (collectively, the “Melt Series A Round”) at a purchase price of $5.00 per share. As a result, the Company lost voting and ownership control of Melt and ceased consolidating Melt’s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January 2019, the Company deconsolidated Melt and recorded a gain of $5,810 and adjusted the carrying value in Melt to reflect the increased valuation of Melt and the Company’s new ownership interest in accordance with Accounting Standard Codification (“ASC”) 810-10-40-4(c),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owns 3,500,000 common shares of Melt (which is approximately 44% of the equity interests as of September 30, 2020)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condensed consolidated financial statements and adjusts the carrying amount of its investment in Melt accordingly. The Company’s share of earnings and losses are based on the Company’s ownership interest of Melt. Any intra-entity profits and losses are eliminated. The Company recorded equity in the net loss of Melt of $300 and $1,536 during the three and nine months ended September 30, 2020, respectively. The Company recorded equity in the net loss of Melt of $682 and $1,293 during the three and nine months ended September 30, 2019, respectively. As of September 30, 2020, the carrying value of the Company’s investment in Melt was $2,432.</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owns 3,500,000 common shares (which is approximately 30% of the equity interests as of September 30, 2020)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 of Surface of $756 and $1,694 during the three and nine months ended September 30, 2020, respectively. The Company recorded equity in the net loss of Surface of $400 and $904 during the three and nine months ended September 30, 2019, respectively. As of September 30, 2020, the carrying value of the Company’s investment in Surface was $2,053.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which requires the measurement and recognition of expected credit losses for financial assets held at amortized cost. ASU 2016-13 replaces the existing incurred loss impairment model with a forward-looking expected credit loss model which will result in earlier recognition of credit losses. The Company adopted ASU 2016-13 on January 1, 2020, and adoption of the standard did not have a material effect on the Company’s consolidated financial position, results of operations and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Changes to Disclosure Requirements for Fair Value Measurements</w:t>
      </w:r>
      <w:r>
        <w:rPr>
          <w:rFonts w:ascii="Times New Roman" w:cs="Times New Roman" w:eastAsia="Times New Roman" w:hAnsi="Times New Roman"/>
          <w:sz w:val="18"/>
          <w:szCs w:val="18"/>
          <w:color w:val="auto"/>
        </w:rPr>
        <w:t>, which improved the effectiveness of disclosure requirements for recurring and nonrecurring fair value measurements. The standard removes, modifies, and adds certain disclosure requirements. The Company adopted ASU 2018-13 on January 1, 2020, and adoption of the standard did not have a material effect on the Company’s consolidated financial position, results of operations and cash flows.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The Company adopted ASU 2017-04 on January 1, 2020, and adoption of the standard did not have a material effect on the Company’s consolidated financial position,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as part of its initiative to reduce complexity in accounting standards. The amendments in the ASU are effective for fiscal years beginning after December 15, 2020, including interim periods therein. Early adoption of the standard is permitted. The Company is currently assessing the impact of this standard and does not expect ASU 2019-12 to have a material impact on its consolidated financial position, results of operations and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The Company has two primary streams of revenues: (1) revenues recognized from our sale of products within our pharmacy services and (2) revenues recognized from intellectual property license and asset purchase agreements.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Product Revenues from Pharmacy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prescription drugs directly through our pharmacy and outsourcing facility network. Revenues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ASC 606, we have identified the following:</w:t>
      </w:r>
    </w:p>
    <w:p>
      <w:pPr>
        <w:spacing w:after="0" w:line="180"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 A contract exists with a customer at the time the prescription or order is received by the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 At the time of shipment from the pharmacy or outsourcing facility, the performance obligation has been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2020, the Company entered into an agreement whereby it is paid a fee calculated based on sales it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part of the Company to recognize the associated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License 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holds five intellectual property license and related agreements in which the Company has sold or granted a license which provides a customer with the right to access the Company’s intellectual property. License arrangements may include or require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of time the performance obligation is met.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revenue source for the three and nine months ended September 30, 2020 and 2019, consists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41"/>
        </w:trPr>
        <w:tc>
          <w:tcPr>
            <w:tcW w:w="2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7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1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r>
      <w:tr>
        <w:trPr>
          <w:trHeight w:val="217"/>
        </w:trPr>
        <w:tc>
          <w:tcPr>
            <w:tcW w:w="27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18"/>
                <w:szCs w:val="18"/>
                <w:b w:val="1"/>
                <w:bCs w:val="1"/>
                <w:color w:val="auto"/>
              </w:rPr>
              <w:t>s</w:t>
            </w:r>
          </w:p>
        </w:tc>
        <w:tc>
          <w:tcPr>
            <w:tcW w:w="150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34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and customer deposits at September 30, 2020 and December 31, 2019, was $63 and $57, respectively. All deferred revenue and customer deposit amounts at December 31, 2019 were recognized as revenue during the nine months ended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IN MELT PHARMACEUTICALS, INC. AND AGREEMENTS -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royalty payments to the Company up to 5% of net sales of the Melt Products while any patent rights remain outstanding, as well as other conditions. In January and March 2019, the Company entered into the Melt Series A Preferred Stock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2019, the Company and Melt entered into a Management Services Agreement (the “Melt MSA”), whereby the Company provides to Melt certain administrative services and support, including bookkeeping, web services and human resources related activities, and Melt pays the Company a monthly amount of $10.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was due $815 from Melt for reimbursable expenses and amounts due under the Melt MSA and are included in prepaid expenses and other current assets on the accompanying condensed consolidated balance sheets. During the three and nine months ended September 30, 2020, Melt did not make any payments to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Company’s Chief Executive Officer, Mark L. Baum, and Chief Medical Officer, Larry Dillaha, are members of the Melt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Melt is summarized below:</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For the</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w:t>
            </w:r>
          </w:p>
        </w:tc>
      </w:tr>
      <w:tr>
        <w:trPr>
          <w:trHeight w:val="230"/>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Melt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5400" w:type="dxa"/>
            <w:vAlign w:val="bottom"/>
            <w:tcBorders>
              <w:bottom w:val="single" w:sz="8" w:color="CCEEFF"/>
            </w:tcBorders>
          </w:tcPr>
          <w:p>
            <w:pPr>
              <w:spacing w:after="0"/>
              <w:rPr>
                <w:sz w:val="21"/>
                <w:szCs w:val="21"/>
                <w:color w:val="auto"/>
              </w:rPr>
            </w:pPr>
          </w:p>
        </w:tc>
        <w:tc>
          <w:tcPr>
            <w:tcW w:w="20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CCEEFF"/>
            </w:tcBorders>
          </w:tcPr>
          <w:p>
            <w:pPr>
              <w:spacing w:after="0"/>
              <w:rPr>
                <w:sz w:val="21"/>
                <w:szCs w:val="2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shd w:val="clear" w:color="auto" w:fill="CCEEFF"/>
          </w:tcPr>
          <w:p>
            <w:pPr>
              <w:spacing w:after="0"/>
              <w:rPr>
                <w:sz w:val="18"/>
                <w:szCs w:val="18"/>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 current assets</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 and stockholders’ equity</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2,632</w:t>
            </w: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SURFACE OPHTHALMICS, INC. AND AGREEMENTS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to develop, formulate, make, sell, and sub-license ophthalmic formulations (collectively, the “Surface Products”). Surface is required to make royalty payments to the Company of 4%-6% of net sales of the Surface Products while any patent rights remain outstanding.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director, Richard L. Lindstrom, and the Company’s Chief Executive Officer, Mark L. Baum, are directors of Surface. Surface is required to make royalty payments to Dr. Lindstrom of 3% of net sales of certain Surface Products while certain patent rights remain outstanding. Dr. Lindstrom is also a principal of Flying L Partners, an affiliate of the funding investor who purchased the Surface Series A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results of operations information of Surface is summarized below:</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For the</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5,647</w:t>
            </w:r>
          </w:p>
        </w:tc>
      </w:tr>
      <w:tr>
        <w:trPr>
          <w:trHeight w:val="230"/>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balance sheet information of Surface is summarized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30,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2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 current assets</w:t>
            </w: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9,838</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September 30, 2020 and December 31, 2019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r>
      <w:tr>
        <w:trPr>
          <w:trHeight w:val="24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shd w:val="clear" w:color="auto" w:fill="CCEEFF"/>
          </w:tcPr>
          <w:p>
            <w:pPr>
              <w:spacing w:after="0"/>
              <w:rPr>
                <w:sz w:val="21"/>
                <w:szCs w:val="21"/>
                <w:color w:val="auto"/>
              </w:rPr>
            </w:pPr>
          </w:p>
        </w:tc>
      </w:tr>
      <w:tr>
        <w:trPr>
          <w:trHeight w:val="217"/>
        </w:trPr>
        <w:tc>
          <w:tcPr>
            <w:tcW w:w="5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PREPAID EXPENSES AND OTHER CURRENT ASSETS</w:t>
      </w:r>
    </w:p>
    <w:p>
      <w:pPr>
        <w:sectPr>
          <w:pgSz w:w="11900" w:h="16838" w:orient="portrait"/>
          <w:cols w:equalWidth="0" w:num="1">
            <w:col w:w="11240"/>
          </w:cols>
          <w:pgMar w:left="320" w:top="65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Receivable due from Melt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and other current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r>
      <w:tr>
        <w:trPr>
          <w:trHeight w:val="198"/>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16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r>
      <w:tr>
        <w:trPr>
          <w:trHeight w:val="241"/>
        </w:trPr>
        <w:tc>
          <w:tcPr>
            <w:tcW w:w="16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4960" w:space="640"/>
            <w:col w:w="564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equipment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 and pharmacy equipment</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3,464</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3,164</w:t>
            </w:r>
          </w:p>
        </w:tc>
        <w:tc>
          <w:tcPr>
            <w:tcW w:w="60" w:type="dxa"/>
            <w:vAlign w:val="bottom"/>
          </w:tcPr>
          <w:p>
            <w:pPr>
              <w:spacing w:after="0"/>
              <w:rPr>
                <w:sz w:val="18"/>
                <w:szCs w:val="18"/>
                <w:color w:val="auto"/>
              </w:rPr>
            </w:pPr>
          </w:p>
        </w:tc>
      </w:tr>
      <w:tr>
        <w:trPr>
          <w:trHeight w:val="25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5,720</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5,510</w:t>
            </w:r>
          </w:p>
        </w:tc>
        <w:tc>
          <w:tcPr>
            <w:tcW w:w="60" w:type="dxa"/>
            <w:vAlign w:val="bottom"/>
            <w:shd w:val="clear" w:color="auto" w:fill="CCEEFF"/>
          </w:tcPr>
          <w:p>
            <w:pPr>
              <w:spacing w:after="0"/>
              <w:rPr>
                <w:sz w:val="21"/>
                <w:szCs w:val="21"/>
                <w:color w:val="auto"/>
              </w:rPr>
            </w:pPr>
          </w:p>
        </w:tc>
      </w:tr>
      <w:tr>
        <w:trPr>
          <w:trHeight w:val="203"/>
        </w:trPr>
        <w:tc>
          <w:tcPr>
            <w:tcW w:w="56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11,549</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10,769</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4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(6,776)</w:t>
            </w:r>
          </w:p>
        </w:tc>
        <w:tc>
          <w:tcPr>
            <w:tcW w:w="1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(5,394)</w:t>
            </w:r>
          </w:p>
        </w:tc>
      </w:tr>
      <w:tr>
        <w:trPr>
          <w:trHeight w:val="217"/>
        </w:trPr>
        <w:tc>
          <w:tcPr>
            <w:tcW w:w="56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depreciation and amortization related to the property, plant and equipment was $464 and $1,377, respectively. For the three and nine months ended September 30, 2019, depreciation related to the property, plant and equipment was $397 and $1,365, respectively. During the three and nine months ended September 30, 2019, the Company impaired $445 of property, plant and equipment related to the Park Restructuring.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INTANGIBLE ASSETS AND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at September 30, 2020 consisted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9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periods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Accumulated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41"/>
        </w:trPr>
        <w:tc>
          <w:tcPr>
            <w:tcW w:w="1920" w:type="dxa"/>
            <w:vAlign w:val="bottom"/>
          </w:tcPr>
          <w:p>
            <w:pPr>
              <w:spacing w:after="0"/>
              <w:rPr>
                <w:sz w:val="20"/>
                <w:szCs w:val="20"/>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years)</w:t>
            </w:r>
          </w:p>
        </w:tc>
        <w:tc>
          <w:tcPr>
            <w:tcW w:w="360" w:type="dxa"/>
            <w:vAlign w:val="bottom"/>
          </w:tcPr>
          <w:p>
            <w:pPr>
              <w:spacing w:after="0"/>
              <w:rPr>
                <w:sz w:val="20"/>
                <w:szCs w:val="20"/>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Pr>
          <w:p>
            <w:pPr>
              <w:spacing w:after="0"/>
              <w:rPr>
                <w:sz w:val="20"/>
                <w:szCs w:val="20"/>
                <w:color w:val="auto"/>
              </w:rPr>
            </w:pPr>
          </w:p>
        </w:tc>
        <w:tc>
          <w:tcPr>
            <w:tcW w:w="17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166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20"/>
                <w:szCs w:val="20"/>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Carrying value</w:t>
            </w:r>
          </w:p>
        </w:tc>
      </w:tr>
      <w:tr>
        <w:trPr>
          <w:trHeight w:val="216"/>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17-19 years</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20 years</w:t>
            </w:r>
          </w:p>
        </w:tc>
        <w:tc>
          <w:tcPr>
            <w:tcW w:w="3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Indefinite</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3-15 years</w:t>
            </w:r>
          </w:p>
        </w:tc>
        <w:tc>
          <w:tcPr>
            <w:tcW w:w="36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5 years</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Non-competition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clause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3-4 years</w:t>
            </w:r>
          </w:p>
        </w:tc>
        <w:tc>
          <w:tcPr>
            <w:tcW w:w="36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State pharmacy</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25 years</w:t>
            </w:r>
          </w:p>
        </w:tc>
        <w:tc>
          <w:tcPr>
            <w:tcW w:w="3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192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recorded impairment charges of $363 related to patent filings associated with products that the Company was no longer actively selling.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for the three and nine months ended September 30, 2020 and 2019 was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4"/>
          </w:tcPr>
          <w:p>
            <w:pPr>
              <w:jc w:val="center"/>
              <w:ind w:right="470"/>
              <w:spacing w:after="0"/>
              <w:rPr>
                <w:sz w:val="20"/>
                <w:szCs w:val="20"/>
                <w:color w:val="auto"/>
              </w:rPr>
            </w:pPr>
            <w:r>
              <w:rPr>
                <w:rFonts w:ascii="Times New Roman" w:cs="Times New Roman" w:eastAsia="Times New Roman" w:hAnsi="Times New Roman"/>
                <w:sz w:val="18"/>
                <w:szCs w:val="18"/>
                <w:color w:val="auto"/>
                <w:w w:val="96"/>
              </w:rPr>
              <w:t>For the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rPr>
              <w:t>For the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220" w:type="dxa"/>
            <w:vAlign w:val="bottom"/>
          </w:tcPr>
          <w:p>
            <w:pPr>
              <w:spacing w:after="0"/>
              <w:rPr>
                <w:sz w:val="19"/>
                <w:szCs w:val="19"/>
                <w:color w:val="auto"/>
              </w:rPr>
            </w:pPr>
          </w:p>
        </w:tc>
        <w:tc>
          <w:tcPr>
            <w:tcW w:w="218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3220" w:type="dxa"/>
            <w:vAlign w:val="bottom"/>
          </w:tcPr>
          <w:p>
            <w:pPr>
              <w:spacing w:after="0"/>
              <w:rPr>
                <w:sz w:val="20"/>
                <w:szCs w:val="20"/>
                <w:color w:val="auto"/>
              </w:rPr>
            </w:pPr>
          </w:p>
        </w:tc>
        <w:tc>
          <w:tcPr>
            <w:tcW w:w="21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w w:val="99"/>
              </w:rPr>
              <w:t>September 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7"/>
        </w:trPr>
        <w:tc>
          <w:tcPr>
            <w:tcW w:w="3220" w:type="dxa"/>
            <w:vAlign w:val="bottom"/>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8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8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5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pharmacy licenses</w:t>
            </w:r>
          </w:p>
        </w:tc>
        <w:tc>
          <w:tcPr>
            <w:tcW w:w="8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1"/>
                <w:szCs w:val="21"/>
                <w:color w:val="auto"/>
              </w:rPr>
            </w:pPr>
          </w:p>
        </w:tc>
      </w:tr>
      <w:tr>
        <w:trPr>
          <w:trHeight w:val="217"/>
        </w:trPr>
        <w:tc>
          <w:tcPr>
            <w:tcW w:w="32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September 30, 2020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893</w:t>
            </w:r>
          </w:p>
        </w:tc>
      </w:tr>
      <w:tr>
        <w:trPr>
          <w:trHeight w:val="230"/>
        </w:trPr>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the carrying value of the Company’s goodwill during the three and nine months ended September 30,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exit fee for note payable</w:t>
            </w:r>
          </w:p>
        </w:tc>
        <w:tc>
          <w:tcPr>
            <w:tcW w:w="16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(5,691)</w:t>
            </w:r>
          </w:p>
        </w:tc>
        <w:tc>
          <w:tcPr>
            <w:tcW w:w="1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(7,702)</w:t>
            </w:r>
          </w:p>
        </w:tc>
      </w:tr>
      <w:tr>
        <w:trPr>
          <w:trHeight w:val="229"/>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total accrued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2017, the Company entered into a term loan and security agreement in the principal amount of $16,000 (the “SWK Loan Agreement” or “SWK Loan”) with SWK Funding LLC and its partners (collectively, “SWK”), as lender and collateral agent. The SWK Loan Agreement was fully funded at closing with a five-year term; however, such term could be reduced to four years if certain revenue requirements are not achieved. The SWK Loan is secured by substantially all of the Company’s assets, including its intellectual property rights. The SWK Loan was subsequently amended in May 2019 and again in April 2020 (see below). The SWK Loan bears an interest rate that is equal to the three-month London Inter-Bank Offered Rate (subject to a minimum of 2.00%), plus an applicable margin of 10.00% (the “Margin Rate”); provided that, if, two days prior to a payment date, the Company provides SWK evidence that the Company has achieved a leverage ratio as of such date of less than 4.00:1:00, the Margin Rate shall equal 9.00%; and if the Company has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 month period, adding-back (i) actual litigation expenses for the immediately preceding 12 month period, minus (ii) actual litigation expenses for the immediately preceding 3 month period multiplied by 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SWK Loan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2020, the Company and several of its wholly owned subsidiaries entered into a second amendment (the “SWK Amendment”) to the SWK Loan, with SWK. A summary of the material changes contained in the SWK Amendment are as follows:</w:t>
      </w:r>
    </w:p>
    <w:p>
      <w:pPr>
        <w:spacing w:after="0" w:line="162" w:lineRule="exact"/>
        <w:rPr>
          <w:sz w:val="20"/>
          <w:szCs w:val="20"/>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SWK agreed to make available to the Company, and the Company drew down on, an additional principal amount of $1,000;</w:t>
      </w:r>
    </w:p>
    <w:p>
      <w:pPr>
        <w:spacing w:after="0" w:line="225"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the first amortization date was changed to August 14, 2020, permitting the Company to pay interest only on the principal amount loaned for the next payment (payments are due on a quarterly basis) following the SWK Amendment; and</w:t>
      </w:r>
    </w:p>
    <w:p>
      <w:pPr>
        <w:spacing w:after="0" w:line="161" w:lineRule="exact"/>
        <w:rPr>
          <w:rFonts w:ascii="Times New Roman" w:cs="Times New Roman" w:eastAsia="Times New Roman" w:hAnsi="Times New Roman"/>
          <w:sz w:val="18"/>
          <w:szCs w:val="18"/>
          <w:color w:val="auto"/>
        </w:rPr>
      </w:pPr>
    </w:p>
    <w:p>
      <w:pPr>
        <w:ind w:left="460" w:hanging="223"/>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payment due May 14, 2020 will be paid in kind by increasing the principal amount of the term loans by an amount equal to the interest accrued as of such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spacing w:after="0" w:line="289" w:lineRule="auto"/>
        <w:rPr>
          <w:sz w:val="20"/>
          <w:szCs w:val="20"/>
          <w:color w:val="auto"/>
        </w:rPr>
      </w:pPr>
      <w:r>
        <w:rPr>
          <w:rFonts w:ascii="Times New Roman" w:cs="Times New Roman" w:eastAsia="Times New Roman" w:hAnsi="Times New Roman"/>
          <w:sz w:val="17"/>
          <w:szCs w:val="17"/>
          <w:color w:val="auto"/>
        </w:rPr>
        <w:t>Under the terms of the PPP Loan, interest accrues on the outstanding principal at the rate of 1.0% per annum. The term of the PPP Loan is two years, unless sooner required in connection with an event of default under the PPP Loan. To the extent the PPP Loan amount is not forgiven under the PPP, the Company is obligated to make equal monthly payments of principal and interest, beginning seven months from the date of the PPP Loan, until the maturity date.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CARES Act and the PPP provide a mechanism for forgiveness of up to the full amount borrowed. Under the PPP, the Company may apply for and be granted forgiveness for all or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eight-week period will qualify for forgiveness. While the Company has used proceeds from the PPP Loan for such qualifying expenses, in particular maintaining continuity of its payroll and workforce (including staff critical to the timely production and dispensing of medicines the Company produces), no assurance can be provided that the Company will apply for and subsequently obtain forgiveness of the PPP Loan in whole or in part.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future minimum payments under the Company’s debt agreements were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4,437</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9,669</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estimated interest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(3,020)</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payable, gross</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 of unamortized discount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r>
      <w:tr>
        <w:trPr>
          <w:trHeight w:val="22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payable, net of current portion and unamortized debt discount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debt discount amortization related to the SWK loan payable was $111 and $354, respectively. For the three and nine months ended September 30, 2019, debt discount amortization related to the SWK loan payable was $127 and $377,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leases of office and laboratory space under the non-cancelable operating leases listed below. These lease agreements have remaining lease terms between one to four years and contain various clauses for renewal at our option.</w:t>
      </w:r>
    </w:p>
    <w:p>
      <w:pPr>
        <w:spacing w:after="0" w:line="162"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10,200 square feet of office space in San Diego, California that expires in December 2021, with an option to extend the term for a five-year period;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26,400 square feet of lab, warehouse and office space in Ledgewood, New Jersey, that expires in July 2026, with an option to extend the term for two additional five-year periods. This includes an amendment that was made effective July 2020 that extended the term of the original lease and added 1,400 of additional square footage to the lease;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operating lease for 5,500 square feet of office space in Nashville, Tennessee, that expires in December 2024, with an option to extend the term for two additional five-year periods.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terminated its operating lease for 4,500 square feet of office and lab space in Irvine, California that had an expiration date in December 2020. In connection with the termination, the Company recorded a gain of $4 which was recognized in other income (expense) on the condensed consolidated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the weighted average incremental borrowing rate and the weighted average remaining lease term for the operating leases held by the Company were 6.33% and 11.38 years,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cash paid for amounts included for the operating lease liabilities was $258 and $805, respectively, and the Company recorded operating lease expense of $261 and $816, respectively, included in selling, general and administrative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September 30, 2020 were as follows</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1,090</w:t>
            </w:r>
          </w:p>
        </w:tc>
      </w:tr>
      <w:tr>
        <w:trPr>
          <w:trHeight w:val="23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6,056</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(3,156)</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operating lease liabilities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a finance lease that is included in its lease accounting but is not considered 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finance leases as of September 30, 2020 were as follows</w:t>
      </w: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minimum lease payments</w:t>
            </w:r>
          </w:p>
        </w:tc>
        <w:tc>
          <w:tcPr>
            <w:tcW w:w="24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 payments</w:t>
            </w:r>
          </w:p>
        </w:tc>
        <w:tc>
          <w:tcPr>
            <w:tcW w:w="2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4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tcBorders>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finance lease obligation</w:t>
            </w:r>
          </w:p>
        </w:tc>
        <w:tc>
          <w:tcPr>
            <w:tcW w:w="2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lease obligation, net of current portion</w:t>
            </w:r>
          </w:p>
        </w:tc>
        <w:tc>
          <w:tcPr>
            <w:tcW w:w="24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8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2020, the incremental borrowing rate and the remaining lease term for the finance lease held by the Company were 6.36% and 3.33 years,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depreciation expense related to the equipment held under the finance lease obligation was $2 and $6,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cash paid and expense recognized for interest expense related to the finance lease obligation was $0 and $1,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2020, the Company issued 30,000 shares of its restricted common stock, with a fair value of $167, as consideration for commission expenses incurred during the year ended December 31, 2019 and the nine months ended September 30, 2020.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issued 253 shares of its common stock upon the cashless exercise of 750 options to purchase common stock, with an exercise price of $3.04 per share, net of 69 shares of common stock withheld for payroll tax withholdings.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issued 2,998 shares of its common stock upon the exercise of 2,998 options to purchase common stock, with exercise prices ranging from $3.04 to $3.20 per share, and paid $8 related to payroll tax withholdings.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issued 91,987 shares of its common stock underlying RSUs held by a director that resigned. The RSUs had previously vested, including 2,429 RSUs during the nine months ended September 30, 2020, but the issuance and delivery of the shares were deferred until the director resigned.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46,762 shares of the Company’s common stock underlying RSUs issued to directors vested, but the issuance and delivery of these shares are deferred until the resignation of a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September 30, 2020,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342,882 shares available for future issuances under the 2017 Plan at September 30, 2020.</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Plans for the nine months ended September 30, 2020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Weighted Avg.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Weighted Avg.</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Remaining</w:t>
            </w:r>
          </w:p>
        </w:tc>
        <w:tc>
          <w:tcPr>
            <w:tcW w:w="1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Aggregate Intrinsic</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Number of shares</w:t>
            </w:r>
          </w:p>
        </w:tc>
        <w:tc>
          <w:tcPr>
            <w:tcW w:w="16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Contractual Life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January 1, 2020</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2,656,683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414,500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6.44</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(14,369)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17.42</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September 30, 2020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3,053,066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5.41</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c>
          <w:tcPr>
            <w:tcW w:w="480" w:type="dxa"/>
            <w:vAlign w:val="bottom"/>
            <w:tcBorders>
              <w:top w:val="single" w:sz="8" w:color="CCEEFF"/>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 September 30, 2020</w:t>
            </w:r>
          </w:p>
        </w:tc>
        <w:tc>
          <w:tcPr>
            <w:tcW w:w="1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4.45</w:t>
            </w: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4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1,855,150</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480" w:type="dxa"/>
            <w:vAlign w:val="bottom"/>
            <w:tcBorders>
              <w:bottom w:val="single" w:sz="8" w:color="CCEEFF"/>
            </w:tcBorders>
            <w:gridSpan w:val="2"/>
            <w:vMerge w:val="continue"/>
          </w:tcPr>
          <w:p>
            <w:pPr>
              <w:spacing w:after="0"/>
              <w:rPr>
                <w:sz w:val="20"/>
                <w:szCs w:val="20"/>
                <w:color w:val="auto"/>
              </w:rPr>
            </w:pPr>
          </w:p>
        </w:tc>
        <w:tc>
          <w:tcPr>
            <w:tcW w:w="12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Options vested and expected to vest – September 30,</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2,940,527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5.34</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2020, based on the closing price of the Company’s common stock of $5.59 on that date.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nine months ended September 30, 2020 generally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and 100% of the shares subject to the option vest on a quarterly basis in equal installments over three years. Certain option awards provide for accelerated vesting if there is a change in control (as defined in the Plans) and in the event of certain modifications to the option award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31, 2015, the Company granted to its Chief Executive Officer, Mark Baum, an option (the “Baum Performance Option”) to purchase 600,000 shares of the Company’s common stock at an exercise price of $7.87 per share under the 2007 Plan subject to the satisfaction of certain market-based vesting criteria. The market-based vesting criteria are separated into five tranches and require that the Company achieve and maintain certain average stock price targets ranging from $9 per share to $15 per share during the five year period following the grant date. On June 4, 2020, the Company amended the Baum Performance Option, to extend the vesting and contractual term by 5 years. The Company treated this amendment as a modification to the Baum Performance Option for accounting purposes. The fair value of the modification was $1,876 using a Monte Carlo Simulation with a five year life, 70% volatility and a risk-free interest rate of 0.40%.</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the exception of the Baum Performance Option, 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rate of 10%. These factors could change in the future, which would affect the determination of stock-based compensation expense in future periods. Utilizing these assumptions, the fair value is determined at the date of grant.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illustrates the fair value per share determined by the Black-Scholes-Merton option pricing model with the following assumptions used for valuing options granted to employees: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Borders>
              <w:bottom w:val="single" w:sz="8" w:color="CCEEFF"/>
            </w:tcBorders>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(in years)</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 6.11</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66.5% - 71.4%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 - 1.64%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September 30, 2020:</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Options Outstanding</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Options Exercisable</w:t>
            </w: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Weighted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20" w:type="dxa"/>
            <w:vAlign w:val="bottom"/>
          </w:tcPr>
          <w:p>
            <w:pPr>
              <w:spacing w:after="0"/>
              <w:rPr>
                <w:sz w:val="18"/>
                <w:szCs w:val="18"/>
                <w:color w:val="auto"/>
              </w:rPr>
            </w:pPr>
          </w:p>
        </w:tc>
        <w:tc>
          <w:tcPr>
            <w:tcW w:w="1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Average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Number</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9"/>
                <w:szCs w:val="19"/>
                <w:color w:val="auto"/>
              </w:rPr>
            </w:pP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Exercise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41"/>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Exercise Prices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Life in Years</w:t>
            </w:r>
          </w:p>
        </w:tc>
        <w:tc>
          <w:tcPr>
            <w:tcW w:w="120" w:type="dxa"/>
            <w:vAlign w:val="bottom"/>
          </w:tcPr>
          <w:p>
            <w:pPr>
              <w:spacing w:after="0"/>
              <w:rPr>
                <w:sz w:val="20"/>
                <w:szCs w:val="20"/>
                <w:color w:val="auto"/>
              </w:rPr>
            </w:pP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Price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Price</w:t>
            </w:r>
          </w:p>
        </w:tc>
        <w:tc>
          <w:tcPr>
            <w:tcW w:w="0" w:type="dxa"/>
            <w:vAlign w:val="bottom"/>
          </w:tcPr>
          <w:p>
            <w:pPr>
              <w:spacing w:after="0"/>
              <w:rPr>
                <w:sz w:val="1"/>
                <w:szCs w:val="1"/>
                <w:color w:val="auto"/>
              </w:rPr>
            </w:pPr>
          </w:p>
        </w:tc>
      </w:tr>
      <w:tr>
        <w:trPr>
          <w:trHeight w:val="216"/>
        </w:trPr>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$1.47 - $2.60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778,690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728,938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$2.76 - $4.66</w:t>
            </w:r>
          </w:p>
        </w:tc>
        <w:tc>
          <w:tcPr>
            <w:tcW w:w="2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531,785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453,157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$5.49 - $6.36</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496,350</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263,814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$6.64 - $8.99</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1,246,241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409,241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$1.47 - $8.99</w:t>
            </w:r>
          </w:p>
        </w:tc>
        <w:tc>
          <w:tcPr>
            <w:tcW w:w="22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3,053,066</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vMerge w:val="continue"/>
            <w:shd w:val="clear" w:color="auto" w:fill="CCEEFF"/>
          </w:tcPr>
          <w:p>
            <w:pPr>
              <w:spacing w:after="0"/>
              <w:rPr>
                <w:sz w:val="21"/>
                <w:szCs w:val="21"/>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1,855,150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approximately $6,021 of total unrecognized compensation expense related to unvested stock options granted under the Plans. That expense is expected to be recognized over the weighted-average remaining vesting period of 4.03 years. The stock-based compensation expense for all stock options was $559 and $1,094 during the three and nine months ended September 30, 2020,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the Company’s board of directors were granted 68,024 RSUs with a fair market value $400 which vest on a quarterly basis, over one year in equal installments.</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10,000 RSUs to a new member of its board of directors, with a fair market value of $39 which vest on the one-year anniversary of the grant date.</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granted 12,500 RSUs to a new member of its board of directors, with a fair market value of $72 which vest on the one-year anniversary of the grant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161,000 RSUs with a fair market value of $1,025 were issued to certain employees; the RSUs vest in full on the third anniversary of the grant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nine months ended September 30, 2020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Grant Date Fair</w:t>
            </w:r>
          </w:p>
        </w:tc>
      </w:tr>
      <w:tr>
        <w:trPr>
          <w:trHeight w:val="241"/>
        </w:trPr>
        <w:tc>
          <w:tcPr>
            <w:tcW w:w="5600" w:type="dxa"/>
            <w:vAlign w:val="bottom"/>
          </w:tcPr>
          <w:p>
            <w:pPr>
              <w:spacing w:after="0"/>
              <w:rPr>
                <w:sz w:val="20"/>
                <w:szCs w:val="20"/>
                <w:color w:val="auto"/>
              </w:rPr>
            </w:pP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unvested - January 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251,524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cancelled/forfeited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unvested at September 30,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1,614,264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the total unrecognized compensation expense related to unvested RSUs was approximately $1,610, which is expected to be recognized over a weighted-average period of 0.42 years, based on estimated and actual vesting schedules of the applicable RSUs. The stock-based compensation for RSUs during the three and nine months ended September 30, 2020 was $357 and $884,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warrant activity for the nine months ended September 30, 2020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Number of Shares Subject</w:t>
            </w:r>
          </w:p>
        </w:tc>
        <w:tc>
          <w:tcPr>
            <w:tcW w:w="160" w:type="dxa"/>
            <w:vAlign w:val="bottom"/>
          </w:tcPr>
          <w:p>
            <w:pPr>
              <w:spacing w:after="0"/>
              <w:rPr>
                <w:sz w:val="18"/>
                <w:szCs w:val="18"/>
                <w:color w:val="auto"/>
              </w:rPr>
            </w:pPr>
          </w:p>
        </w:tc>
        <w:tc>
          <w:tcPr>
            <w:tcW w:w="20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Avg. Exercise</w:t>
            </w: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to Warrants Outstanding</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7"/>
              </w:rPr>
              <w:t>Price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Warrants outstanding - January 1, 2020</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780,386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 September 30, 2020</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780,386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CCEEFF"/>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6800" w:type="dxa"/>
            <w:vAlign w:val="bottom"/>
            <w:gridSpan w:val="8"/>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remaining contractual life of the outstanding warrants in years - September</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00" w:type="dxa"/>
            <w:vAlign w:val="bottom"/>
            <w:gridSpan w:val="8"/>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30, 2020</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Warrants outstanding and exercisable as of September 30, 2020 are as follows:</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00" w:type="dxa"/>
            <w:vAlign w:val="bottom"/>
            <w:gridSpan w:val="8"/>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3"/>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Warrants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Exercise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color w:val="auto"/>
                <w:w w:val="99"/>
              </w:rPr>
              <w:t>Expiration</w:t>
            </w:r>
          </w:p>
        </w:tc>
        <w:tc>
          <w:tcPr>
            <w:tcW w:w="0" w:type="dxa"/>
            <w:vAlign w:val="bottom"/>
          </w:tcPr>
          <w:p>
            <w:pPr>
              <w:spacing w:after="0"/>
              <w:rPr>
                <w:sz w:val="1"/>
                <w:szCs w:val="1"/>
                <w:color w:val="auto"/>
              </w:rPr>
            </w:pPr>
          </w:p>
        </w:tc>
      </w:tr>
      <w:tr>
        <w:trPr>
          <w:trHeight w:val="241"/>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Series</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 Date</w:t>
            </w:r>
          </w:p>
        </w:tc>
        <w:tc>
          <w:tcPr>
            <w:tcW w:w="2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7"/>
              </w:rPr>
              <w:t>Price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color w:val="auto"/>
                <w:w w:val="99"/>
              </w:rPr>
              <w:t>Date</w:t>
            </w: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5/11/2015</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 warrants</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8/16/2016</w:t>
            </w:r>
          </w:p>
        </w:tc>
        <w:tc>
          <w:tcPr>
            <w:tcW w:w="22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8/16/2021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 warrants</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7/19/2017</w:t>
            </w:r>
          </w:p>
        </w:tc>
        <w:tc>
          <w:tcPr>
            <w:tcW w:w="22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615,386</w:t>
            </w: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7/19/2024</w:t>
            </w: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780,386</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Stock-Based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Mayfield Pharmaceuticals, Inc.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Mayfield repurchased 650,000 shares of its common stock from Elle, for an aggregate purchase price of $1.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Mayfield issued 475,000 shares of its restricted common stock, with a fair value of $11, that vest upon various performance-based milestones and over a four-year service period to Mayfield’s Chief Executive Officer candidate. During the nine months ended September 30, 2020, the Company recognized $17 in stock-based compensation tied to the Mayfield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2020, 500,000 shares of Mayfield’s restricted common stock were forfeited by a consultant.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related to equity instruments granted to employees, directors and consultants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For the</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80" w:type="dxa"/>
            <w:vAlign w:val="bottom"/>
            <w:gridSpan w:val="4"/>
          </w:tcPr>
          <w:p>
            <w:pPr>
              <w:jc w:val="right"/>
              <w:ind w:right="614"/>
              <w:spacing w:after="0"/>
              <w:rPr>
                <w:sz w:val="20"/>
                <w:szCs w:val="20"/>
                <w:color w:val="auto"/>
              </w:rPr>
            </w:pPr>
            <w:r>
              <w:rPr>
                <w:rFonts w:ascii="Times New Roman" w:cs="Times New Roman" w:eastAsia="Times New Roman" w:hAnsi="Times New Roman"/>
                <w:sz w:val="18"/>
                <w:szCs w:val="18"/>
                <w:color w:val="auto"/>
              </w:rPr>
              <w:t>For the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8"/>
                <w:szCs w:val="18"/>
                <w:color w:val="auto"/>
              </w:rPr>
              <w:t>Nine Months Ended</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280" w:type="dxa"/>
            <w:vAlign w:val="bottom"/>
          </w:tcPr>
          <w:p>
            <w:pPr>
              <w:spacing w:after="0"/>
              <w:rPr>
                <w:sz w:val="20"/>
                <w:szCs w:val="20"/>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34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September 30, 2019</w:t>
            </w:r>
          </w:p>
        </w:tc>
        <w:tc>
          <w:tcPr>
            <w:tcW w:w="100" w:type="dxa"/>
            <w:vAlign w:val="bottom"/>
            <w:gridSpan w:val="2"/>
          </w:tcPr>
          <w:p>
            <w:pPr>
              <w:spacing w:after="0"/>
              <w:rPr>
                <w:sz w:val="20"/>
                <w:szCs w:val="20"/>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 selling, general and administrative</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Directors - selling, general and administrative</w:t>
            </w:r>
          </w:p>
        </w:tc>
        <w:tc>
          <w:tcPr>
            <w:tcW w:w="5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w:t>
            </w:r>
          </w:p>
        </w:tc>
        <w:tc>
          <w:tcPr>
            <w:tcW w:w="9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4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4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Consultants - selling, general and administrative</w:t>
            </w:r>
          </w:p>
        </w:tc>
        <w:tc>
          <w:tcPr>
            <w:tcW w:w="5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7"/>
        </w:trPr>
        <w:tc>
          <w:tcPr>
            <w:tcW w:w="4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4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Novel Drug Solutions et 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On October 29, 2020, at a hearing on the various dispositive motions before it, the Court found that there were triable issues of fact and reopened discovery for limited purposes. NDS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Professional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John Erick et 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2018, John Erick and Deborah Ferrell, successors-in-interest and heirs of Jade Erick, (collectively “Erick”) filed a lawsuit in the San Diego County Superior against Kim Kelly, ND, MPH asserting claims related to the death of Jade Erick. In April 2018, Erick filed an amendment to the lawsuit, naming the Company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and the Company’s motion for summary adjudication is pending before the Court. Erick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Other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Klarity License Agreement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in April 2017 and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$0 and $55 were made during the three and nine months ended September 30, 2020, respectively. Royalty expense of $38 and $94 was incurred during the three and nine months ended September 30, 2020, respectively, is included in accounts payable and is due to Dr. Lindstrom at September 30, 2020.</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Injectable Asset Purchase Agreement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$0 and $7 in cash during the three and nine months ended September 30, 2020, respectively, and an additional $48 was payable to Dr. Lindstrom at September 30, 2020. The Company incurred royalty expense of $6 and $48 related to the Lindstrom APA during the three and nine months ended September 30, 2020,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Eyepoint Commercial Alliance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Company, through its wholly-owned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Times New Roman" w:cs="Times New Roman" w:eastAsia="Times New Roman" w:hAnsi="Times New Roman"/>
          <w:sz w:val="18"/>
          <w:szCs w:val="18"/>
          <w:color w:val="auto"/>
        </w:rPr>
        <w:t>DEXYCU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DEXCYU in excess of predefined volumes to specific customers of the Company in the U.S. Under the terms of the Dexycu Agreement, the Company shall use commercially reasonable efforts to promote and market DEXCYU in the U.S.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DEXCYU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three and nine months ended September 30, 2020, the Company recorded $7 in commission revenues related to the Dexycu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various sales and marketing agreements with certain organizations, to provide exclusive sales and marketing representation services to Harrow in select geographies in the U.S., in connection with our ophthalmic compounded formulations.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sales and marketing agreements, the Company is required to make commission payments equal to 10% to 14% of net sales for products above and beyond the initial existing sales amounts. In addition, the Company is required to issue shares of the Company’s restricted common stock to certain organizations if net sales in the assigned territory reach certain future milestone levels by the end of their terms, as applicable. Commission expenses of $741 and $1,745 were incurred under these agreements during the three and nine months ended September 30, 2020, respectively, of which $0 and $83 were stock-based payments.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Asset Purchase, License and Related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Royalty expenses of $159 and $420 and $207 and $672 were incurred under these agreements for the three and nine months ended September 30, 2020 and 2019, respectively, and $590 and $207 are included in accounts payable at September 30, 2020 and 2019,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INFORMATION AND CONCENTRATIONS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evaluates performance of the Company based on operating segments. Segment performance for its two operating segments is based on segment contribution. The Company’s reportable segments consist of (i) its commercial stage pharmaceutical compounding business (Pharmaceutical Compounding), generally including the operations of the ImprimisRx business;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87"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including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segment net revenues as pharmaceutical compounded drug sales, licenses and other revenue derived from related agreements.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revenues, segment operating expenses and segment contribution information consisted of the following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For the Three Months Ended September 30, 2020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Pharmaceutical</w:t>
            </w:r>
          </w:p>
        </w:tc>
        <w:tc>
          <w:tcPr>
            <w:tcW w:w="140" w:type="dxa"/>
            <w:vAlign w:val="bottom"/>
          </w:tcPr>
          <w:p>
            <w:pPr>
              <w:spacing w:after="0"/>
              <w:rPr>
                <w:sz w:val="20"/>
                <w:szCs w:val="20"/>
                <w:color w:val="auto"/>
              </w:rPr>
            </w:pPr>
          </w:p>
        </w:tc>
        <w:tc>
          <w:tcPr>
            <w:tcW w:w="17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Pharmaceutical</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Compounding</w:t>
            </w:r>
          </w:p>
        </w:tc>
        <w:tc>
          <w:tcPr>
            <w:tcW w:w="140" w:type="dxa"/>
            <w:vAlign w:val="bottom"/>
          </w:tcPr>
          <w:p>
            <w:pPr>
              <w:spacing w:after="0"/>
              <w:rPr>
                <w:sz w:val="20"/>
                <w:szCs w:val="20"/>
                <w:color w:val="auto"/>
              </w:rPr>
            </w:pPr>
          </w:p>
        </w:tc>
        <w:tc>
          <w:tcPr>
            <w:tcW w:w="17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Drug Development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w w:val="99"/>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(3,696)</w:t>
            </w:r>
          </w:p>
        </w:tc>
        <w:tc>
          <w:tcPr>
            <w:tcW w:w="140" w:type="dxa"/>
            <w:vAlign w:val="bottom"/>
          </w:tcPr>
          <w:p>
            <w:pPr>
              <w:spacing w:after="0"/>
              <w:rPr>
                <w:sz w:val="19"/>
                <w:szCs w:val="19"/>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5,893</w:t>
            </w:r>
          </w:p>
        </w:tc>
        <w:tc>
          <w:tcPr>
            <w:tcW w:w="140" w:type="dxa"/>
            <w:vAlign w:val="bottom"/>
          </w:tcPr>
          <w:p>
            <w:pPr>
              <w:spacing w:after="0"/>
              <w:rPr>
                <w:sz w:val="18"/>
                <w:szCs w:val="18"/>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contribution</w:t>
            </w:r>
          </w:p>
        </w:tc>
        <w:tc>
          <w:tcPr>
            <w:tcW w:w="78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4,716</w:t>
            </w:r>
          </w:p>
        </w:tc>
        <w:tc>
          <w:tcPr>
            <w:tcW w:w="3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4,650</w:t>
            </w:r>
          </w:p>
        </w:tc>
        <w:tc>
          <w:tcPr>
            <w:tcW w:w="80" w:type="dxa"/>
            <w:vAlign w:val="bottom"/>
            <w:tcBorders>
              <w:top w:val="single" w:sz="8" w:color="CCEEFF"/>
              <w:bottom w:val="single" w:sz="8" w:color="CCEEFF"/>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2,460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554</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For the Nine Months ended September 30, 2020</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w w:val="99"/>
              </w:rPr>
              <w:t>Pharmaceutical</w:t>
            </w:r>
          </w:p>
        </w:tc>
        <w:tc>
          <w:tcPr>
            <w:tcW w:w="140" w:type="dxa"/>
            <w:vAlign w:val="bottom"/>
          </w:tcPr>
          <w:p>
            <w:pPr>
              <w:spacing w:after="0"/>
              <w:rPr>
                <w:sz w:val="17"/>
                <w:szCs w:val="17"/>
                <w:color w:val="auto"/>
              </w:rPr>
            </w:pPr>
          </w:p>
        </w:tc>
        <w:tc>
          <w:tcPr>
            <w:tcW w:w="1760" w:type="dxa"/>
            <w:vAlign w:val="bottom"/>
            <w:gridSpan w:val="2"/>
          </w:tcPr>
          <w:p>
            <w:pPr>
              <w:jc w:val="center"/>
              <w:ind w:right="241"/>
              <w:spacing w:after="0" w:line="198" w:lineRule="exact"/>
              <w:rPr>
                <w:sz w:val="20"/>
                <w:szCs w:val="20"/>
                <w:color w:val="auto"/>
              </w:rPr>
            </w:pPr>
            <w:r>
              <w:rPr>
                <w:rFonts w:ascii="Times New Roman" w:cs="Times New Roman" w:eastAsia="Times New Roman" w:hAnsi="Times New Roman"/>
                <w:sz w:val="18"/>
                <w:szCs w:val="18"/>
                <w:color w:val="auto"/>
              </w:rPr>
              <w:t>Pharmaceutical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Compounding</w:t>
            </w:r>
          </w:p>
        </w:tc>
        <w:tc>
          <w:tcPr>
            <w:tcW w:w="140" w:type="dxa"/>
            <w:vAlign w:val="bottom"/>
          </w:tcPr>
          <w:p>
            <w:pPr>
              <w:spacing w:after="0"/>
              <w:rPr>
                <w:sz w:val="20"/>
                <w:szCs w:val="20"/>
                <w:color w:val="auto"/>
              </w:rPr>
            </w:pPr>
          </w:p>
        </w:tc>
        <w:tc>
          <w:tcPr>
            <w:tcW w:w="17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Drug Development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w w:val="99"/>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(10,526)</w:t>
            </w:r>
          </w:p>
        </w:tc>
        <w:tc>
          <w:tcPr>
            <w:tcW w:w="140" w:type="dxa"/>
            <w:vAlign w:val="bottom"/>
          </w:tcPr>
          <w:p>
            <w:pPr>
              <w:spacing w:after="0"/>
              <w:rPr>
                <w:sz w:val="19"/>
                <w:szCs w:val="19"/>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17,131</w:t>
            </w:r>
          </w:p>
        </w:tc>
        <w:tc>
          <w:tcPr>
            <w:tcW w:w="140" w:type="dxa"/>
            <w:vAlign w:val="bottom"/>
          </w:tcPr>
          <w:p>
            <w:pPr>
              <w:spacing w:after="0"/>
              <w:rPr>
                <w:sz w:val="18"/>
                <w:szCs w:val="18"/>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17,262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contribution</w:t>
            </w:r>
          </w:p>
        </w:tc>
        <w:tc>
          <w:tcPr>
            <w:tcW w:w="78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5,985</w:t>
            </w:r>
          </w:p>
        </w:tc>
        <w:tc>
          <w:tcPr>
            <w:tcW w:w="3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5,775</w:t>
            </w:r>
          </w:p>
        </w:tc>
        <w:tc>
          <w:tcPr>
            <w:tcW w:w="80" w:type="dxa"/>
            <w:vAlign w:val="bottom"/>
            <w:tcBorders>
              <w:top w:val="single" w:sz="8" w:color="CCEEFF"/>
              <w:bottom w:val="single" w:sz="8" w:color="CCEEFF"/>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6,417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For the Three Months Ended September 30, 2019</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Pharmaceutical</w:t>
            </w:r>
          </w:p>
        </w:tc>
        <w:tc>
          <w:tcPr>
            <w:tcW w:w="140" w:type="dxa"/>
            <w:vAlign w:val="bottom"/>
          </w:tcPr>
          <w:p>
            <w:pPr>
              <w:spacing w:after="0"/>
              <w:rPr>
                <w:sz w:val="20"/>
                <w:szCs w:val="20"/>
                <w:color w:val="auto"/>
              </w:rPr>
            </w:pPr>
          </w:p>
        </w:tc>
        <w:tc>
          <w:tcPr>
            <w:tcW w:w="17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Pharmaceutical</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Compounding</w:t>
            </w:r>
          </w:p>
        </w:tc>
        <w:tc>
          <w:tcPr>
            <w:tcW w:w="140" w:type="dxa"/>
            <w:vAlign w:val="bottom"/>
          </w:tcPr>
          <w:p>
            <w:pPr>
              <w:spacing w:after="0"/>
              <w:rPr>
                <w:sz w:val="20"/>
                <w:szCs w:val="20"/>
                <w:color w:val="auto"/>
              </w:rPr>
            </w:pPr>
          </w:p>
        </w:tc>
        <w:tc>
          <w:tcPr>
            <w:tcW w:w="17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Drug Development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(4,061)</w:t>
            </w:r>
          </w:p>
        </w:tc>
        <w:tc>
          <w:tcPr>
            <w:tcW w:w="140" w:type="dxa"/>
            <w:vAlign w:val="bottom"/>
          </w:tcPr>
          <w:p>
            <w:pPr>
              <w:spacing w:after="0"/>
              <w:rPr>
                <w:sz w:val="19"/>
                <w:szCs w:val="19"/>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(4,061)</w:t>
            </w:r>
          </w:p>
        </w:tc>
      </w:tr>
      <w:tr>
        <w:trPr>
          <w:trHeight w:val="216"/>
        </w:trPr>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6,244</w:t>
            </w:r>
          </w:p>
        </w:tc>
        <w:tc>
          <w:tcPr>
            <w:tcW w:w="140" w:type="dxa"/>
            <w:vAlign w:val="bottom"/>
          </w:tcPr>
          <w:p>
            <w:pPr>
              <w:spacing w:after="0"/>
              <w:rPr>
                <w:sz w:val="18"/>
                <w:szCs w:val="18"/>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6,288</w:t>
            </w:r>
          </w:p>
        </w:tc>
      </w:tr>
      <w:tr>
        <w:trPr>
          <w:trHeight w:val="23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3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contribution</w:t>
            </w:r>
          </w:p>
        </w:tc>
        <w:tc>
          <w:tcPr>
            <w:tcW w:w="78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2,257</w:t>
            </w:r>
          </w:p>
        </w:tc>
        <w:tc>
          <w:tcPr>
            <w:tcW w:w="3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2,117</w:t>
            </w:r>
          </w:p>
        </w:tc>
        <w:tc>
          <w:tcPr>
            <w:tcW w:w="80" w:type="dxa"/>
            <w:vAlign w:val="bottom"/>
            <w:tcBorders>
              <w:top w:val="single" w:sz="8" w:color="CCEEFF"/>
              <w:bottom w:val="single" w:sz="8" w:color="CCEEFF"/>
            </w:tcBorders>
          </w:tcPr>
          <w:p>
            <w:pPr>
              <w:spacing w:after="0"/>
              <w:rPr>
                <w:sz w:val="21"/>
                <w:szCs w:val="21"/>
                <w:color w:val="auto"/>
              </w:rPr>
            </w:pPr>
          </w:p>
        </w:tc>
      </w:tr>
      <w:tr>
        <w:trPr>
          <w:trHeight w:val="22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2,280</w:t>
            </w: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4,040</w:t>
            </w:r>
          </w:p>
        </w:tc>
      </w:tr>
      <w:tr>
        <w:trPr>
          <w:trHeight w:val="216"/>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3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For the Nine Months Ended September 30, 2019</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Pharmaceutical</w:t>
            </w:r>
          </w:p>
        </w:tc>
        <w:tc>
          <w:tcPr>
            <w:tcW w:w="140" w:type="dxa"/>
            <w:vAlign w:val="bottom"/>
          </w:tcPr>
          <w:p>
            <w:pPr>
              <w:spacing w:after="0"/>
              <w:rPr>
                <w:sz w:val="20"/>
                <w:szCs w:val="20"/>
                <w:color w:val="auto"/>
              </w:rPr>
            </w:pPr>
          </w:p>
        </w:tc>
        <w:tc>
          <w:tcPr>
            <w:tcW w:w="17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Pharmaceutical</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Compounding</w:t>
            </w:r>
          </w:p>
        </w:tc>
        <w:tc>
          <w:tcPr>
            <w:tcW w:w="140" w:type="dxa"/>
            <w:vAlign w:val="bottom"/>
          </w:tcPr>
          <w:p>
            <w:pPr>
              <w:spacing w:after="0"/>
              <w:rPr>
                <w:sz w:val="20"/>
                <w:szCs w:val="20"/>
                <w:color w:val="auto"/>
              </w:rPr>
            </w:pPr>
          </w:p>
        </w:tc>
        <w:tc>
          <w:tcPr>
            <w:tcW w:w="17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Drug Development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(13,184)</w:t>
            </w:r>
          </w:p>
        </w:tc>
        <w:tc>
          <w:tcPr>
            <w:tcW w:w="140" w:type="dxa"/>
            <w:vAlign w:val="bottom"/>
          </w:tcPr>
          <w:p>
            <w:pPr>
              <w:spacing w:after="0"/>
              <w:rPr>
                <w:sz w:val="19"/>
                <w:szCs w:val="19"/>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(13,184)</w:t>
            </w:r>
          </w:p>
        </w:tc>
      </w:tr>
      <w:tr>
        <w:trPr>
          <w:trHeight w:val="216"/>
        </w:trPr>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17,763</w:t>
            </w:r>
          </w:p>
        </w:tc>
        <w:tc>
          <w:tcPr>
            <w:tcW w:w="140" w:type="dxa"/>
            <w:vAlign w:val="bottom"/>
          </w:tcPr>
          <w:p>
            <w:pPr>
              <w:spacing w:after="0"/>
              <w:rPr>
                <w:sz w:val="18"/>
                <w:szCs w:val="18"/>
                <w:color w:val="auto"/>
              </w:rPr>
            </w:pPr>
          </w:p>
        </w:tc>
        <w:tc>
          <w:tcPr>
            <w:tcW w:w="1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17,893</w:t>
            </w:r>
          </w:p>
        </w:tc>
      </w:tr>
      <w:tr>
        <w:trPr>
          <w:trHeight w:val="23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1,210</w:t>
            </w:r>
          </w:p>
        </w:tc>
      </w:tr>
      <w:tr>
        <w:trPr>
          <w:trHeight w:val="243"/>
        </w:trPr>
        <w:tc>
          <w:tcPr>
            <w:tcW w:w="3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contribution</w:t>
            </w:r>
          </w:p>
        </w:tc>
        <w:tc>
          <w:tcPr>
            <w:tcW w:w="78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6,763</w:t>
            </w:r>
          </w:p>
        </w:tc>
        <w:tc>
          <w:tcPr>
            <w:tcW w:w="3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6,274</w:t>
            </w:r>
          </w:p>
        </w:tc>
        <w:tc>
          <w:tcPr>
            <w:tcW w:w="80" w:type="dxa"/>
            <w:vAlign w:val="bottom"/>
            <w:tcBorders>
              <w:top w:val="single" w:sz="8" w:color="CCEEFF"/>
              <w:bottom w:val="single" w:sz="8" w:color="CCEEFF"/>
            </w:tcBorders>
          </w:tcPr>
          <w:p>
            <w:pPr>
              <w:spacing w:after="0"/>
              <w:rPr>
                <w:sz w:val="21"/>
                <w:szCs w:val="21"/>
                <w:color w:val="auto"/>
              </w:rPr>
            </w:pPr>
          </w:p>
        </w:tc>
      </w:tr>
      <w:tr>
        <w:trPr>
          <w:trHeight w:val="22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7,341</w:t>
            </w: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w:t>
            </w:r>
          </w:p>
        </w:tc>
      </w:tr>
      <w:tr>
        <w:trPr>
          <w:trHeight w:val="264"/>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sales and impairments, net</w:t>
            </w:r>
          </w:p>
        </w:tc>
        <w:tc>
          <w:tcPr>
            <w:tcW w:w="7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80" w:type="dxa"/>
            <w:vAlign w:val="bottom"/>
            <w:tcBorders>
              <w:bottom w:val="single" w:sz="8" w:color="CCEEFF"/>
            </w:tcBorders>
          </w:tcPr>
          <w:p>
            <w:pPr>
              <w:spacing w:after="0"/>
              <w:rPr>
                <w:sz w:val="22"/>
                <w:szCs w:val="22"/>
                <w:color w:val="auto"/>
              </w:rPr>
            </w:pPr>
          </w:p>
        </w:tc>
      </w:tr>
      <w:tr>
        <w:trPr>
          <w:trHeight w:val="25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categorizes revenues by geographic area based on selling location. All operations are currently located in the U.S.; therefore, total revenues are attributed to the U.S. All long-lived assets at September 30, 2020 and December 31, 2019 are located in the U.S.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sells its compounded formulations to a large number of customers. No customer accounted for more than 10% of the Company’s total pharmacy sales for the three and nine months ended September 30, 2020 and 2019.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receives its active pharmaceutical ingredients from three main suppliers. These suppliers collectively accounted for 76% and 72% of active pharmaceutical ingredient purchases during the three and nine months ended September 30, 2020, respectively, and 69% and 66% during the three and nine months ended September 30,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events occurring subsequent to September 30, 2020 through the filing date of this Quarterly Report. Based on its evaluation, no events other than those described herein need to be disclosed.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2020, the Company issued 93,798 shares of its common stock underlying RSUs held by a director that resigned. The RSUs had previously vested during the nine months ended September 30, 2020, but the issuance and delivery of the shares were deferred until the director resigned.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2019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“ImprimisRx.”</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and in our other filings with the Securities and Exchange Commission.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specializes in the development, production and sale of innovative medications that offer unique competitive advantages and serve unmet needs in the marketplace through our subsidiaries and deconsolidated companies. We own and operate one of the nation’s leading ophthalmology pharmaceutical businesses, ImprimisRx. In addition to wholly owning ImprimisRx, we also have non-controlling equity positions in Eton Pharmaceuticals, Inc. (“Eton”), Surface Ophthalmics, Inc. (“Surface”), and Melt Pharmaceuticals, Inc. (“Melt”), all companies that began as subsidiaries of Harrow. More recently, we founded drug development subsidiaries Mayfield Pharmaceuticals, Inc. (“Mayfield”) and Stowe Pharmaceuticals, Inc. (“Stowe”), among others. We also intend to launch a new business called Visionology. We own royalty rights in various drug candidates being developed by Surface, Melt and Mayfield. We intend to continue to create and hold equity and royalty rights in new businesses that commercialize drug candidates that are internally developed or otherwise acquired or licensed from third parties.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ImprimisRx is our ophthalmology focused prescription pharmaceutical business. We offer to over 9,000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FDA guidance documents, in our FDA-registered New Jersey Outsourcing Facility (“NJOF”).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Visionology is expected to be an online eye health platform. Visionology will leverage our experience in the ophthalmic pharmaceutical business as well as our relationships with eyecare professionals across the United States. We expect to launch a proof-of-concept model for Visionology within a certain region of the U.S after securing financing. If successful, Visionology will expand the launch on a nationwide basis later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Compounding Businesses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Compounding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Compounding Facilities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FDCA. The other New Jersey facility (“RxNJ”), is a licensed pharmacy operating under Section 503A of the FDCA. All products that we sell, produce and dispense are made in the United States.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ownership interests in Eton, Surface, Melt, Mayfield, and Stowe and hold royalty interests in certain of their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 We intend to create additional subsidiaries that will be focused on the development and FDA approval of certain proprietary drug formulations that we currently own, will in-license/acquire and/or otherwise develop.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Businesses (Controlling Equity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Stowe Pharmaceuticals, Inc.</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Stowe is a consolidated subsidiary of Harrow that was formed in 2019, focused on the development of its proprietary ophthalmic drug candidate STE-006. STE-006 is a patented, new chemical entity, small molecule topical drug candidate intended to treat various bacterial, fungal, and viral infections in the eye and ear. In initial preclinical models, STE-006 was shown to be significantly more effective compared to current conventional therapies against numerous bacterial and viral pathogens, including strains of methicillin-resistant staphylococcus aureus, or MRSA, and herpes simplex virus. STE-006 has several patents covering matter of composition, methods of production, methods of use and molecule, which are valid until 2038. In October 2020, we completed in vivo preclinical studies of certain anti-viral activity of STE-006 along with another asset DS-007. We also conducted in vitro studies earlier in the year, that studied certain antibacterial activity of STE-006. While the initial data from our studies were positive, we were unable to replicate as strong of data as previously produced on STE-006. Therefore, while we remain interested in pathogen-agnostic topical agents to treat non-specific conjunctivitis, we do not intend to invest further in STE-006. We are currently evaluating the market and clinical potential of DS-007 and other Harrow formulations in the anti-infective category.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own 2,500,000 shares of Stowe common stock, and control 70% of the equity and voting interests issued and outstanding of Stowe, at September 30,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Mayfield Pharmaceuticals, Inc.</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Mayfield, a consolidated subsidiary of Harrow, is a development-stage pharmaceutical company focused on consequential products that address the conspicuous unmet needs of patients. Its development programs focus on using known molecules in dosage forms for new indications, and by developing new chemical entities with known mechanisms of action. Mayfield recently licensed worldwide rights to a first-in-class antimicrobial drug candidate, called MAY-66, which is being studied to treat recurrent bacterial vaginosis. In February 2019, Mayfield acquired drug formulation assets and intellectual property, including three recently issued patents, for MAY-44, a drug candidate for the treatment of dyspareunia, or pain experienced by women during sexual intercourse. In addition to MAY-44, Mayfield is also developing MAY-88 for patients suffering from interstitial cystitis, which it will acquire from Harrow at the closing of a deconsolidating transaction.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own 2,500,000 shares of Mayfield common stock, and control 79% of the equity and voting interests issued and outstanding of Mayfield, at September 30, 2020. We are currently pursuing a deconsolidating transaction for Mayfield. We have contracted with an experienced life science executive that we expect to lead Mayfield once deconsolidated.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Radley Pharmaceuticals, Inc.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Radley Pharmaceuticals, Inc. (“Radley”), a consolidated subsidiary of Harrow, is a development-stage pharmaceutical company that has been focused on the development of proprietary drug candidates focused on rare diseases. Radley currently has three drug programs in its pipeline. During the second quarter of 2020, we suspended all activities related to Radley to focus attention and capital on other projects. Currently, we do not intend to resume the activities related to Radley.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De-Consolidated Businesses (Noncontrolling Equity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Eton is a pharmaceutical company focused on developing and commercializing innovative products utilizing the FDA’s 505(b)(2) regulatory pathway. Its pipeline includes several products and drug candidates in various stages of development across a variety of dosage forms. Eton’s pipeline is focused on innovative 505(b)(2) products and obtaining FDA marketing approval for currently marketed but unapproved drugs.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2017, Eton closed an offering of its Series A Preferred Stock and we lost our controlling interest in it. In November 2018, Eton completed an initial public offering of its common stock. We own 3,500,000 shares of Eton common stock, which is less than 20% of the equity and voting interests issued and outstanding of Eton as of September 30,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Surface Ophthalmics, Inc. </w:t>
      </w:r>
      <w:r>
        <w:rPr>
          <w:rFonts w:ascii="Times New Roman" w:cs="Times New Roman" w:eastAsia="Times New Roman" w:hAnsi="Times New Roman"/>
          <w:sz w:val="18"/>
          <w:szCs w:val="18"/>
          <w:color w:val="auto"/>
        </w:rPr>
        <w:t>(f/k/a Surface Pharmaceuticals, Inc.)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Surface is a development-stage 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Harrow entered into asset purchase and license agreements (the “Surface License Agreements”) and transferred to Surface its current drug pipeline, which consists of three proprietary drug candidates. Surface’s patent-pending topical eye drop drug candidates, SURF-100 and SURF-200, utilize a patented delivery vehicle known as Klarity Drops (“Klarity”), that was invented by Harrow board member and Surface’s chairman of the board, renowned ophthalmologist Dr. Richard Lindstrom.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2019, Surface filed an investigational new drug application (“IND”) for its drug program SURF-201. SURF-201 is a novel steroid topical eye drop drug candidate for treating pain and inflammation post-ocular surgery. Surface submitted an IND for its lead drug candidate, SURF-100, in May 2020, for treating signs and symptoms associated with chronic dry eye disease. Surface also filed a third IND during the first half of 2020. We expect Surface may release certain clinical data related to these programs near the end of 2020 and beginning of 2021, however such clinical programs were delayed as a result of the ongoing COVID-19 pandemic and as a result, data from these clinical programs will likely be delayed as well.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and July 2018, Surface closed on an offering of its Series A Preferred Stock. At that time, we lost our controlling interest and deconsolidated Surface from our consolidated financial statements. We own 3,500,000 shares of Surface which is approximately 30% of the equity and voting interests as of September 30, 2020. We expect Surface to complete another round of financing within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Melt is a development-stage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 Pursuant to the terms of the Melt Asset Purchase Agreement, Melt is required to make royalty payments to the Company equal to 5% of net sales of MELT-100, while any patent rights remain outstanding, subject to other conditions.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MELT-100 is a novel, sublingually delivered, non-IV, opioid-free drug candidate being developed for procedural sedation. Melt filed an IND in June 2020 and has begun its clinical program for MELT-100. We expect Melt will announce topline data from its Phase 1 study during the fourth quarter of 2020 or first quarter of 2021.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2019, Melt closed an offering of its Series A Preferred Stock and we lost our controlling interest in it. We own 3,500,000 shares of Melt common stock, which is approximately 44% of the equity and voting interests issued and outstanding of Melt, as of September 30, 2020. We expect Melt to complete another round of financing within the next twelve months.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Options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third-payor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have previously made efforts to receive reimbursement and/or optimize the pricing for some of our currently available pharmaceutical compounded formulations, including applying for transitional pass-through reimbursement status for one of our formulations. Pass-through status allows for separate payment (i.e., outside the bundled payment) under Medicare Part B for new drugs and other medical technologies that meet well-established criteria specified by federal regulations governing CMS spending. In September 2020, we were informed by CMS that our application for pass-through payment was denied for one of our formulations. Any future efforts to attain optimized pricing or reimbursement of our other proprietary compounded formulations could fail, which could make our products less attractive or unavailable to some patients or could reduce our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certain developments in 2020 to date that are important to understand our financial condition and results of operations as well as operating trends and prospects. See the notes to our condensed consolidated financial statements included in this report for additional information about each of these developments.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the pandemic and business disruptions, first and foremost, we have prioritized the health and safety of our employees, customers, suppliers and others with whom we partner in our business activities. We have instructed employees to work from home when possible and to maintain recommended physical distancing when working in our facilities. We also have eliminated non-essential in-person contact with customers, suppliers and other third parties.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the Company’s customers use its drugs in procedures that were impacted by the CMS guidance to limit elective procedures. In addition, the Company and our business partners need access to healthcare providers and facilities to conduct clinical trials and other activities required to achieve regulatory clearance of products under development. We are carefully monitoring rapidly evolving changes in healthcare delivery systems and may adjust our operating and product development plans accordingly.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Given the unprecedented and dynamic nature of the COVID-19 pandemic, we cannot reasonably estimate the impacts it may have on our financial condition, results of operations or cash flows in the future. However, the reduction in elective procedures in response to CMS guidance has had a material adverse impact, on our revenues, profitability and cash flows, in particular during the second quarter of 2020. The extent and duration of future impact will depend upon the extent of procedure postponements, the duration of the pandemic and any resurgences of it, especially within certain geographies and states that have retained restrictive measures and social distancing policies. In May 2020 and the following months, some U.S. states and geographies began easing restrictions associated with the COVID-19 pandemic including those restrictions related to elective procedures, as restrictions were lifted in those areas there was a correlation with an increase in our revenues. Despite the recent resurgence of the COVID-19 pandemic in certain parts of the U.S., we are hopeful that the general trend of easing of restrictions will continue, and sales of our products will return to historical norms and historical growth trends, as other states and governmental authorities continue to ease restrictions associated with elective procedures and the COVID-19 pandemic.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SWK Amendment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2020, the Company and several of its wholly owned subsidiaries entered into a second amendment (the “SWK Amendment”) to the term loan and security agreement dated as of July 19, 2017, as amended (the “SWK Loan”), with SWK Funding LLC, as lender and collateral agent, and certain other lenders (collectively, “SWK”). A summary of the material changes contained in the SWK Amendment are as follows:</w:t>
      </w:r>
    </w:p>
    <w:p>
      <w:pPr>
        <w:spacing w:after="0" w:line="176" w:lineRule="exact"/>
        <w:rPr>
          <w:sz w:val="20"/>
          <w:szCs w:val="20"/>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SWK agreed to make available to the Company, and the Company drew down on, an additional principal amount of $1,000,000;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the first amortization date was changed to August 14, 2020, permitting the Company to pay interest only on the principal amount loaned for the next payment (payments are due on a quarterly basis) following the SWK Amendment;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payment due May 14, 2020 will be paid in-kind by increasing the principal amount of the term loans by an amount equal to the interest that has accrued.</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2020, we entered into the PPP Loan with Renasant Bank in the principal amount of $1,967,100 and received cash proceeds of the same amount, pursuant to the PPP under the CARES Act, which was enacted March 27, 2020. The PPP is administered by the U.S. Small Business Administration (the “SBA”).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PPP Loan, interest accrues on the outstanding principal at the rate of 1.0% per annum. The term of the PPP Loan is two years, unless sooner required in connection with an event of default under the PPP Loan. To the extent the PPP Loan amount is not forgiven under the PPP, the Company is obligated to make equal monthly payments of principal and interest, beginning seven months from the date of the PPP Loan, until the maturity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CARES Act and the PPP provide a mechanism for forgiveness of up to the full amount borrowed. Under the PPP, the Company may apply for and be granted forgiveness for all or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(it being anticipated that at least 75% of the loan amount will be required to be used for eligible payroll costs); the employer maintaining or rehiring employees and maintaining salaries at certain levels; and other factors. Subject to the other requirements and limitations on loan forgiveness, only loan proceeds spent on payroll and other eligible expenses during the covered eight-week period will qualify for forgiveness. While we used proceeds from the PPP Loan for such qualifying expenses, in particular maintaining continuity of our payroll and workforce (including staff critical to the timely production and dispensing of medicines we make), no assurance can be provided that we will apply for or obtain forgiveness of the PPP Loan in whole or in part.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Eyepoint Commercial Alliance Agreement</w:t>
      </w:r>
    </w:p>
    <w:p>
      <w:pPr>
        <w:spacing w:after="0" w:line="22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August 1, 2020, our wholly-owned subsidiary ImprimisRx entered into a Commercial Alliance Agreement (the “Dexycu Agreement”) with Eyepoint Pharmaceuticals, Inc. (“Eyepoint”), pursuant to which Eyepoint granted ImprimisRx the non-exclusive right to co-promote DEXYCU</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(dexamethasone intraocular suspension) 9% for the treatment of post-operative inflammation following ocular surgery in the United States. Pursuant to the Dexycu Agreement, Eyepoint will pay ImprimisRx a fee calculated based on the quarterly sales of DEXCYU in excess of predefined volumes to specific customers of ImprimisRx in the U.S. Under the terms of the Dexycu Agreement, ImprimisRx shall use commercially reasonable efforts to promote and market DEXCYU in the U.S.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DEXCYU ceases to have “pass-through” payment status. In addition, subject to certain limitations, ImprimisRx may terminate the Dexycu Agreement (i) for convenience subject to an extended specified notice period or (ii) in the event Eyepoint undergoes a change of control. Eyepoint may terminate the Dexycu Agreement, subject to specified notice periods and specified limitations, if ImprimisRx fails to achieve certain minimum sales levels during specified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period-to-period comparisons of our financial results for the three and nine months ended September 30, 2020 and 2019, are not necessarily indicative of results for the current period or any future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include amounts recorded from sales of proprietary compounded formulations and revenues received from royalty payments owed to us pursuant to out-license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revenues for the three and nine months ended September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23"/>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Variance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Variance</w:t>
            </w:r>
          </w:p>
        </w:tc>
      </w:tr>
      <w:tr>
        <w:trPr>
          <w:trHeight w:val="216"/>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14,385,000</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12,748,000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34,244,000</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14,000</w:t>
            </w:r>
          </w:p>
        </w:tc>
        <w:tc>
          <w:tcPr>
            <w:tcW w:w="3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32,000</w:t>
            </w:r>
          </w:p>
        </w:tc>
        <w:tc>
          <w:tcPr>
            <w:tcW w:w="3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21,000</w:t>
            </w:r>
          </w:p>
        </w:tc>
        <w:tc>
          <w:tcPr>
            <w:tcW w:w="2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2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14,399,000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12,755,000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34,276,000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revenues between the three months ended September 30, 2020 and the same period in the prior year was largely attributable to an increase in customer demand and unit volumes sold. The decrease in revenues between the nine months ended September 30, 2020 and the same period in the prior year was largely attributed to the COVID-19 pandemic and CMS guidance to limit elective procedures during parts of the first and second quarters of 2020. Net revenues generated from NJOF totaled $10,205,000 and $23,010,000 during the three and nine months ended September 30, 2020, and $8,860,000 and $24,102,000 during the three and nine months ended September 30, 2019,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The following presents our cost of sales for the three and nine months ended September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200" w:type="dxa"/>
            <w:vAlign w:val="bottom"/>
          </w:tcPr>
          <w:p>
            <w:pPr>
              <w:spacing w:after="0"/>
              <w:rPr>
                <w:sz w:val="19"/>
                <w:szCs w:val="19"/>
                <w:color w:val="auto"/>
              </w:rPr>
            </w:pPr>
          </w:p>
        </w:tc>
        <w:tc>
          <w:tcPr>
            <w:tcW w:w="10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200" w:type="dxa"/>
            <w:vAlign w:val="bottom"/>
          </w:tcPr>
          <w:p>
            <w:pPr>
              <w:spacing w:after="0"/>
              <w:rPr>
                <w:sz w:val="19"/>
                <w:szCs w:val="19"/>
                <w:color w:val="auto"/>
              </w:rPr>
            </w:pPr>
          </w:p>
        </w:tc>
        <w:tc>
          <w:tcPr>
            <w:tcW w:w="10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Variance</w:t>
            </w:r>
          </w:p>
        </w:tc>
        <w:tc>
          <w:tcPr>
            <w:tcW w:w="240" w:type="dxa"/>
            <w:vAlign w:val="bottom"/>
          </w:tcPr>
          <w:p>
            <w:pPr>
              <w:spacing w:after="0"/>
              <w:rPr>
                <w:sz w:val="20"/>
                <w:szCs w:val="20"/>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8"/>
              </w:rPr>
              <w:t>Variance</w:t>
            </w:r>
          </w:p>
        </w:tc>
        <w:tc>
          <w:tcPr>
            <w:tcW w:w="0" w:type="dxa"/>
            <w:vAlign w:val="bottom"/>
          </w:tcPr>
          <w:p>
            <w:pPr>
              <w:spacing w:after="0"/>
              <w:rPr>
                <w:sz w:val="1"/>
                <w:szCs w:val="1"/>
                <w:color w:val="auto"/>
              </w:rPr>
            </w:pPr>
          </w:p>
        </w:tc>
      </w:tr>
      <w:tr>
        <w:trPr>
          <w:trHeight w:val="230"/>
        </w:trPr>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(365,000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10,526,000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13,184,000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our cost of sales between the three months ended September 30, 2020 and the same period in the prior year was largely attributable to increased efficiencies and the August 2019 closure of our Irvine, California based pharmacy. The decrease in cost of goods sold between the nine months ended September 30, 2020 and the same period in the prior year was largely due to a decrease in unit volumes sold impacted by the COVID-19 pandemic, partially offset by continued improved utilization of capacity at our compounding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5"/>
          </w:tcPr>
          <w:p>
            <w:pPr>
              <w:jc w:val="center"/>
              <w:ind w:right="51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200" w:type="dxa"/>
            <w:vAlign w:val="bottom"/>
          </w:tcPr>
          <w:p>
            <w:pPr>
              <w:spacing w:after="0"/>
              <w:rPr>
                <w:sz w:val="19"/>
                <w:szCs w:val="19"/>
                <w:color w:val="auto"/>
              </w:rPr>
            </w:pPr>
          </w:p>
        </w:tc>
        <w:tc>
          <w:tcPr>
            <w:tcW w:w="10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40" w:type="dxa"/>
            <w:vAlign w:val="bottom"/>
            <w:gridSpan w:val="5"/>
          </w:tcPr>
          <w:p>
            <w:pPr>
              <w:jc w:val="center"/>
              <w:ind w:right="530"/>
              <w:spacing w:after="0"/>
              <w:rPr>
                <w:sz w:val="20"/>
                <w:szCs w:val="20"/>
                <w:color w:val="auto"/>
              </w:rPr>
            </w:pPr>
            <w:r>
              <w:rPr>
                <w:rFonts w:ascii="Times New Roman" w:cs="Times New Roman" w:eastAsia="Times New Roman" w:hAnsi="Times New Roman"/>
                <w:sz w:val="18"/>
                <w:szCs w:val="18"/>
                <w:color w:val="auto"/>
                <w:w w:val="99"/>
              </w:rPr>
              <w:t>For the Nine Months Ended</w:t>
            </w:r>
          </w:p>
        </w:tc>
        <w:tc>
          <w:tcPr>
            <w:tcW w:w="200" w:type="dxa"/>
            <w:vAlign w:val="bottom"/>
          </w:tcPr>
          <w:p>
            <w:pPr>
              <w:spacing w:after="0"/>
              <w:rPr>
                <w:sz w:val="19"/>
                <w:szCs w:val="19"/>
                <w:color w:val="auto"/>
              </w:rPr>
            </w:pPr>
          </w:p>
        </w:tc>
        <w:tc>
          <w:tcPr>
            <w:tcW w:w="10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Variance</w:t>
            </w: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Variance</w:t>
            </w:r>
          </w:p>
        </w:tc>
        <w:tc>
          <w:tcPr>
            <w:tcW w:w="0" w:type="dxa"/>
            <w:vAlign w:val="bottom"/>
          </w:tcPr>
          <w:p>
            <w:pPr>
              <w:spacing w:after="0"/>
              <w:rPr>
                <w:sz w:val="1"/>
                <w:szCs w:val="1"/>
                <w:color w:val="auto"/>
              </w:rPr>
            </w:pPr>
          </w:p>
        </w:tc>
      </w:tr>
      <w:tr>
        <w:trPr>
          <w:trHeight w:val="230"/>
        </w:trPr>
        <w:tc>
          <w:tcPr>
            <w:tcW w:w="1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25,377,000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(1,627,000</w:t>
            </w: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1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3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3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Increased efficiencies in our production process, extension of beyond using dating, or BUD, of some of our products, the closure of our Irvine, California based pharmacy in August 2019 and an increase in sales prices has contributed to our gross margin increase.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selling, general and administrative expenses for the three and nine months ended September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200" w:type="dxa"/>
            <w:vAlign w:val="bottom"/>
          </w:tcPr>
          <w:p>
            <w:pPr>
              <w:spacing w:after="0"/>
              <w:rPr>
                <w:sz w:val="19"/>
                <w:szCs w:val="19"/>
                <w:color w:val="auto"/>
              </w:rPr>
            </w:pPr>
          </w:p>
        </w:tc>
        <w:tc>
          <w:tcPr>
            <w:tcW w:w="10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Variance</w:t>
            </w:r>
          </w:p>
        </w:tc>
        <w:tc>
          <w:tcPr>
            <w:tcW w:w="240" w:type="dxa"/>
            <w:vAlign w:val="bottom"/>
          </w:tcPr>
          <w:p>
            <w:pPr>
              <w:spacing w:after="0"/>
              <w:rPr>
                <w:sz w:val="20"/>
                <w:szCs w:val="20"/>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Variance</w:t>
            </w:r>
          </w:p>
        </w:tc>
        <w:tc>
          <w:tcPr>
            <w:tcW w:w="0" w:type="dxa"/>
            <w:vAlign w:val="bottom"/>
          </w:tcPr>
          <w:p>
            <w:pPr>
              <w:spacing w:after="0"/>
              <w:rPr>
                <w:sz w:val="1"/>
                <w:szCs w:val="1"/>
                <w:color w:val="auto"/>
              </w:rPr>
            </w:pPr>
          </w:p>
        </w:tc>
      </w:tr>
      <w:tr>
        <w:trPr>
          <w:trHeight w:val="184"/>
        </w:trPr>
        <w:tc>
          <w:tcPr>
            <w:tcW w:w="17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8,436,000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8,608,000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(172,000)   $</w:t>
            </w:r>
          </w:p>
        </w:tc>
        <w:tc>
          <w:tcPr>
            <w:tcW w:w="1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23,806,000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25,399,000</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(1,593,000)</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between periods was largely attributable to decreased legal expenses incurred associated with certain litigation matters that concluded during 2019, and certain expenses that are correlated with our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our research and development expenses for the three and nine months ended September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200" w:type="dxa"/>
            <w:vAlign w:val="bottom"/>
          </w:tcPr>
          <w:p>
            <w:pPr>
              <w:spacing w:after="0"/>
              <w:rPr>
                <w:sz w:val="19"/>
                <w:szCs w:val="19"/>
                <w:color w:val="auto"/>
              </w:rPr>
            </w:pPr>
          </w:p>
        </w:tc>
        <w:tc>
          <w:tcPr>
            <w:tcW w:w="10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Variance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Variance</w:t>
            </w:r>
          </w:p>
        </w:tc>
        <w:tc>
          <w:tcPr>
            <w:tcW w:w="0" w:type="dxa"/>
            <w:vAlign w:val="bottom"/>
          </w:tcPr>
          <w:p>
            <w:pPr>
              <w:spacing w:after="0"/>
              <w:rPr>
                <w:sz w:val="1"/>
                <w:szCs w:val="1"/>
                <w:color w:val="auto"/>
              </w:rPr>
            </w:pPr>
          </w:p>
        </w:tc>
      </w:tr>
      <w:tr>
        <w:trPr>
          <w:trHeight w:val="184"/>
        </w:trPr>
        <w:tc>
          <w:tcPr>
            <w:tcW w:w="15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Research and</w:t>
            </w: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670,000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444,000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226,000</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1,822,000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1,659,000</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163,000</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between periods was primarily attributable to formulation development studies for new ophthalmic formulations and clinical programs related to our drug development segment during the three and nine months ended September 30,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was $498,000 and $1,563,000 for the three and nine months ended September 30, 2020, compared to $620,000 and $1,939,000 for the same respective periods last year. The decrease during the period ended September 30, 2020 compared to the same period in 2019 was primarily due to interest expense recognition related to a decrease in the amortization of our finance lease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Gain (Loss) from Melt, net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2020, we recorded a loss of $300,000 and $1,536,000, respectively, for our share of losses based on our ownership of Melt. During the nine months ended September 30, 2019, we recorded a net gain of $4,517,000 related to our investment in Melt. We recorded a gain of $5,810,000 for the deconsolidation of Melt, and a loss of $1,293,000 for our share of losses based on our ownership of Melt. We began using the equity method accounting for our investment in Melt beginning on January 30, 2019, the date we no longer had a controlling interest. Prior to that date, Melt’s losses were consolidated within our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Loss from Surface, net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2020, we recorded a loss of $756,000 and $1,694,000, respectively, for our share of losses based on our ownership of Surface. During the three and nine months ended September 30, 2019, we recorded a loss of $400,000 and $904,000, respectively, for our share of losses based on our ownership of Surface. We began using the equity method accounting for our investment in Surface beginning on June 11, 2018, the date we no longer had a controlling interest. Prior to that date, Surface’s losses were consolidated within our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Gain (Loss) from Eton, net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a gain of $8,575,000 and $2,450,000 related to the change in fair market value of Eton’s common stock for the three and nine months ended September 30, 2020, respectively. We recorded a loss of $(5,530,000) and a gain of $700,000 related to the change in fair market value of Eton’s common stock for the three and nine months ended September 30, 2019, respectively. We began recording our investment in Eton at fair market value and ceased using the equity method accounting for our investment in Eton in November 2018 following Eton’s Initial Public Offering and our ownership falling below 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we recorded other income, net of $630,000. This was the result of income of $630,000 related to expenses that were paid by us and will be reimbursed by Melt following its deconsolidation. During the nine months ended September 30, 2020, we recorded other income, net of $24,000. This was primarily the result of income of $19,000 related to equipment from our Park facility that was sold during the nine months ended September 30,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net income (loss) for the three and nine months ended September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60" w:type="dxa"/>
            <w:vAlign w:val="bottom"/>
            <w:gridSpan w:val="6"/>
          </w:tcPr>
          <w:p>
            <w:pPr>
              <w:jc w:val="right"/>
              <w:ind w:right="66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60" w:type="dxa"/>
            <w:vAlign w:val="bottom"/>
          </w:tcPr>
          <w:p>
            <w:pPr>
              <w:spacing w:after="0"/>
              <w:rPr>
                <w:sz w:val="19"/>
                <w:szCs w:val="19"/>
                <w:color w:val="auto"/>
              </w:rPr>
            </w:pPr>
          </w:p>
        </w:tc>
        <w:tc>
          <w:tcPr>
            <w:tcW w:w="272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(loss)</w:t>
            </w:r>
          </w:p>
        </w:tc>
        <w:tc>
          <w:tcPr>
            <w:tcW w:w="6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30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64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2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3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vMerge w:val="continue"/>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share, diluted</w:t>
            </w:r>
          </w:p>
        </w:tc>
        <w:tc>
          <w:tcPr>
            <w:tcW w:w="6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3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30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evaluates performance of the Company based on operating segments. Segment performance for our two operating segments are based on segment contribution. Our reportable segments consist of (i) our commercial stage pharmaceutical compounding business (Pharmaceutical Compounding), generally including the operations of our ImprimisRx and Park businesses;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87"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including capital expenditures.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defines segment net revenues as pharmaceutical compounded drug sales, licenses and other revenue derived from related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15 to our condensed consolidated financial statements included in this Quarterly Report for more information about our reportable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cash on hand (including restricted cash) at September 30, 2020 was $5,727,000, compared to $4,949,000 at December 31, 2019. Since inception, July 24, 1998, through September 30, 2020, we have incurred aggregate losses of $78,549,000. These losses are primarily due to selling, general and administrative, and research and development expenses incurred in connection with developing and seeking regulatory approval for a former drug candidate, which activities we discontinued in 2013, the development and commercialization of novel compounded formulations and the development of our pharmacy operations.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we believe that cash and cash equivalents of $5,527,000 and restricted cash of $200,000, totaling approximately $5,727,000 at September 30, 2020 together with cash generated from revenues, will be sufficient to sustain our planned level of operations and capital expenditures for at least the next 12 months. We also may consider the sale of certain assets including, but not limited to, part of, or all of, our ownership interests in Eton, Surface, Melt, and/or any of our consolidated subsidiaries.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detailed information about our net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464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color w:val="auto"/>
              </w:rPr>
              <w:t>For the Nine Months Ended September 30,</w:t>
            </w:r>
          </w:p>
        </w:tc>
      </w:tr>
      <w:tr>
        <w:trPr>
          <w:trHeight w:val="237"/>
        </w:trPr>
        <w:tc>
          <w:tcPr>
            <w:tcW w:w="546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(534,000)</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(702,000)</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(891,000)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(864,000)</w:t>
            </w:r>
          </w:p>
        </w:tc>
      </w:tr>
      <w:tr>
        <w:trPr>
          <w:trHeight w:val="23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3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2,203,000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(1,641,000)</w:t>
            </w: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3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4,949,000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6,838,000</w:t>
            </w:r>
          </w:p>
        </w:tc>
      </w:tr>
      <w:tr>
        <w:trPr>
          <w:trHeight w:val="23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$(534,000) during the nine months ended September 30, 2020, compared to $(702,000) in operating activities during the same period in the prior year. The decrease in net cash used in operating activities during the period was mainly attributed to the increase in revenue during the quarter ended September 30, 2020 and increased operational efficiencies.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2020 and 2019 was $(891,000) and $(864,000), respectively. Cash used in investing activities in 2020 and 2019 was primarily associated with equipment purchases and upgrades and investments in our intellectual property portfolio.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(used in) financing activities during the nine months ended September 30, 2020 and 2019 was $2,203,000 and $(1,641,000), respectively. Cash provided by financing activities during the nine months ended September 30, 2020 was related to proceeds received from the amendment to our loan and security agreement with SWK as well as proceeds received from the PPP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sources of cash consist of cash provided by operating activities from our pharmaceutical compounding business. We may also sell some or all of our ownership interests in Eton, Surface, Melt or our other subsidiaries. We produced cash from operations during 2018 and 2019, and during the third quarter of 2020; however, during the second quarter of 2020, we experienced a significant downturn in revenues mostly as a result of the COVID-19 pandemic which may have an impact on our ability to produce cash for the current year. In addition, prior to 2017, we had not generated sufficient revenues to support our operations and may not be able to do so in the future.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changing trends and overall economic outlook in light of the COVID-19 pandemic, including any related interim stay-at-home orders and future bans on elective surgeries, have created uncertainty surrounding our operating outlook and may impact our future operating results.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2020. Based on this evaluation, our principal executive officer and principal financial officer have concluded that our disclosure controls and procedures were effective to achieve their stated purpose as of September 30, 2020,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the quarter ended September 30, 2020, that has materially affected, or is reasonably likely to materially affect, our internal control over financial reporting. We have not experienced any material impact to our internal control over financial reporting due to the COVID-19 pandemic. We are continually monitoring and assessing the COVID-19 pandemic on our internal controls to minimize the impact on their design and operating effectiveness.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14 to our consolidated condensed financial statements included in tie Quarterly Report for information on various legal proceedings,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You should consider all of the factors described in this section as well as the risk factors and the other information in our Quarterly Report on Form 10-Q for the three months ended September 30, 2020 and our Annual Report on Form 10-K including our audited financial statements and the related notes and “Management’s Discussion and Analysis of Financial Condition and Results of Operations” when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had an adverse effect on our business and results of operations and is expected to continue to have further adverse effects, which could be material, on our business, results of operations, financial condition, liquidity, and capital investments.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COVID-19 outbreak a global pandemic. The COVID-19 pandemic has negatively impacted the global economy, disrupted supply chains and created significant volatility in financial markets. We have implemented business policies intended to protect our employees from the spread of COVID-19. Those policies include employees working from home when possible and employees in our facilities increasing physical distancing.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18, 2020, the Centers for Medicare &amp; Medicaid Services (“CMS”) released guidance for U.S. healthcare providers to limit all elective medical procedures in order to conserve personal protective equipment and limit exposure to COVID-19 during the pendency of the pandemic. Many of our customers use our products in procedures impacted by the guidance. In addition to limiting medical procedures, many hospitals and other healthcare providers have strictly limited access to their facilities during the pandemic. We cannot predict the duration or scope of the pandemic, actions that may be taken by governments and businesses in response to the pandemic, or the impacts of the pandemic on healthcare systems. The impacts of the pandemic may include, but are not limited to:</w:t>
      </w:r>
    </w:p>
    <w:p>
      <w:pPr>
        <w:spacing w:after="0" w:line="187"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revenues from our customers, including our major customers, whose products are impacted by CMS guidance to limit elective medical procedures;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or willingness of third parties to market, distribute and sell our products, due to reduced demand from, or lack of access to, healthcare facilities and providers;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or inability, to complete clinical trials and other activities required to achieve regulatory clearance of our products under development due to lack of access to healthcare facilities, healthcare providers and patients;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or lost access to third party service providers that we use in our research and development or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cash flow from our operations due to reductions in revenues or collections from our customers and increases in operating costs related to actions we have taken in response to the pandemic;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business productivity due to inefficiencies in employees working from home or increasing physical distancing and other pandemic response protocols in our production facilities;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susceptibility to the risk of information technology security breaches and other disruptions due to increased volumes of remote access to our information systems from our employees working at home;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source sufficient components used in our products due to disruptions in supply chains;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identify, evaluate and acquire, or effectively integrate, complementary businesses, products, materials or technologies due to travel restrictions, physical distancing protocols, and lack of access to third party service providers related to our development activities;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manufacturing capacity, which could lead to failures to meet product delivery commitments, or increased operating costs if one of our facilities were to experience a COVID-19 outbreak;</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assessing and securing intellectual property rights due to lack of access to, or delayed responsiveness of, third party service providers or governmental agencies;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retain personnel over concerns about workplace exposure to COVID-19, or to hire and effectively train new personnel, due to physical distancing protocols;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other assets due to reductions in the fair value of our reporting units.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and other factors relating to, or arising from, the pandemic could have material adverse effects on our business, results of operations, cash flows, financial condition, and capital investments. Actual or anticipated adverse effects on our cash flows or financial condition may lead us to seek additional funding.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We cannot be certain that additional funding will be available on acceptable terms, if at all. If we do not have, or are not able to obtain, sufficient funds, we may have to delay development or commercialization of our products or otherwise curtail our operations. Any of these events could materially harm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impacted by state and federal statutes and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30, 2020, the FDA issued a notice for comments related to certain bulk drug substances to be removed from the 503B Bulk’s List (or Category 1 List). Included in this notice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27, 2020, the FDA announced availability of a final Memorandum of Understanding, Addressing Certain Distributions of Compounded Human Drug Products Between the State Board of Pharmacy or Other Appropriate State Agency and the Food and Drug Administration (the “MOU”). The MOU describes the responsibilities of a state board of pharmacy, or other appropriate state agency that chooses to sign the MOU, in investigating and responding to complaints related to drug products compounded in such state and distributed outside such state and in addressing the interstate distribution of inordinate amounts of compounded human drug products. Additionally, as part of the MOU, FDA refined the definition of “inordinate amount,” a threshold for certain information identification and sharing which does not place a limit on the distribution of compounded human drug products interstate by a pharmacy located in a state that has entered into the MOU. Section 503A of the FDCA sets a five percent limit on compounded drugs distributed outside the state by a pharmacist, pharmacy or physician located in a state that has not entered into the MOU.</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States have 365 days to sign the MOU, before the FDA intends to enforce the five percent limit described in Section 503A of the FDCA in states that have not signed the MOU. Our pharmacy is based in the state of New Jersey, and we believe the state board of pharmacy in New Jersey will sign the MOU and as a result, our operations will not be materially affected by the MOU. In the event New Jersey does not sign the MOU, our pharmacy that operates under Section 503A may be materially affected and we will transition as many prescription orders as possible to our outsourcing facility, which is not subject to the MOU.</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loan under the Paycheck Protection Program may not be forgiven or may subject us to challenges and investigations regarding qualification for the loan.</w:t>
      </w:r>
    </w:p>
    <w:p>
      <w:pPr>
        <w:spacing w:after="0" w:line="159" w:lineRule="exact"/>
        <w:rPr>
          <w:sz w:val="20"/>
          <w:szCs w:val="20"/>
          <w:color w:val="auto"/>
        </w:rPr>
      </w:pPr>
    </w:p>
    <w:p>
      <w:pPr>
        <w:jc w:val="both"/>
        <w:ind w:firstLine="635"/>
        <w:spacing w:after="0" w:line="261" w:lineRule="auto"/>
        <w:rPr>
          <w:sz w:val="20"/>
          <w:szCs w:val="20"/>
          <w:color w:val="auto"/>
        </w:rPr>
      </w:pPr>
      <w:r>
        <w:rPr>
          <w:rFonts w:ascii="Times New Roman" w:cs="Times New Roman" w:eastAsia="Times New Roman" w:hAnsi="Times New Roman"/>
          <w:sz w:val="18"/>
          <w:szCs w:val="18"/>
          <w:color w:val="auto"/>
        </w:rPr>
        <w:t>In April 2020, we received the PPP Loan, which was established under the CARES Act in the principal amount of $1,967,000. Pursuant to Section 1106 of the CARES Act we may apply for and be granted forgiveness for all or a portion of the PPP Loan. Such forgiveness will be determined, subject to limitations, based on the use of the loan proceeds for qualifying expenses, which include payroll costs, rent, and utility costs over the allowable measurement period following receipt of the loan proceeds.</w:t>
      </w:r>
    </w:p>
    <w:p>
      <w:pPr>
        <w:spacing w:after="0" w:line="180" w:lineRule="exact"/>
        <w:rPr>
          <w:sz w:val="20"/>
          <w:szCs w:val="20"/>
          <w:color w:val="auto"/>
        </w:rPr>
      </w:pPr>
    </w:p>
    <w:p>
      <w:pPr>
        <w:jc w:val="both"/>
        <w:ind w:firstLine="635"/>
        <w:spacing w:after="0" w:line="261" w:lineRule="auto"/>
        <w:rPr>
          <w:sz w:val="20"/>
          <w:szCs w:val="20"/>
          <w:color w:val="auto"/>
        </w:rPr>
      </w:pPr>
      <w:r>
        <w:rPr>
          <w:rFonts w:ascii="Times New Roman" w:cs="Times New Roman" w:eastAsia="Times New Roman" w:hAnsi="Times New Roman"/>
          <w:sz w:val="18"/>
          <w:szCs w:val="18"/>
          <w:color w:val="auto"/>
        </w:rPr>
        <w:t>The SBA continues to develop and issue new and updated guidance regarding the PPP Loan application and forgiveness process, including guidance regarding required borrower certifications and requirements for forgiveness of loans made under the program. Given the evolving nature of the guidance and depending upon our ability to use the loan proceeds for qualifying expenses, we cannot give any assurance that our PPP Loan will be forgiven in whole, in part, or that we will apply for forgiveness.</w:t>
      </w:r>
    </w:p>
    <w:p>
      <w:pPr>
        <w:spacing w:after="0" w:line="180" w:lineRule="exact"/>
        <w:rPr>
          <w:sz w:val="20"/>
          <w:szCs w:val="20"/>
          <w:color w:val="auto"/>
        </w:rPr>
      </w:pPr>
    </w:p>
    <w:p>
      <w:pPr>
        <w:jc w:val="both"/>
        <w:ind w:firstLine="635"/>
        <w:spacing w:after="0" w:line="252" w:lineRule="auto"/>
        <w:rPr>
          <w:sz w:val="20"/>
          <w:szCs w:val="20"/>
          <w:color w:val="auto"/>
        </w:rPr>
      </w:pPr>
      <w:r>
        <w:rPr>
          <w:rFonts w:ascii="Times New Roman" w:cs="Times New Roman" w:eastAsia="Times New Roman" w:hAnsi="Times New Roman"/>
          <w:sz w:val="18"/>
          <w:szCs w:val="18"/>
          <w:color w:val="auto"/>
        </w:rPr>
        <w:t>Additionally, the PPP Loan application required us to certify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In addition, the SBA has stated that it is unlikely that a public company with substantial market value and access to capital markets will be able to make the required certification in good faith. The lack of clarity regarding loan eligibility under the program has resulted in significant media coverage and controversy with respect to public companies applying for and receiving loans. If, despite our good faith belief that we satisfied all eligibility requirements for the PPP Loan, we are found to have been ineligible to receive the PPP Loan or in violation of any of the laws or regulations that apply to us in connection with the PPP Loan, including the False Claims Act, we may be subject to penalties, including significant civil, criminal and administrative penalties and would be required to repay the PPP Loan. In the event that we seek forgiveness of all or a portion of the PPP Loan, we will also be required to make certain certifications which will be subject to audit and review by governmental entities and could subject us to significant penalties and liabilities if found to be inaccurate, including being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Any of these events could materially harm our business, results of operations and financial condition.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229" w:lineRule="exact"/>
        <w:rPr>
          <w:sz w:val="20"/>
          <w:szCs w:val="20"/>
          <w:color w:val="auto"/>
        </w:rPr>
      </w:pPr>
    </w:p>
    <w:p>
      <w:pPr>
        <w:jc w:val="both"/>
        <w:ind w:firstLine="500"/>
        <w:spacing w:after="0" w:line="256" w:lineRule="auto"/>
        <w:rPr>
          <w:sz w:val="20"/>
          <w:szCs w:val="20"/>
          <w:color w:val="auto"/>
        </w:rPr>
      </w:pPr>
      <w:r>
        <w:rPr>
          <w:rFonts w:ascii="Times New Roman" w:cs="Times New Roman" w:eastAsia="Times New Roman" w:hAnsi="Times New Roman"/>
          <w:sz w:val="18"/>
          <w:szCs w:val="18"/>
          <w:color w:val="auto"/>
        </w:rPr>
        <w:t>Our operations, and those of contract research organizations (or CROs), contractors and consultants, could be subject to power shortages, telecommunications failures, wildfires, water shortages, floods, earthquakes, hurricanes, typhoons, fires, extreme weather conditions, medical epidemics, such as the COVID-19 pandemic,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our contract manufacturers or cell line storage facilities are affected by a man-made or natural disaster or other business interruption.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500"/>
        <w:spacing w:after="0" w:line="254" w:lineRule="auto"/>
        <w:rPr>
          <w:sz w:val="20"/>
          <w:szCs w:val="20"/>
          <w:color w:val="auto"/>
        </w:rPr>
      </w:pPr>
      <w:r>
        <w:rPr>
          <w:rFonts w:ascii="Times New Roman" w:cs="Times New Roman" w:eastAsia="Times New Roman" w:hAnsi="Times New Roman"/>
          <w:sz w:val="18"/>
          <w:szCs w:val="18"/>
          <w:color w:val="auto"/>
        </w:rPr>
        <w:t>From time to time, including recently as a result of the COVID-19 pandemic,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0"/>
          <w:szCs w:val="20"/>
          <w:color w:val="auto"/>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10.1*#</w:t>
      </w:r>
      <w:r>
        <w:rPr>
          <w:sz w:val="20"/>
          <w:szCs w:val="20"/>
          <w:color w:val="auto"/>
        </w:rPr>
        <w:tab/>
      </w:r>
      <w:hyperlink w:anchor="page48">
        <w:r>
          <w:rPr>
            <w:rFonts w:ascii="Times New Roman" w:cs="Times New Roman" w:eastAsia="Times New Roman" w:hAnsi="Times New Roman"/>
            <w:sz w:val="18"/>
            <w:szCs w:val="18"/>
            <w:u w:val="single" w:color="auto"/>
            <w:color w:val="0000EE"/>
          </w:rPr>
          <w:t>Commercial Alliance Agreement between Eyepoint Pharmaceuticals, Inc. and ImprimisRx, LLC dated August 1, 2020.</w:t>
        </w:r>
      </w:hyperlink>
    </w:p>
    <w:p>
      <w:pPr>
        <w:spacing w:after="0" w:line="225" w:lineRule="exact"/>
        <w:rPr>
          <w:sz w:val="20"/>
          <w:szCs w:val="20"/>
          <w:color w:val="auto"/>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31.1*</w:t>
      </w:r>
      <w:r>
        <w:rPr>
          <w:sz w:val="20"/>
          <w:szCs w:val="20"/>
          <w:color w:val="auto"/>
        </w:rPr>
        <w:tab/>
      </w:r>
      <w:hyperlink w:anchor="page74">
        <w:r>
          <w:rPr>
            <w:rFonts w:ascii="Times New Roman" w:cs="Times New Roman" w:eastAsia="Times New Roman" w:hAnsi="Times New Roman"/>
            <w:sz w:val="18"/>
            <w:szCs w:val="18"/>
            <w:u w:val="single" w:color="auto"/>
            <w:color w:val="0000EE"/>
          </w:rPr>
          <w:t>Certification of Mark L. Baum, principal executive officer, pursuant to Rule 13a-14(a) or 15d-14(a) of the Securities and Exchange Act of</w:t>
        </w:r>
      </w:hyperlink>
    </w:p>
    <w:p>
      <w:pPr>
        <w:spacing w:after="0" w:line="31"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1934, as adopted pursuant to Section 302 of the Sarbanes- Oxley Act of 2002.</w:t>
        </w:r>
      </w:hyperlink>
    </w:p>
    <w:p>
      <w:pPr>
        <w:spacing w:after="0" w:line="203" w:lineRule="exact"/>
        <w:rPr>
          <w:sz w:val="20"/>
          <w:szCs w:val="20"/>
          <w:color w:val="auto"/>
        </w:rPr>
      </w:pPr>
    </w:p>
    <w:p>
      <w:pPr>
        <w:jc w:val="both"/>
        <w:ind w:left="960" w:right="20" w:hanging="957"/>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31.2*</w:t>
      </w:r>
      <w:r>
        <w:rPr>
          <w:sz w:val="20"/>
          <w:szCs w:val="20"/>
          <w:color w:val="auto"/>
        </w:rPr>
        <w:tab/>
      </w:r>
      <w:hyperlink w:anchor="page75">
        <w:r>
          <w:rPr>
            <w:rFonts w:ascii="Times New Roman" w:cs="Times New Roman" w:eastAsia="Times New Roman" w:hAnsi="Times New Roman"/>
            <w:sz w:val="18"/>
            <w:szCs w:val="18"/>
            <w:u w:val="single" w:color="auto"/>
            <w:color w:val="0000EE"/>
          </w:rPr>
          <w:t>Certification of Andrew R. Boll, principal financial and accounting officer, pursuant to Rule 13a-14(a) or 15d-14(a) of the Securities and</w:t>
        </w:r>
      </w:hyperlink>
      <w:r>
        <w:rPr>
          <w:rFonts w:ascii="Times New Roman" w:cs="Times New Roman" w:eastAsia="Times New Roman" w:hAnsi="Times New Roman"/>
          <w:sz w:val="18"/>
          <w:szCs w:val="18"/>
          <w:u w:val="single" w:color="auto"/>
          <w:color w:val="0000EE"/>
        </w:rPr>
        <w:t xml:space="preserve"> </w:t>
      </w:r>
      <w:hyperlink w:anchor="page75">
        <w:r>
          <w:rPr>
            <w:rFonts w:ascii="Times New Roman" w:cs="Times New Roman" w:eastAsia="Times New Roman" w:hAnsi="Times New Roman"/>
            <w:sz w:val="18"/>
            <w:szCs w:val="18"/>
            <w:u w:val="single" w:color="auto"/>
            <w:color w:val="0000EE"/>
          </w:rPr>
          <w:t>Exchange Act of 1934, as adopted pursuant to Section 302 of the Sarbanes- Oxley Act of 2002.</w:t>
        </w:r>
      </w:hyperlink>
    </w:p>
    <w:p>
      <w:pPr>
        <w:spacing w:after="0" w:line="162" w:lineRule="exact"/>
        <w:rPr>
          <w:sz w:val="20"/>
          <w:szCs w:val="20"/>
          <w:color w:val="auto"/>
        </w:rPr>
      </w:pPr>
    </w:p>
    <w:p>
      <w:pPr>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b w:val="1"/>
          <w:bCs w:val="1"/>
          <w:color w:val="auto"/>
        </w:rPr>
        <w:t>32.1**</w:t>
      </w:r>
      <w:r>
        <w:rPr>
          <w:sz w:val="20"/>
          <w:szCs w:val="20"/>
          <w:color w:val="auto"/>
        </w:rPr>
        <w:tab/>
      </w:r>
      <w:hyperlink w:anchor="page76">
        <w:r>
          <w:rPr>
            <w:rFonts w:ascii="Times New Roman" w:cs="Times New Roman" w:eastAsia="Times New Roman" w:hAnsi="Times New Roman"/>
            <w:sz w:val="18"/>
            <w:szCs w:val="18"/>
            <w:u w:val="single" w:color="auto"/>
            <w:color w:val="0000EE"/>
          </w:rPr>
          <w:t>Certification pursuant to 18 U.S.C. Section 1350, as adopted pursuant to Section 906 of the Sarbanes-Oxley Act of 2002, executed by Mark L.</w:t>
        </w:r>
      </w:hyperlink>
    </w:p>
    <w:p>
      <w:pPr>
        <w:spacing w:after="0" w:line="31"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Baum, principal executive officer, and Andrew R. Boll, principal financial and accounting officer.</w:t>
        </w:r>
      </w:hyperlink>
    </w:p>
    <w:p>
      <w:pPr>
        <w:spacing w:after="0" w:line="203" w:lineRule="exact"/>
        <w:rPr>
          <w:sz w:val="20"/>
          <w:szCs w:val="20"/>
          <w:color w:val="auto"/>
        </w:rPr>
      </w:pPr>
    </w:p>
    <w:p>
      <w:pPr>
        <w:jc w:val="both"/>
        <w:ind w:left="960" w:hanging="957"/>
        <w:spacing w:after="0" w:line="282"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101.INS*</w:t>
      </w:r>
      <w:r>
        <w:rPr>
          <w:sz w:val="20"/>
          <w:szCs w:val="20"/>
          <w:color w:val="auto"/>
        </w:rPr>
        <w:tab/>
      </w: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6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229" w:lineRule="exact"/>
        <w:rPr>
          <w:sz w:val="20"/>
          <w:szCs w:val="20"/>
          <w:color w:val="auto"/>
        </w:rPr>
      </w:pPr>
    </w:p>
    <w:p>
      <w:pPr>
        <w:ind w:left="960" w:hanging="952"/>
        <w:spacing w:after="0" w:line="282" w:lineRule="auto"/>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cover page from the Company’s Quarterly Report on Form 10-Q for the quarter ended September 30, 2020, has been formatted in Inline XBRL.</w:t>
      </w:r>
    </w:p>
    <w:p>
      <w:pPr>
        <w:spacing w:after="0" w:line="16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5540" w:right="4440" w:hanging="5532"/>
        <w:spacing w:after="0" w:line="511" w:lineRule="auto"/>
        <w:tabs>
          <w:tab w:leader="none" w:pos="3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compliance with item 601 of Regulation S-K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22" w:orient="portrait"/>
          <w:cols w:equalWidth="0" w:num="1">
            <w:col w:w="11240"/>
          </w:cols>
          <w:pgMar w:left="320" w:top="657" w:right="339" w:bottom="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9, 2020</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Portions of this exhibit indicated by bracketed asterisks have been omitted because they are not material and would likely cause competitive harm to EyePoint Pharmaceuticals, Inc. if publicly disclosed.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COMMERCIAL ALLIANCE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COMMERCIAL ALLIANCE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effective as of August 1,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between EYEPOINT PHARMACEUTICALS, INC., a Delaware corporation (“</w:t>
      </w:r>
      <w:r>
        <w:rPr>
          <w:rFonts w:ascii="Times New Roman" w:cs="Times New Roman" w:eastAsia="Times New Roman" w:hAnsi="Times New Roman"/>
          <w:sz w:val="18"/>
          <w:szCs w:val="18"/>
          <w:u w:val="single" w:color="auto"/>
          <w:color w:val="auto"/>
        </w:rPr>
        <w:t>EyePoint</w:t>
      </w:r>
      <w:r>
        <w:rPr>
          <w:rFonts w:ascii="Times New Roman" w:cs="Times New Roman" w:eastAsia="Times New Roman" w:hAnsi="Times New Roman"/>
          <w:sz w:val="18"/>
          <w:szCs w:val="18"/>
          <w:color w:val="auto"/>
        </w:rPr>
        <w:t>”), having a place of business at 480 Pleasant Street, Suite B300, Watertown, Massachusetts 02472, and IMPRIMISRX, LLC a Delaware limited liability company (“</w:t>
      </w:r>
      <w:r>
        <w:rPr>
          <w:rFonts w:ascii="Times New Roman" w:cs="Times New Roman" w:eastAsia="Times New Roman" w:hAnsi="Times New Roman"/>
          <w:sz w:val="18"/>
          <w:szCs w:val="18"/>
          <w:u w:val="single" w:color="auto"/>
          <w:color w:val="auto"/>
        </w:rPr>
        <w:t>Imprimis</w:t>
      </w:r>
      <w:r>
        <w:rPr>
          <w:rFonts w:ascii="Times New Roman" w:cs="Times New Roman" w:eastAsia="Times New Roman" w:hAnsi="Times New Roman"/>
          <w:sz w:val="18"/>
          <w:szCs w:val="18"/>
          <w:color w:val="auto"/>
        </w:rPr>
        <w:t>” and together with EyePoint,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(with each being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having a place of business at 12264 El Camino Real, Suite 350, San Diego, California 92130.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Imprimis intends to wind down and terminate its operations relating to the manufacture and sale of Tri-moxi (as defined below) and is seeking an alternative product to commercialize in the United States;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EyePoint owns rights to the product known as Dexycu (as defined below) in the United States and is seeking additional support for its promotional efforts with respect thereto;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EyePoint wishes to engage Imprimis to perform, and Imprimis wishes to perform, certain promotional activities for Dexycu in the United States, on the terms and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contained herein, the Parties hereby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and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terms defined in this Section 1 have the respective meanings set forth below, and grammatical variations have corresponding meanings: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For the purposes of this definition,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Baseline Demand</w:t>
      </w:r>
      <w:r>
        <w:rPr>
          <w:rFonts w:ascii="Times New Roman" w:cs="Times New Roman" w:eastAsia="Times New Roman" w:hAnsi="Times New Roman"/>
          <w:sz w:val="18"/>
          <w:szCs w:val="18"/>
          <w:color w:val="auto"/>
        </w:rPr>
        <w:t>” means, with respect to a Customer and a period of time, the Baseline Quarterly Amount for such Customer prorated for such period of time.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Baseline Period</w:t>
      </w:r>
      <w:r>
        <w:rPr>
          <w:rFonts w:ascii="Times New Roman" w:cs="Times New Roman" w:eastAsia="Times New Roman" w:hAnsi="Times New Roman"/>
          <w:sz w:val="18"/>
          <w:szCs w:val="18"/>
          <w:color w:val="auto"/>
        </w:rPr>
        <w:t>” means (a) with respect to the Group A Customers, [***](the “</w:t>
      </w:r>
      <w:r>
        <w:rPr>
          <w:rFonts w:ascii="Times New Roman" w:cs="Times New Roman" w:eastAsia="Times New Roman" w:hAnsi="Times New Roman"/>
          <w:sz w:val="18"/>
          <w:szCs w:val="18"/>
          <w:u w:val="single" w:color="auto"/>
          <w:color w:val="auto"/>
        </w:rPr>
        <w:t>Initial Baseline Months</w:t>
      </w:r>
      <w:r>
        <w:rPr>
          <w:rFonts w:ascii="Times New Roman" w:cs="Times New Roman" w:eastAsia="Times New Roman" w:hAnsi="Times New Roman"/>
          <w:sz w:val="18"/>
          <w:szCs w:val="18"/>
          <w:color w:val="auto"/>
        </w:rPr>
        <w:t>”), (b) with respect to the Group B Customers, the period consisting of (i) [***] full calendar months immediately following the Effective Date and (ii) [***] months of the Initial Baseline Months with the highest Customer Demand for such Customer, and (c) with respect to any other Customer, such other [***]period as determined by the Commercialization Committee pursuant to Section 7.1.2.</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Baseline Quarterly Amount</w:t>
      </w:r>
      <w:r>
        <w:rPr>
          <w:rFonts w:ascii="Times New Roman" w:cs="Times New Roman" w:eastAsia="Times New Roman" w:hAnsi="Times New Roman"/>
          <w:sz w:val="18"/>
          <w:szCs w:val="18"/>
          <w:color w:val="auto"/>
        </w:rPr>
        <w:t xml:space="preserve">” means, with respect to a Customer, the aggregate Customer Demand for such Customer during the applicable Baseline Period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two (2).</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cGMP</w:t>
      </w:r>
      <w:r>
        <w:rPr>
          <w:rFonts w:ascii="Times New Roman" w:cs="Times New Roman" w:eastAsia="Times New Roman" w:hAnsi="Times New Roman"/>
          <w:sz w:val="18"/>
          <w:szCs w:val="18"/>
          <w:color w:val="auto"/>
        </w:rPr>
        <w:t>” means the principles detailed in the United States Current Good Manufacturing Practices (21 C.F.R. §§200, 211 and 600).</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Person: (a) any sale, exchange, transfer, or issuance to or acquisition in one transaction or a series of related transactions resulting in a Third Party controlling at least fifty percent (50%) of the ownership interest of such Person, whether such sale, exchange, transfer, issuance or acquisition is made directly or indirectly, by merger or otherwise, or beneficially or of record; (b) a merger or consolidation under applicable law of such Person, with a Third Party in which the shareholders or equity holders of such Person, or any Affiliate that directly or indirectly controls such Person, immediately prior to such merger or consolidation do not continue to control the entity surviving or resulting from such merger or consolidation; or (c) a sale or other disposition of all or substantially all of the assets of such Person to which this Agreement relates, to one or more Third Party(ies) in one transaction or a series of related transactions. For the purposes of this definition, a Person shall be regarded as in control of another Person if it owns, or directly or indirectly controls, at least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Commercialization Committee</w:t>
      </w:r>
      <w:r>
        <w:rPr>
          <w:rFonts w:ascii="Times New Roman" w:cs="Times New Roman" w:eastAsia="Times New Roman" w:hAnsi="Times New Roman"/>
          <w:sz w:val="18"/>
          <w:szCs w:val="18"/>
          <w:color w:val="auto"/>
        </w:rPr>
        <w:t>” means the committee comprising representatives of EyePoint and Imprimis described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7.1.1.</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means, in the case of either Party, with respect to any Product, those efforts and resources that such Party would typically devote to a product owned by it or to which it has rights of the type it has hereunder, which is of similar market potential at a similar stage in its development or product life, taking into account its relative potential safety and efficacy, competitive position, pricing and launching strategy, proprietary position and profitability and other relevant legal, medical, regulatory, scientific or technical factors. Notwithstanding the foregoing, the use of Commercially Reasonable Efforts by a Party with respect to the promotion or marketing, or solicitation of customers for, Products shall require the use of efforts, standards and resources typically devoted by similarly situated companies engaged in the sale of FDA approved pharmaceutical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and data that (a) is provided by one Party to the other Party or any of its Affiliates under this Agreement, and (b) if disclosed in writing or other tangible medium is marked or identified as confidential at the time of disclosure to the recipient, is acknowledged at the time of disclosure to be confidential, or otherwise should reasonably be deemed to be confidential.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Party who has the right to make such disclosure, (iii) is or becomes part of the public domain through no fault of the recipient, or (iv) the recipient can reasonably establish is independently developed by persons on behalf of recipient without access to or use of the information disclosed by the disclosing Party.</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u w:val="single" w:color="auto"/>
          <w:color w:val="auto"/>
        </w:rPr>
        <w:t>Customer Demand</w:t>
      </w:r>
      <w:r>
        <w:rPr>
          <w:rFonts w:ascii="Times New Roman" w:cs="Times New Roman" w:eastAsia="Times New Roman" w:hAnsi="Times New Roman"/>
          <w:sz w:val="18"/>
          <w:szCs w:val="18"/>
          <w:color w:val="auto"/>
        </w:rPr>
        <w:t>” means, with respect to a Customer during a given period of time, the number of units of Product ordered by such Customer and shipped from EyePoint, its Affiliate, or an EyePoint distributor during such period of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u w:val="single" w:color="auto"/>
          <w:color w:val="auto"/>
        </w:rPr>
        <w:t>Dexycu</w:t>
      </w:r>
      <w:r>
        <w:rPr>
          <w:rFonts w:ascii="Times New Roman" w:cs="Times New Roman" w:eastAsia="Times New Roman" w:hAnsi="Times New Roman"/>
          <w:sz w:val="18"/>
          <w:szCs w:val="18"/>
          <w:color w:val="auto"/>
        </w:rPr>
        <w:t>” means the EyePoint product referred to by EyePoint as “Dexycu,” which comprises nine percent (9%) dexamethasone intraocular suspension for ophthalmic use, together with all modifications, improvements, and enhancements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u w:val="single" w:color="auto"/>
          <w:color w:val="auto"/>
        </w:rPr>
        <w:t>EW Healthcare Entities</w:t>
      </w:r>
      <w:r>
        <w:rPr>
          <w:rFonts w:ascii="Times New Roman" w:cs="Times New Roman" w:eastAsia="Times New Roman" w:hAnsi="Times New Roman"/>
          <w:sz w:val="18"/>
          <w:szCs w:val="18"/>
          <w:color w:val="auto"/>
        </w:rPr>
        <w:t>” means EW Healthcare Partners, L.P., a Delaware limited partnership, and each of its Affiliates.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u w:val="single" w:color="auto"/>
          <w:color w:val="auto"/>
        </w:rPr>
        <w:t>EyePoint Marks</w:t>
      </w:r>
      <w:r>
        <w:rPr>
          <w:rFonts w:ascii="Times New Roman" w:cs="Times New Roman" w:eastAsia="Times New Roman" w:hAnsi="Times New Roman"/>
          <w:sz w:val="18"/>
          <w:szCs w:val="18"/>
          <w:color w:val="auto"/>
        </w:rPr>
        <w:t>” means those certain trademarks, trade names, designs and markings owned or licensed by EyePoint set forth on Exhibit A or designated from time to time in writing by EyePoint as available for use by Imprimis under this Agreement in connection with the promotion, marketing and solicitation of orders for the Products in the Territory.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Food and Drug Administration of the United States or any successor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u w:val="single" w:color="auto"/>
          <w:color w:val="auto"/>
        </w:rPr>
        <w:t>Group A Customers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u w:val="single" w:color="auto"/>
          <w:color w:val="auto"/>
        </w:rPr>
        <w:t>Group B Customers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and the rules and regulations promulgated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authority.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u w:val="single" w:color="auto"/>
          <w:color w:val="auto"/>
        </w:rPr>
        <w:t>Joint Steering Committee</w:t>
      </w:r>
      <w:r>
        <w:rPr>
          <w:rFonts w:ascii="Times New Roman" w:cs="Times New Roman" w:eastAsia="Times New Roman" w:hAnsi="Times New Roman"/>
          <w:sz w:val="18"/>
          <w:szCs w:val="18"/>
          <w:color w:val="auto"/>
        </w:rPr>
        <w:t>” means the committee comprising representatives of EyePoint and Imprimis described in Section 7.2.1.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u w:val="single" w:color="auto"/>
          <w:color w:val="auto"/>
        </w:rPr>
        <w:t>Legal Manufacturer</w:t>
      </w:r>
      <w:r>
        <w:rPr>
          <w:rFonts w:ascii="Times New Roman" w:cs="Times New Roman" w:eastAsia="Times New Roman" w:hAnsi="Times New Roman"/>
          <w:sz w:val="18"/>
          <w:szCs w:val="18"/>
          <w:color w:val="auto"/>
        </w:rPr>
        <w:t>” means the Person with legal authority to design, manufacture, package and label a product or device before it is placed on the market, regardless of whether these operations are carried out by that Person itself or on its behalf by another Person.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u w:val="single" w:color="auto"/>
          <w:color w:val="auto"/>
        </w:rPr>
        <w:t>Marketing Materials</w:t>
      </w:r>
      <w:r>
        <w:rPr>
          <w:rFonts w:ascii="Times New Roman" w:cs="Times New Roman" w:eastAsia="Times New Roman" w:hAnsi="Times New Roman"/>
          <w:sz w:val="18"/>
          <w:szCs w:val="18"/>
          <w:color w:val="auto"/>
        </w:rPr>
        <w:t>” means, with respect to a Product, all advertising, promotional, sales, social media and other related literature and materials for such Product provided or approved from time to time by EyePoint after consultation with Imprimis, each as modified in writing from time to time by EyePoint in its sole discretion after consultation with Imprimis. The applicable Marketing Materials for any Product may be determined by EyePoint after consultation with Imprimis with respect to specific Product, specific Customer or the specific circumstances of any specific sale.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u w:val="single" w:color="auto"/>
          <w:color w:val="auto"/>
        </w:rPr>
        <w:t>Minimum Sales Period</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u w:val="single" w:color="auto"/>
          <w:color w:val="auto"/>
        </w:rPr>
        <w:t>Minimum Year</w:t>
      </w:r>
      <w:r>
        <w:rPr>
          <w:rFonts w:ascii="Times New Roman" w:cs="Times New Roman" w:eastAsia="Times New Roman" w:hAnsi="Times New Roman"/>
          <w:sz w:val="18"/>
          <w:szCs w:val="18"/>
          <w:color w:val="auto"/>
        </w:rPr>
        <w:t>” means (a) [***] of the Term and (b) beginning on [***]thereafter during the Term.</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the aggregate gross sales of Product invoiced to Third Party customers in the United States (or are Affiliates who are the end users of such Product) by EyePoint or its Affiliates, less: (a) returns, credits, allowances, discounts and rebates (including volume-based rebates) accrued with respect to such customers, (b) an allowance for bad debts, and (c) fees actually paid to distributors and specialty pharmacies for distribution of such Product, in each case of (a) through (c), as determined in accordance with GAAP.</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u w:val="single" w:color="auto"/>
          <w:color w:val="auto"/>
        </w:rPr>
        <w:t>Net Selling Price</w:t>
      </w:r>
      <w:r>
        <w:rPr>
          <w:rFonts w:ascii="Times New Roman" w:cs="Times New Roman" w:eastAsia="Times New Roman" w:hAnsi="Times New Roman"/>
          <w:sz w:val="18"/>
          <w:szCs w:val="18"/>
          <w:color w:val="auto"/>
        </w:rPr>
        <w:t>” means the average price paid for a unit of Product by all customers in the United States during a given period of time based on EyePoint’s and its Affiliates’ net Product revenue reported in its financial statements for such period divided by the total number of units of Product sold by EyePoint and its Affiliates to its distributors during the corresponding period. Net product revenue will include deductions for (a) returns, credits, allowances, discounts and rebates (including volume-based rebates) to the account of such customers, (b) an allowance for bad debts, and</w:t>
      </w:r>
    </w:p>
    <w:p>
      <w:pPr>
        <w:spacing w:after="0" w:line="3" w:lineRule="exact"/>
        <w:rPr>
          <w:sz w:val="20"/>
          <w:szCs w:val="20"/>
          <w:color w:val="auto"/>
        </w:rPr>
      </w:pPr>
    </w:p>
    <w:p>
      <w:pPr>
        <w:jc w:val="both"/>
        <w:ind w:firstLine="8"/>
        <w:spacing w:after="0" w:line="255" w:lineRule="auto"/>
        <w:tabs>
          <w:tab w:leader="none" w:pos="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actually paid to distributors and specialty pharmacies for distribution of such Product, in each case of (a) through (c), as determined in accordance with GAAP. For avoidance of doubt, any Product shipped by EyePoint or its Affiliates or distributors as samples are specifically excluded from this calculation.</w:t>
      </w:r>
    </w:p>
    <w:p>
      <w:pPr>
        <w:spacing w:after="0" w:line="18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u w:val="single" w:color="auto"/>
          <w:color w:val="auto"/>
        </w:rPr>
        <w:t>Pass-Through Payment Status</w:t>
      </w:r>
      <w:r>
        <w:rPr>
          <w:rFonts w:ascii="Times New Roman" w:cs="Times New Roman" w:eastAsia="Times New Roman" w:hAnsi="Times New Roman"/>
          <w:sz w:val="18"/>
          <w:szCs w:val="18"/>
          <w:color w:val="auto"/>
        </w:rPr>
        <w:t>” means the designation of Dexycu by the United States Centers for Medicare &amp; Medicaid Services, or any successor thereto, of “pass-through” payment status pursuant to Section 1833(t)(6) of the Social Security Act or its related regulations.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trust, business trust, association, joint stock company, joint venture, pool, syndicate, sole proprietorship, unincorporated organization, governmental authority or any other form of entity not specifically listed herein.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Dexycu.</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means any registration, license, permit or governmental approval or clearance necessary for the purchase, distribution, promotion, marketing or sale of the Products in the Territory.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present or future taxes, levies, imposts, duties, charges, assessments or fees of any nature (including any interest thereon), other than corporate income taxes or comparable taxes assessed on net profits payable by Imprimis.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United States of America, together with its territories and possessions.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EyePoint, Imprimis and their respective Affiliates.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u w:val="single" w:color="auto"/>
          <w:color w:val="auto"/>
        </w:rPr>
        <w:t>Tri-moxi</w:t>
      </w:r>
      <w:r>
        <w:rPr>
          <w:rFonts w:ascii="Times New Roman" w:cs="Times New Roman" w:eastAsia="Times New Roman" w:hAnsi="Times New Roman"/>
          <w:sz w:val="18"/>
          <w:szCs w:val="18"/>
          <w:color w:val="auto"/>
        </w:rPr>
        <w:t>” means the Imprimis product referred to by Imprimis as “Tri-moxi” and that includes as ingredients triamcinolone acetonide, moxifloxacin hydrochloride and poloxamer 407.</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definitions of the terms herein shall apply equally to the singular and plural forms of the terms defined. Whenever the context may require, any pronoun shall include the corresponding masculine, feminine and neuter forms. The words “include” and “contain” (and their variant forms) shall be deemed to be followed by the phrase “without limitation.” The word “will” shall be construed to have the same meaning and effect as the word “shall.” “US Dollar” or “$” as used in this Agreement means the lawful currency of the United States. Any reference to any laws, codes or regulations herein shall be construed as referring to such laws as from time to time enacted, repealed or amended. The words “herein,” “hereof” and “hereunder,” and words of similar import, shall be construed to refer to this Agreement in its entirety and not to any particular provision hereof. The term “or” has, except where otherwise indicated, the inclusive meaning represented by the phrase “and/or.” Any reference herein to any Person shall be construed to include the Person’s permitted successors and assigns. The headings used in this Agreement are for convenience only and shall not affect in any way the meaning or interpretation of this Agreement or any provision hereof.</w:t>
      </w:r>
    </w:p>
    <w:p>
      <w:pPr>
        <w:spacing w:after="0" w:line="188"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Mutual Representations and Warranties</w:t>
      </w:r>
      <w:r>
        <w:rPr>
          <w:rFonts w:ascii="Times New Roman" w:cs="Times New Roman" w:eastAsia="Times New Roman" w:hAnsi="Times New Roman"/>
          <w:sz w:val="18"/>
          <w:szCs w:val="18"/>
          <w:color w:val="auto"/>
        </w:rPr>
        <w:t>. Each Party hereby represents and warrants to the other Party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2.1.1 Such Party is a duly organized, validly existing and in good standing under the laws of the jurisdiction in which it is organized.</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2.1.2 Such Party (a) has the requisite power and authority and the legal right to enter into this Agreement and to perform its obligations hereunder and (b) has taken all necessary actions on its part to authorize the execution and delivery of this Agreement and the performance of its obligations hereunder. This Agreement has been duly executed and delivered on behalf of such Party, and, assuming the accuracy of the representations and warranties made by the other Party in this Section 2.1.2, constitutes a legal, valid, binding obligation, enforceable against such Party in accordance with its terms.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2.1.3 All necessary consents, approvals and authorizations of all governmental authorities and other Persons required to be obtained by such Party in connection with this Agreement have been obtained.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2.1.4 The execution and delivery of this Agreement and the performance of such Party’s obligations hereunder do not conflict with or violate any requirement of applicable laws or regulations.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2.1.5 There is no litigation pending or, to such Party’s knowledge, without having made an independent investigation, threatened against such Party or any of its Affiliates with respect to the transactions and activities contemplated by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Imprimis Representations and Warranties and Covenants</w:t>
      </w:r>
      <w:r>
        <w:rPr>
          <w:rFonts w:ascii="Times New Roman" w:cs="Times New Roman" w:eastAsia="Times New Roman" w:hAnsi="Times New Roman"/>
          <w:sz w:val="18"/>
          <w:szCs w:val="18"/>
          <w:color w:val="auto"/>
        </w:rPr>
        <w:t>. Imprimis hereby represents, warrants and covenants to EyePoint that: (a) as of the Effective Date, the customers set forth on Exhibit B constitute [***]of Tri-moxi (by revenue); (b) it has the requisite personnel, facilities, equipment, expertise, experience and skill to perform its obligations hereunder; (c) it shall perform its obligations hereunder in accordance with all applicable laws (including all applicable FDA or other regulatory authority requirements), this Agreement and generally accepted professional standards; (d) it shall, and its representatives and agents shall, comply with applicable policies of EyePoint (which shall be delivered and/or communicated to applicable Imprimis employees, representatives and agents as promptly as practicable following the Effective Date) regarding the proper conduct of its representatives and agents in their interactions with customers; and (e) as of the Effective Date, it has unilaterally elected to wind down the manufacture, promotion and sale of Tri-moxi.</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EyePoint Representations and Warranties and Covenants</w:t>
      </w:r>
      <w:r>
        <w:rPr>
          <w:rFonts w:ascii="Times New Roman" w:cs="Times New Roman" w:eastAsia="Times New Roman" w:hAnsi="Times New Roman"/>
          <w:sz w:val="18"/>
          <w:szCs w:val="18"/>
          <w:color w:val="auto"/>
        </w:rPr>
        <w:t>. EyePoint hereby represents, warrants and covenants to Imprimis that: (a) it shall perform its obligations hereunder in accordance with, all applicable laws (including cGMP and all applicable FDA or other regulatory authority requirements), this Agreement and generally accepted professional standards; and (b) as of the Effective Date, to the best of EyePoint’s knowledge after due inquiry, neither Product nor any use thereof infringes, misappropriates or otherwise violates the intellectual property rights of any Third Party. Without limiting the generality of clause (a) above, EyePoint hereby represents, warrants and covenants to Imprimis that (i) EyePoint shall comply with the applicable requirements with respect to the “discount” exception as set forth in 42 U.S.C. § 1320a-7b(b)(3)(A) or the “discount safe harbor” as set forth in 42 C.F.R. § 1001.952(h) and shall account for any applicable discounts, rebates or price concessions to the extent required to comply with its price reporting obligations, and (ii) Eyepoint shall take any customer rebates into account in its calculation of the average sales price and Medicaid best price of Dexycu in accordance with applicable regulations.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DISCLAIMERS</w:t>
      </w:r>
      <w:r>
        <w:rPr>
          <w:rFonts w:ascii="Times New Roman" w:cs="Times New Roman" w:eastAsia="Times New Roman" w:hAnsi="Times New Roman"/>
          <w:sz w:val="18"/>
          <w:szCs w:val="18"/>
          <w:color w:val="auto"/>
        </w:rPr>
        <w:t>. WITH THE EXCEPTION OF THE REPRESENTATIONS AND WARRANTIES EXPRESSLY SET FORTH IN THIS SECTION 2, NEITHER PARTY MAKES ANY REPRESENTATIONS OR WARRANTIES TO THE OTHER PARTY, EXPRESS OR IMPLIED. EACH PARTY EXPRESSLY DISCLAIMS ANY AND ALL OTHER REPRESENTATIONS OR WARRANTIES, WHETHER EXPRESS OR IMPLIED, WRITTEN OR ORAL (INCLUDING ANY WARRANTY OF TITLE, MERCHANTABILITY, SATISFACTORY QUALITY, FITNESS FOR A PARTICULAR PURPOSE OR NON-INFRINGEMENT) TO THE EXTENT PERMITTED BY APPLICABLE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as Independent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EyePoint hereby appoints Imprimis as a non-exclusive independent agent of EyePoint and its Affiliates to promote and market Product to, and to solicit orders for Product from, Customers solely in the Territory, on the terms and conditions set forth in this Agreement. Imprimis hereby accepts such appointment.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Sub-Agents</w:t>
      </w:r>
      <w:r>
        <w:rPr>
          <w:rFonts w:ascii="Times New Roman" w:cs="Times New Roman" w:eastAsia="Times New Roman" w:hAnsi="Times New Roman"/>
          <w:sz w:val="18"/>
          <w:szCs w:val="18"/>
          <w:color w:val="auto"/>
        </w:rPr>
        <w:t>. Imprimis shall have the right to appoint or authorize sub-agents under this Agreement only with EyePoint’s prior written consent, which shall not be unreasonably withheld, conditioned or delayed. Imprimis shall be responsible for each such sub-agent’s compliance with all terms and conditions of this Agreement applicable to Imprimis and shall be liable for any and all breaches by such sub-agent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3.3.1 The rights granted to Imprimis hereunder relate solely to the Products on the terms and conditions of this Agreement. Imprimis shall have no right to promote, market or solicit orders for any other EyePoint product unless otherwise expressly approved in writing by EyePoint in its sole discretion. Imprimis is not granted any right or license to sell or distribute Product.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3.3.2 Neither Imprimis nor any of its Affiliates shall act as an agent or as a legal representative of EyePoint or its Affiliates, and Imprimis and its Affiliates shall not have any right or power to act for or bind EyePoint or its Affiliates in any respect or to pledge its credit. The detailed operations of each Party and its Affiliates under this Agreement are subject to the sole control and management of such Party and its Affiliates.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Customer Inquiries</w:t>
      </w:r>
      <w:r>
        <w:rPr>
          <w:rFonts w:ascii="Times New Roman" w:cs="Times New Roman" w:eastAsia="Times New Roman" w:hAnsi="Times New Roman"/>
          <w:sz w:val="18"/>
          <w:szCs w:val="18"/>
          <w:color w:val="auto"/>
        </w:rPr>
        <w:t>. From and after [***]days after the Effective Date, if Imprimis receives a bona fide inquiry for sale of Product from a Third Party that is not an existing Customer, Imprimis shall have the right to provide written notice thereof to EyePoint, which notice shall identify the applicable Third Party. Such Third Party may be added as a Customer by the Commercialization Committee, which shall also determine Baseline Period and Baseline Quarterly Amount for such Customer, if any. Notwithstanding anything to the contrary herein, if (a) any such Third Party has not purchased at least [***]units of Product in the [***]month period prior to Imprimis’ written notice set forth above, (b) such Third Party is not added as a Customer by the Commercialization Committee, and (c) such Third Party purchases Product within [***]months after Imprimis’ written notice, then such Third Party shall automatically be added as a Customer hereunder effective as of the date of such written notice. For the avoidance of doubt, any Product inquiries received by Imprimis from potential Customers prior to the end of such [***]day period, and not previously included under the definition of “Customers” herein, may be disclosed to EyePoint by written notice and addressed on a case-by-case basis by the Commercialization Committee. Notwithstanding the preceding sentence, in the event a prospective Customer has commenced Product training with EyePoint prior to or during such [***]day period, then EyePoint shall notify Imprimis promptly in writing of such commencement of Product training; Imprimis shall then promptly disclose to EyePoint a written summary of communications Imprimis is having or has had with such prospective Customer; and then the status of such prospective Customer shall be addressed on a case-by-case basis by mutual agreement of the Parties.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Rights or Licenses</w:t>
      </w:r>
      <w:r>
        <w:rPr>
          <w:rFonts w:ascii="Times New Roman" w:cs="Times New Roman" w:eastAsia="Times New Roman" w:hAnsi="Times New Roman"/>
          <w:sz w:val="18"/>
          <w:szCs w:val="18"/>
          <w:color w:val="auto"/>
        </w:rPr>
        <w:t>. Only rights and licenses expressly granted herein shall be of legal force and effect. No license or other right shall be created hereunder by implication, estoppel or otherwise.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Pricing</w:t>
      </w:r>
      <w:r>
        <w:rPr>
          <w:rFonts w:ascii="Times New Roman" w:cs="Times New Roman" w:eastAsia="Times New Roman" w:hAnsi="Times New Roman"/>
          <w:sz w:val="18"/>
          <w:szCs w:val="18"/>
          <w:color w:val="auto"/>
        </w:rPr>
        <w:t>. Notwithstanding any other provision of this Agreement, EyePoint shall have sole decision-making authority with respect to the price of any Product. Further, for purposes of clarity and the avoidance of doubt, without the express written consent of EyePoint, which EyePoint may withhold, condition or refuse in its sole and absolute discretion, at no time shall Imprimis or its Affiliates, representatives or agents, promote, create or establish bundled offerings or package deals for the Product in combination with any other product or service.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Limited Exclusivity</w:t>
      </w:r>
      <w:r>
        <w:rPr>
          <w:rFonts w:ascii="Times New Roman" w:cs="Times New Roman" w:eastAsia="Times New Roman" w:hAnsi="Times New Roman"/>
          <w:sz w:val="18"/>
          <w:szCs w:val="18"/>
          <w:color w:val="auto"/>
        </w:rPr>
        <w:t>. EyePoint shall not knowingly or intentionally perform any act that could reasonably conflict with EyePoint’s appointment of Imprimis as an independent agent. In addition to and without limiting the generality of the foregoing, EyePoint (a) shall not (and shall cause its Affiliates not to) engage or appoint any Third-Party compounding pharmacy or outsourcing facility (as defined and described in 21 U.S.C. §353a and §353b) as an independent sales agent for Product in the Territory, and (b) shall not solicit, initiate or encourage submission of proposals or offers from any Third-Party compounding pharmacy or outsourcing facility to become an independent sales agent for Product in the Territory. For the avoidance of doubt, this excludes any contractual relationship EyePoint may have or may enter into with its customers or distributors, or with third parties related to such relationships, such as group purchasing organizations, from time-to-time.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EyePoint shall not, knowingly or intentionally, do any of the following: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3.8.1 enter into any transaction with any sub-agent of Imprimis or of Imprimis’, its Affiliate’s, or its sub-agent’s employees, contractors or consultants similar to, in competition with, or which could have the effect of preventing Imprimis from receiving the full benefit of the appointment under Section 3.1;</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3.8.2 solicit any of the foregoing to enter into any such a transaction;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3.8.3 induce, solicit, procure or otherwise encourage any of EyePoint’s Affiliates or distributors to enter into any such transaction.</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Imprimis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Marketing, Promotion and Solicitation of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4.1.1 Imprimis shall use Commercially Reasonable Efforts to cause Customers to become customers for Product and to promote and market the Product in the Territory and subject to and otherwise in accordance with the terms and conditions of this Agreement. Imprimis shall dedicate no fewer of its sales representatives, sub-agents and approved contractors on a full time basis with Product as their highest priority and primary promoted product throughout the duration of the Term than may be reasonably necessary to cause the Customers to become customers for Product. Imprimis shall ensure that all such sales representatives, sub-agents and approved contractors are trained by Imprimis to be familiar with all appropriate requirements of this Agreement which are relevant to their performance of their duties as a sales agent for the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4.1.2 Imprimis shall not use any advertising, promotional or other sales literature or materials to promote or market the Products other than the Marketing Materials or other literature or materials expressly approved in advance in writing by EyePoint. Notwithstanding the foregoing, if EyePoint provides Imprimis with electronic copies of any Marketing Materials, Imprimis shall have the right to make copies thereof to the extent necessary to perform its obligations under this Agreement. Imprimis shall not make any false or misleading statement, or any representation or warranty, oral or written, to any Third Party concerning the Products that is inconsistent with, in excess of, or contrary to, the Marketing Materials or other literature or materials expressly approved in advance in writing by EyePoint, or that is disparaging to the Products, EyePoint or any of EyePoint’s Affiliates.</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4.1.3 Imprimis shall adhere to EyePoint’s ordering and distribution system with respect to all orders for the Products from Customers in the Territory that it receives.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4.1.4 If any Third Party makes an inquiry regarding a Product or its use, Imprimis shall promptly address such matter in accordance with procedures and other instructions provided in writing by EyePoint;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if such inquiry specifically relates to customer service or product support for a Product, Imprimis shall forward such inquiry to EyePoint; and (b) if such inquiry relates to a warranty claim or other complaint related to a Product, then Imprimis shall provide to EyePoint all information reasonably related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At each meeting of the Commercialization Committee, Imprimis shall report to EyePoint in writing as well as orally summarizing in reasonable detail its and its approved sub-agents’ sales calls or other contacts with, and the progress and development of Customers for the Products in the Territory.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Warranty Claims</w:t>
      </w:r>
      <w:r>
        <w:rPr>
          <w:rFonts w:ascii="Times New Roman" w:cs="Times New Roman" w:eastAsia="Times New Roman" w:hAnsi="Times New Roman"/>
          <w:sz w:val="18"/>
          <w:szCs w:val="18"/>
          <w:color w:val="auto"/>
        </w:rPr>
        <w:t>. Imprimis shall promptly notify EyePoint of each customer warranty claim relating to a Product received by Imprimis.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Recalls</w:t>
      </w:r>
      <w:r>
        <w:rPr>
          <w:rFonts w:ascii="Times New Roman" w:cs="Times New Roman" w:eastAsia="Times New Roman" w:hAnsi="Times New Roman"/>
          <w:sz w:val="18"/>
          <w:szCs w:val="18"/>
          <w:color w:val="auto"/>
        </w:rPr>
        <w:t>. In the event of a Product incident, recall or field safety corrective action initiated by or on behalf of EyePoint or by a regulatory agency or court, following written notice thereof from EyePoint, Imprimis shall reasonably cooperate with EyePoint in effecting the reporting of an incident or the recall of the affected Products. EyePoint shall be responsible, at its sole expense, for conducting any recalls or field safety corrective actions pertaining to the Products, and EyePoint shall reimburse Imprimis for all out-of-pocket costs and expenses reasonably incurred by Imprimis in cooperating with EyePoint pursuant to the terms of this Section 4.4, except to the extent such costs and expenses result from Imprimis’ gross negligence, fraud or willful misconduct.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Cooperation with EyePoint</w:t>
      </w:r>
      <w:r>
        <w:rPr>
          <w:rFonts w:ascii="Times New Roman" w:cs="Times New Roman" w:eastAsia="Times New Roman" w:hAnsi="Times New Roman"/>
          <w:sz w:val="18"/>
          <w:szCs w:val="18"/>
          <w:color w:val="auto"/>
        </w:rPr>
        <w:t>. Imprimis shall provide such assistance as reasonably requested by EyePoint in connection with all Registrations for the Products, and all contacts with the applicable regulatory authorities in connection therewith, reasonably required to permit Imprimis to promote and market the Products to, and to solicit orders for the Products, from Customers in the Territory pursuant to the terms of this Agreement.</w:t>
      </w:r>
    </w:p>
    <w:p>
      <w:pPr>
        <w:spacing w:after="0" w:line="176"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EyePoint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Training for Imprimis Personnel</w:t>
      </w:r>
      <w:r>
        <w:rPr>
          <w:rFonts w:ascii="Times New Roman" w:cs="Times New Roman" w:eastAsia="Times New Roman" w:hAnsi="Times New Roman"/>
          <w:sz w:val="18"/>
          <w:szCs w:val="18"/>
          <w:color w:val="auto"/>
        </w:rPr>
        <w:t>. EyePoint shall provide Imprimis technical and sales personnel with such training regarding the Products as EyePoint customarily provides to its personnel. Such training shall be conducted at such reasonable times and places as mutually agreed by the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Marketing, Promotion and Sales Support</w:t>
      </w:r>
      <w:r>
        <w:rPr>
          <w:rFonts w:ascii="Times New Roman" w:cs="Times New Roman" w:eastAsia="Times New Roman" w:hAnsi="Times New Roman"/>
          <w:sz w:val="18"/>
          <w:szCs w:val="18"/>
          <w:color w:val="auto"/>
        </w:rPr>
        <w:t>. EyePoint, in collaboration with Imprimis, shall support the marketing, promotion and sales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by Imprimis in the Territory by the following:</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5.2.1 EyePoint shall use Commercially Reasonable Efforts to maintain all necessary Registrations and patent rights or other intellectual property rights related to Product.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5.2.2 EyePoint or its Affiliates shall provide Imprimis with (a) reasonable access to and assistance of its technical, sales, and service personnel, (b) reasonable technical information regarding Products, and (c) reasonable product specialist detailing and sales support, in each case, as reasonably necessary to support Imprimis detail calls regarding Products with Imprimis existing or future Customers in the Territory, as EyePoint customarily provides in the Territory, and without charge to Imprimis except as may be otherwise mutually agreed in writing.</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5.2.3 EyePoint shall provide Imprimis with electronic or hard copies of Marketing Materials, package inserts and labeling, and technical information regarding the Products and their proper use.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Orders and Distributor Portal Access</w:t>
      </w:r>
      <w:r>
        <w:rPr>
          <w:rFonts w:ascii="Times New Roman" w:cs="Times New Roman" w:eastAsia="Times New Roman" w:hAnsi="Times New Roman"/>
          <w:sz w:val="18"/>
          <w:szCs w:val="18"/>
          <w:color w:val="auto"/>
        </w:rPr>
        <w:t>. If Imprimis receives an order for Product (from a Customer or other Third Party), it shall promptly transmit such order to EyePoint through EyePoint’s authorized distributors for the Product for acceptance or rejection. EyePoint’s distributors shall have final authority to accept or reject customer orders, subject to normal evaluation of creditworthiness, contract coverage or other reasonable customer acceptance measures as such EyePoint distributors may determine. At no time shall Imprimis have any power or authority to accept or reject orders on behalf of EyePoint or the authorized distributors of EyePoint, nor shall Imprimis represent explicitly or implicitly to any Third Party that it has such authority. With respect to Customers, EyePoint shall provide Imprimis with access to its distributors’ electronic ordering, inventory, and sales portals for the Product, and to the extent such access is unavailable, EyePoint shall notify Imprimis in writing of such acceptance of Customer orders within fifteen (15) days after receipt thereof.</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Promptly after Imprimis’ reasonable request from time to time, EyePoint shall disclose to Imprimis the current inventory of Product held by EyePoint’s distributors. EyePoint shall use Commercially Reasonable Efforts to ensure that its distributors maintain inventory of Product sufficient to meet anticipated customer demand for Product. Imprimis shall provide to EyePoint, on a quarterly basis, a rolling twelve-month forecast of projected sales of Product to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Quarterly Reports</w:t>
      </w:r>
      <w:r>
        <w:rPr>
          <w:rFonts w:ascii="Times New Roman" w:cs="Times New Roman" w:eastAsia="Times New Roman" w:hAnsi="Times New Roman"/>
          <w:sz w:val="18"/>
          <w:szCs w:val="18"/>
          <w:color w:val="auto"/>
        </w:rPr>
        <w:t>. Promptly after the end of each calendar quarter during the term of the Agreement, EyePoint shall provide Imprimis with a report setting forth in such detail as reasonably requested by Imprimis the volume of Product sales for such quarter for each Customer of Product.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Sale and Shipment</w:t>
      </w:r>
      <w:r>
        <w:rPr>
          <w:rFonts w:ascii="Times New Roman" w:cs="Times New Roman" w:eastAsia="Times New Roman" w:hAnsi="Times New Roman"/>
          <w:sz w:val="18"/>
          <w:szCs w:val="18"/>
          <w:color w:val="auto"/>
        </w:rPr>
        <w:t>. With respect to each order for Product by a Customer accepted by an EyePoint distributor, EyePoint shall use Commercially Reasonable Efforts to ensure that such distributor (or any other distributor) sells and ships (or cause to sell and ship) such Product to such Customer in accordance with such order.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Warranty Claims and Returns</w:t>
      </w:r>
      <w:r>
        <w:rPr>
          <w:rFonts w:ascii="Times New Roman" w:cs="Times New Roman" w:eastAsia="Times New Roman" w:hAnsi="Times New Roman"/>
          <w:sz w:val="18"/>
          <w:szCs w:val="18"/>
          <w:color w:val="auto"/>
        </w:rPr>
        <w:t>. As between the Parties, EyePoint shall be responsible for all warranty claims and returns for Products.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EyePoint shall be solely responsible for obtaining and maintaining any Registrations, in the name of EyePoint, that may be necessary to permit the promotion, marketing and sale of the Products in the Territory. EyePoint shall own and maintain all regulatory filings and Registrations for the Products in its own name, shall be the Legal Manufacturer of the Products, and shall be responsible for and act as the sole point of contact with the applicable regulatory authorities in connection therewith.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Pass-Through Status</w:t>
      </w:r>
      <w:r>
        <w:rPr>
          <w:rFonts w:ascii="Times New Roman" w:cs="Times New Roman" w:eastAsia="Times New Roman" w:hAnsi="Times New Roman"/>
          <w:sz w:val="18"/>
          <w:szCs w:val="18"/>
          <w:color w:val="auto"/>
        </w:rPr>
        <w:t>. EyePoint shall use Commercially Reasonable Efforts to maintain Pass-Through Payment Status, and, if Pass-Through Payment Status ceases, EyePoint shall promptly notify Imprimis in writing thereof.</w:t>
      </w:r>
    </w:p>
    <w:p>
      <w:pPr>
        <w:spacing w:after="0" w:line="162"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Commercialization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7.1.1 The Commercialization Committee shall comprise one (1) representative of EyePoint and one (1) representative of Imprimis, each with appropriate decision making authority on behalf of such Party. Each Party shall appoint its representative to the Commercialization Committee prior to the first meeting thereof, and may substitute its representative from time to time, in its sole discretion, effective upon written notice to the other Party of such change, but shall use commercially reasonable efforts to maintain stability of Commercialization Committee representation.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7.1.2 The purpose of the Commercialization Committee under this Agreement shall be (a) to facilitate the exchange of information between the Parties, (b) to review and discuss the activities of the Parties under this Agreement, (c) to review, consider and make recommendations for modifications to the Marketing Materials, (d) to add Third Parties referred under Section 3.4 as Customers to this Agreement and to determine the Baseline Period for such Customers pursuant to criteria mutually agreed by the Parties in writing, and (e) to review other information relating to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7.1.3 The Commercialization Committee shall meet at such places or in such forms (such as by telephone conference) as determined by mutual agreement of the Parties. Each Party may permit such visitors to a meeting of the Commercialization Committee as mutually agreed by the Parties prior to such meeting; provided, that a Party may require each such visitor to execute an appropriate confidentiality agreement. Each Party shall be responsible for its own costs in connection with the meetings of the Commercialization Committee. The representative of each Party shall be entitled to one</w:t>
      </w:r>
    </w:p>
    <w:p>
      <w:pPr>
        <w:spacing w:after="0" w:line="3" w:lineRule="exact"/>
        <w:rPr>
          <w:sz w:val="20"/>
          <w:szCs w:val="20"/>
          <w:color w:val="auto"/>
        </w:rPr>
      </w:pPr>
    </w:p>
    <w:p>
      <w:pPr>
        <w:jc w:val="both"/>
        <w:ind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Except as expressly provided herein, each determination or other action of the Commercialization Committee shall require unanimous approval by the representatives of both Parties. If the Commercialization Committee is unable to reach such unanimous approval, then each Party shall have the right to escalate the applicable issue to the Joint Steering Committee upon written notice to the other Party.</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7.1.4 The first meeting of the Commercialization Committee shall occur within two (2) business days after the Effective Date. Thereafter, for the first thirty (30)-day period following the Effective Date, the Commercialization Committee shall meet weekly. After such thirty (30)-day period, the Commercialization Committee shall meet no less frequently than monthly.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7.1.5 Within ten (10) days after each Commercialization Committee meeting, a Commercialization Committee representative of one of Parties, on an alternating basis, shall prepare and provide to each Party a copy of the minutes of such meeting which shall set forth, in reasonably specific detail, the discussions and any approval, determination or other action agreed to by all of the members of the Commercialization Committee. Such minutes shall be subject to the reasonable comment and approval by the other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Joint Steering 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7.2.1 The Joint Steering Committee shall comprise an equal number of representatives of EyePoint and of Imprimis, as determined by mutual agreement of the Parties. Initially, the Joint Steering Committee shall comprise one (1) C-suite executive of EyePoint as EyePoint’s representative and one (1) board member or C-suite executive of Imprimis as Imprimis’ representative. Each Party shall appoint its representative to the Joint Steering Committee prior to the first meeting thereof, and from time to time may substitute its representative with another C-suite executive decision maker of such Party, in its sole discretion, effective upon written notice to the other Party of such change, but shall use commercially reasonable efforts to maintain stability of Joint Steering Committee representation.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7.2.2 The purpose of the Joint Steering Committee under this Agreement shall be (a) to resolve disputes of the Commercialization Committee, (b) to oversee the Commercialization Committee and otherwise review and discuss the activities of the Parties under this Agreement and (c) from time to time, to establish subcommittees to oversee particular projects or activities under this Agreement. Any subcommittee shall be constituted and shall operate as determined by the Joint Steering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7.2.3 The Joint Steering Committee shall meet at such places or in such forms (such as by telephone conference) as determined by mutual agreement of the Parties. Each Party may permit such visitors to a meeting of the Joint Steering Committee as mutually agreed by the Parties prior to such meeting. Each Party shall be responsible for its own costs in connection with the meetings of the Joint Steering Committee. The representative of each Party shall be entitled to one (1) vote. Except as expressly provided herein, each determination or other action of the Joint Steering Committee shall require unanimous approval by the representatives of both Parties. [***].</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7.2.4 The Joint Steering Committee shall meet no less frequently than quarterly.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7.2.5 Within ten (10) days after each Joint Steering Committee meeting, a Joint Steering Committee representative of one of Parties, on an alternating basis, shall prepare and provide to each Party a copy of the minutes of such meeting which shall set forth, in reasonably specific detail, the discussions and any approval, determination or other action agreed to by all of the members of the Joint Steering Committee. Such minutes shall be subject to the reasonable comment and approval by the other Party.</w:t>
      </w:r>
    </w:p>
    <w:p>
      <w:pPr>
        <w:spacing w:after="0" w:line="180"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Terms and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Remittance Amount</w:t>
      </w:r>
      <w:r>
        <w:rPr>
          <w:rFonts w:ascii="Times New Roman" w:cs="Times New Roman" w:eastAsia="Times New Roman" w:hAnsi="Times New Roman"/>
          <w:sz w:val="18"/>
          <w:szCs w:val="18"/>
          <w:color w:val="auto"/>
        </w:rPr>
        <w:t>. EyePoint shall calculate a remittance amount, representing a sales commission to Imprimis, for each calendar quarter based on the following formula: [***]. This calculation will be prepared separately for Group A Customers, Group B Customers and any future Customers added by the Commercialization Committee. For clarity, for a Customer added to this Agreement during a calendar quarter, “A” will include only that portion of Customer Demand for that portion of such quarter that such Customer constitutes a Customer hereunder, and “B” will include only the corresponding Baseline Demand for such portion of such quarter for such Customer.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Within twenty-one (21) days after the end of each calendar quarter during the term of this Agreement, EyePoint shall deliver to Imprimis a report estimating in reasonable detail for such calendar quarter a calculation of the applicable Remittance Amount, including the Customer Demand and Baseline Quarterly Amount for each Customer.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8.3.1 The Remittance Amount shown to have accrued by each report provided for under Section 8.2 shall be due within [***]after the end of the applicable calendar quarter other than the last calendar quarter in each applicable calendar year. A prepayment of a portion of the Remittance Amount shall be made in accordance with Section 8.3.2.</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8.3.2 Within thirty (30) days after the end of each applicable calendar quarter, EyePoint shall pay to Imprimis a prepayment of a portion of the Remittance Amount for such calendar quarter equal to the Remittance Amount for the immediately preceding calendar quarter divided by three (3). Notwithstanding the preceding sentence, there shall be no prepayment of the Remittance Amount for a particular quarter if the Remittance Amount for such calendar quarter is lower than the calculated prepayment. The Parties shall discuss in good faith on an annual basis any potential adjustments to the foregoing prepayment amount based on EyePoint’s then calculated receivables days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8.3.3 EyePoint shall have the right to reasonably estimate the Customer Demand and Net Selling Price for purposes of its payment and reporting obligations under Section 8.2 and this Section 8.3 determined in good faith based on the most current data then available to EyePoint; provided, however, that EyePoint shall substitute the actual value for such Customer Demand, recalculate the Remittance Amount, and update its report under Section 8.2 prior to or by the following annual reconciliation set forth in Section 8.4.</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Annual Reconciliation</w:t>
      </w:r>
      <w:r>
        <w:rPr>
          <w:rFonts w:ascii="Times New Roman" w:cs="Times New Roman" w:eastAsia="Times New Roman" w:hAnsi="Times New Roman"/>
          <w:sz w:val="18"/>
          <w:szCs w:val="18"/>
          <w:color w:val="auto"/>
        </w:rPr>
        <w:t>. Within one hundred twenty (120) days after the end of each calendar year, EyePoint will conduct a final calculation of the full calendar year Remittance Amount. Such calculation will be based on the Net Selling Price and the Customer Demand (each, as calculated for the full calendar year). If the Remittance Amount actually paid is less than the amount calculated pursuant to such annual review process, then EyePoint shall promptly pay to Imprimis an amount equal to such underpayment. If the Remittance Amount actually paid is greater than the amount calculated pursuant to such annual review process, then EyePoint may reduce the amount of the Remittance Amount payable pursuant to Section 8.3.1 or direct Imprimis to (and Imprimis shall promptly) pay to EyePoint an amount equal to such overpayment.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Records Retention</w:t>
      </w:r>
      <w:r>
        <w:rPr>
          <w:rFonts w:ascii="Times New Roman" w:cs="Times New Roman" w:eastAsia="Times New Roman" w:hAnsi="Times New Roman"/>
          <w:sz w:val="18"/>
          <w:szCs w:val="18"/>
          <w:color w:val="auto"/>
        </w:rPr>
        <w:t>. For a period of two (2) years after payment of the applicable Remittance Amount, EyePoint shall, and shall cause its Affiliates to, keep and maintain complete and accurate books and records pertaining to calculation of Customer Demand, Net Selling Price, Net Sales and the Remittance Amount, and in sufficient detail to confirm the accuracy of the calculations of Customer Demand, Net Selling Price and the Remittance Amount payments hereunder.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Audits</w:t>
      </w:r>
      <w:r>
        <w:rPr>
          <w:rFonts w:ascii="Times New Roman" w:cs="Times New Roman" w:eastAsia="Times New Roman" w:hAnsi="Times New Roman"/>
          <w:sz w:val="18"/>
          <w:szCs w:val="18"/>
          <w:color w:val="auto"/>
        </w:rPr>
        <w:t>. Upon the written request of Imprimis and not more than once in each calendar year, EyePoint shall permit an independent certified public accounting firm selected by Imprimis and reasonably acceptable to EyePoint, at Imprimis’ expense, to have access during normal business hours to such of the financial records of EyePoint associated with this Agreement as may be reasonably necessary to verify the accuracy of the Remittance Amount reports hereunder for the eight (8) calendar quarters immediately prior to the date of such request. If such accounting firm concludes that additional amounts were owed during the audited period, EyePoint shall pay such additional amounts within thirty (30) days after the date Imprimis delivers to EyePoint such accounting firm’s written report so concluding. The fees charged by such accounting firm shall be paid by Imprimis; provided, however, if the audit discloses that the Remittance Amount payable by EyePoint for such period are more than one hundred five percent (105%) of the Remittance Amount actually paid for such period, then EyePoint shall pay the reasonable fees and expenses charged by such accounting firm. Imprimis shall cause its accounting firm to retain all financial information subject to review under this Section 8.6 in strict confidence. Imprimis shall treat all such financial and other disclosed information as EyePoint’s confidential information and shall not disclose such financial information to any Third Party or use it for any purpose other than as specified in this Section 8.6.</w:t>
      </w:r>
    </w:p>
    <w:p>
      <w:pPr>
        <w:spacing w:after="0" w:line="192" w:lineRule="exact"/>
        <w:rPr>
          <w:sz w:val="20"/>
          <w:szCs w:val="20"/>
          <w:color w:val="auto"/>
        </w:rPr>
      </w:pPr>
    </w:p>
    <w:p>
      <w:pPr>
        <w:jc w:val="both"/>
        <w:ind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Warranty</w:t>
      </w:r>
      <w:r>
        <w:rPr>
          <w:rFonts w:ascii="Times New Roman" w:cs="Times New Roman" w:eastAsia="Times New Roman" w:hAnsi="Times New Roman"/>
          <w:sz w:val="18"/>
          <w:szCs w:val="18"/>
          <w:color w:val="auto"/>
        </w:rPr>
        <w:t>. THE LIMITED WARRANTY FOR A PRODUCT SHALL BE ONLY AS SET FORTH ON THE INSERT ACCOMPANYING THE APPLICABLE PRODUCT. For the avoidance of doubt, Imprimis never takes legal title to any Product under this Agreement, and any Product warranty matters as between EyePoint and its customers are under the control and responsibility of EyePoint.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term of this Agreement, and for a period of ten (10) years following the expiration or earlier termination hereof, each Party shall maintain in confidence all Confidential Information of the other Party or its Affiliates (including all Confidential Information disclosed prior to the term of this Agreement pursuant to a written confidentiality agreement between the Parties), and shall not use, disclose or grant the use of the Confidential Information of the other Party except on a need-to-know basis to those directors, officers, employees, consultants or permitted assignees, to the extent such use or disclosure is reasonably necessary in connection with such Party’s activities as expressly authorized by this Agreement. To the extent that disclosure is authorized by this Agreement, prior to disclosure, each Party hereto shall obtain agreement of any such Person to hold in confidence and not make use of the Confidential Information of the other Party for any purpose other than those permitted by this Agreement. Each Party shall notify the other promptly upon discovery of any unauthorized use or disclosure of the Confidential Information of the other Party.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Terms of this Agreement</w:t>
      </w:r>
      <w:r>
        <w:rPr>
          <w:rFonts w:ascii="Times New Roman" w:cs="Times New Roman" w:eastAsia="Times New Roman" w:hAnsi="Times New Roman"/>
          <w:sz w:val="18"/>
          <w:szCs w:val="18"/>
          <w:color w:val="auto"/>
        </w:rPr>
        <w:t>. Except as otherwise provided in this Section 10, during the term of this Agreement and for a period of ten (10) years thereafter, neither Party shall disclose any terms or conditions of this Agreement to any Third Party without the prior consent of the other Party; provided, however, that a Party may disclose the terms and conditions of this Agreement, (a) in confidence on a need-to-know basis to its legal and financial advisors to the extent such disclosure is reasonably necessary, (b) in confidence in connection with the enforcement of this Agreement or rights under this Agreement, and (c) to a Third Party in confidence in connection with an actual or proposed (i) equity investment in, or a strategic alliance with, such Party or (ii) Change of Control of such Party. Notwithstanding the foregoing, prior to execution of this Agreement, the Parties have agreed in writing upon the substance of information that can be used to describe the terms of this transaction, and each Party may disclose such information, as modified by mutual agreement from time to time, without the other Party’s consent.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The confidentiality obligations contained in this Section 10 shall not apply to the extent that a Party is required (a) 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(b) to disclose information to any governmental agency for purposes of obtaining approval to test or market a product; provided, in either case ((a) or (b)), that, to the extent practicable, such Party shall provide written notice thereof to the other party and sufficient opportunity to object to any such disclosure or to request confidential treatment thereof. Notwithstanding anything to the contrary herein, each Party may disclose the terms and conditions of this Agreement to any Person with whom such Party has, or is proposing to enter into, a business relationship related to Product, as long as such Person has entered into a confidentiality agreement with such Party.</w:t>
      </w:r>
    </w:p>
    <w:p>
      <w:pPr>
        <w:spacing w:after="0" w:line="192" w:lineRule="exact"/>
        <w:rPr>
          <w:sz w:val="20"/>
          <w:szCs w:val="20"/>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EyePoint does not, either expressly or impliedly, grant any licenses to Imprimis under any patents owned or otherwise controlled by EyePoint or under which EyePoint has any rights, except the right to promote, market and solicit orders for the Products on the terms and subject to the conditions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EyePoint Marks</w:t>
      </w:r>
      <w:r>
        <w:rPr>
          <w:rFonts w:ascii="Times New Roman" w:cs="Times New Roman" w:eastAsia="Times New Roman" w:hAnsi="Times New Roman"/>
          <w:sz w:val="18"/>
          <w:szCs w:val="18"/>
          <w:color w:val="auto"/>
        </w:rPr>
        <w:t>. Subject to the terms and conditions of this Agreement and any reasonable use policy that may be provided in writing by EyePoint to Imprimis from time to time, EyePoint hereby grants to Imprimis a non-exclusive license (with the limited right to grant sublicenses to authorized sub-agents) to use the EyePoint Marks solely in connection with the promotion, marketing and soliciting orders for the Products in the Territory on the terms and subject to the conditions of this Agreement. Any goodwill associated with the EyePoint Marks affixed or applied or used in connection with the Products shall accrue to the sole benefit of EyePoint.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11.3.1 Imprimis hereby acknowledges that EyePoint or a Third Party has claimed, or may claim, copyright protection with respect to certain parts of the Products and the labels, inserts, studies, publications, Marketing Materials, promotional materials, and other materials related to the Products. Imprimis shall not knowingly take any action which is in any way inconsistent with EyePoint’s or such Third Party’s claim of copyright protection with respect to such items.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11.3.2 For clarity, nothing contained in this Section 11.3 shall prohibit Imprimis from copying and distributing to its sales representatives or in connection with its commercialization of Products hereunder Marketing Materials or materials prepared by or on behalf of EyePoint for the purpose of fulfilling Imprimis’ obligations under this Agreement, in each case, to the extent permitted hereunder. EyePoint hereby grants Imprimis a non-exclusive, royalty-free license (with the right to grant sublicenses to permitted sub-agents) to use, copy, display and distribute such materials solely for the purpose of fulfilling Imprimis’ obligations under this Agreement.</w:t>
      </w:r>
    </w:p>
    <w:p>
      <w:pPr>
        <w:spacing w:after="0" w:line="183"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By EyePoint</w:t>
      </w:r>
      <w:r>
        <w:rPr>
          <w:rFonts w:ascii="Times New Roman" w:cs="Times New Roman" w:eastAsia="Times New Roman" w:hAnsi="Times New Roman"/>
          <w:sz w:val="18"/>
          <w:szCs w:val="18"/>
          <w:color w:val="auto"/>
        </w:rPr>
        <w:t>. EyePoint shall defend, indemnify and hold harmless Imprimis, its sub-agents, its and their respective Affiliates, and its and their respective directors, officers, employees and agents from and against all losses, liabilities, damages and expenses (including reasonable attorneys’ fees and costs)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resulting from any claims, demands, actions or other proceedings by any Third Party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to the extent resulting from (a) the breach of any representation, warranty or covenant of EyePoint under this Agreement; (b) the use by any purchaser of, or any defect in, the Products, (c) the infringement, misappropriation or other violation of any intellectual property rights of a Third Party by or in connection with the Products;</w:t>
      </w:r>
    </w:p>
    <w:p>
      <w:pPr>
        <w:spacing w:after="0" w:line="3" w:lineRule="exact"/>
        <w:rPr>
          <w:sz w:val="20"/>
          <w:szCs w:val="20"/>
          <w:color w:val="auto"/>
        </w:rPr>
      </w:pPr>
    </w:p>
    <w:p>
      <w:pPr>
        <w:jc w:val="both"/>
        <w:ind w:firstLine="8"/>
        <w:spacing w:after="0" w:line="253" w:lineRule="auto"/>
        <w:tabs>
          <w:tab w:leader="none" w:pos="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negligence or willful misconduct of EyePoint or any of its Affiliates in the performance of its obligations under this Agreement; (e) any fraud or misrepresentations by EyePoint; (f) the authorized use of the EyePoint Marks under this Agreement; or (g) any violation by EyePoint (or any of its directors, officers, employees, distributors or agents) of any applicable laws, regulations or court orders; provided, however, that the foregoing indemnity obligation shall not apply to the extent that any Liability arises from, is based on, or results from any matter set forth in Section 12.2 for which Imprimis has an indemnification obligation.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By Imprimis</w:t>
      </w:r>
      <w:r>
        <w:rPr>
          <w:rFonts w:ascii="Times New Roman" w:cs="Times New Roman" w:eastAsia="Times New Roman" w:hAnsi="Times New Roman"/>
          <w:sz w:val="18"/>
          <w:szCs w:val="18"/>
          <w:color w:val="auto"/>
        </w:rPr>
        <w:t>. Imprimis shall defend, indemnify and hold harmless EyePoint, its Affiliates, and their respective directors, officers, employees and agents, from and against all Liabilities resulting from any Third-Party Claim to the extent resulting from (a) the breach of any representation, warranty or covenant of Imprimis under this Agreement; (b) the negligence or willful misconduct of Imprimis or any of its Affiliates, including its sales representatives, in the performance of its obligations under this Agreement; (c) any fraud or misrepresentations by Imprimis, or (d) any violation by Imprimis (or any of its directors, officers, employees or agents) of any applicable laws, regulations or court orders, provided, however, that the foregoing indemnity obligation shall not apply to the extent that any Liability arises from, is based on, or results from any matter set forth in Section 12.1 for which EyePoint has an indemnification obligation.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 Party seeking indemnification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promptly notify the other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of a Third-Party Claim; provided, that an Indemnitee’s failure to give such notice or delay in giving such notice shall not affect such Indemnitee’s right to indemnification under this Section 12 except to the extent that the Indemnifying Party has been prejudiced by such failure or delay. The Indemnifying Party shall have the right to control the defense of all indemnification claims hereunder. The Indemnitee shall have the right to participate at its own expense in the Third-Party Claim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or otherwise consent to an adverse judgment in any such Third-Party Claim that diminishes the rights or interests of the Indemnitee without the prior express written consent of the Indemnitee, which consent shall not be unreasonably withheld, conditioned or delayed.</w:t>
      </w:r>
    </w:p>
    <w:p>
      <w:pPr>
        <w:spacing w:after="0" w:line="188"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Unless terminated earlier, or extended, pursuant to this Agreement or by mutual written agreement of the Parties, this Agreement shall commence on the Effective Date and shall expire on fifth (5th) anniversary thereof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for Convenience</w:t>
      </w:r>
      <w:r>
        <w:rPr>
          <w:rFonts w:ascii="Times New Roman" w:cs="Times New Roman" w:eastAsia="Times New Roman" w:hAnsi="Times New Roman"/>
          <w:sz w:val="18"/>
          <w:szCs w:val="18"/>
          <w:color w:val="auto"/>
        </w:rPr>
        <w:t>. From and after August 1, 2021, provided that Imprimis has used Commercially Reasonable Efforts to market and promote Product to all Customers, Imprimis may terminate this Agreement for any reason or no reason upon twelve (12) months’ prior written notice of termination to EyePoint. For the avoidance of doubt, the earliest date of termination possible pursuant to this Section 13.2 is July 31, 2022. Should Imprimis exercise this provision, no sales commissions, calculated as a Remittance Amount, will be payable for sales beyond the date of termination.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End of Pass-Through Payment Status</w:t>
      </w:r>
      <w:r>
        <w:rPr>
          <w:rFonts w:ascii="Times New Roman" w:cs="Times New Roman" w:eastAsia="Times New Roman" w:hAnsi="Times New Roman"/>
          <w:sz w:val="18"/>
          <w:szCs w:val="18"/>
          <w:color w:val="auto"/>
        </w:rPr>
        <w:t>. If Pass-Through Payment Status ceases, then either Party may terminate this Agreement by providing ninety (90) days’ prior written notice of termination to the other Party promptly after the end of the calendar quarter in which Pass-Through Payment Status ceases.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13.4.1 A Party may terminate this Agreement upon or after any material breach of this Agreement by the other Party if the other Party has not cured such breach within sixty (60) days after written notice thereof from the non-breaching Party.</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13.4.2 If Imprimis fails to achieve bona fide Customer orders for quantities of Product to achieve the minimum sales level within the applicable minimum period (each as set forth in the table below), then EyePoint shall have the right to terminate this Agreement by providing sixty (60) days’ prior written notice of termination to Imprimis within sixty (60) days after the end of such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Minimum Sales Level (Customer Demand in</w:t>
            </w:r>
          </w:p>
        </w:tc>
      </w:tr>
      <w:tr>
        <w:trPr>
          <w:trHeight w:val="24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Period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excess of Baseline Demand for such period)</w:t>
            </w: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First Minimum Year</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right"/>
              <w:ind w:right="49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First Minimum Sales Period</w:t>
            </w:r>
          </w:p>
        </w:tc>
        <w:tc>
          <w:tcPr>
            <w:tcW w:w="5720" w:type="dxa"/>
            <w:vAlign w:val="bottom"/>
            <w:gridSpan w:val="2"/>
          </w:tcPr>
          <w:p>
            <w:pPr>
              <w:jc w:val="right"/>
              <w:ind w:right="49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Each subsequent Minimum Sales Period during the Term</w:t>
            </w:r>
          </w:p>
        </w:tc>
        <w:tc>
          <w:tcPr>
            <w:tcW w:w="5720" w:type="dxa"/>
            <w:vAlign w:val="bottom"/>
            <w:gridSpan w:val="2"/>
          </w:tcPr>
          <w:p>
            <w:pPr>
              <w:jc w:val="right"/>
              <w:ind w:right="497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If EyePoint undergoes a Change of Control, other than a Change of Control that results in an EW Healthcare Entity directly or indirectly controlling EyePoint, then EyePoint may terminate this Agreement by providing ninety (90) days’ prior written notice of termination to Imprimis within thirty (30) days after such Change of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Effect of Expiration or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13.6.1 Expiration or termination of this Agreement shall be without prejudice to any rights which shall have accrued to the benefit of a Party prior to such expiration or termination. In addition and without limiting the foregoing, Sections 2.4, 4.3, 4.4, 5.7, 9, 10, 12, 13.6 and 14 will survive any expiration or termination of this Agreement, and, unless a later survival end date is specified elsewhere in this Section 13.6, Sections 8.5 and 8.6 shall survive for a period of five (5) years after expiration or termination.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13.6.2 If Imprimis terminates this Agreement pursuant to Section 13.4.1, then Section 8 (other than Sections 8.5 and 8.6) shall additionally survive until the fifth (5th) anniversary of the Effective Date, and Sections 8.5 and 8.6 shall survive until the seventh (7th) anniversary of the Effective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13.6.3 If EyePoint terminates this Agreement pursuant to Section 13.4.2, then Section 8 (other than Sections 8.5 and 8.6) shall not survive after termination and all payments under Section 8 expire on the date of termination, and Sections 8.5 and 8.6 shall survive for a period of three (3) years after termination.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ind w:left="1300"/>
        <w:spacing w:after="0"/>
        <w:rPr>
          <w:sz w:val="20"/>
          <w:szCs w:val="20"/>
          <w:color w:val="auto"/>
        </w:rPr>
      </w:pPr>
      <w:r>
        <w:rPr>
          <w:rFonts w:ascii="Times New Roman" w:cs="Times New Roman" w:eastAsia="Times New Roman" w:hAnsi="Times New Roman"/>
          <w:sz w:val="18"/>
          <w:szCs w:val="18"/>
          <w:color w:val="auto"/>
        </w:rPr>
        <w:t>13.6.4 If Imprimis terminates this Agreement pursuant to Section 13.2 all payments under Section 8 expire on the date of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section 13.5 will not apply if Imprimis terminates pursuant to Section 13.2.</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13.6.5 If EyePoint terminates this Agreement pursuant to Section 13.5, then Section 8 (other than Sections 8.5 and 8.6) shall additionally survive until the fifth (5th) anniversary of the Effective Date, and Sections 8.5 and 8.6 shall survive until the seventh (7th) anniversary of the Effective Date, except that the Remittance Percentages set forth in Section 8.1 shall equal the applicable percentage(s) for the applicable period(s) as set forth in the table below instead of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 of Termination</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Remittance Percentage</w:t>
            </w:r>
          </w:p>
        </w:tc>
      </w:tr>
      <w:tr>
        <w:trPr>
          <w:trHeight w:val="234"/>
        </w:trPr>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 2022, or 2023</w:t>
            </w:r>
          </w:p>
        </w:tc>
        <w:tc>
          <w:tcPr>
            <w:tcW w:w="220" w:type="dxa"/>
            <w:vAlign w:val="bottom"/>
          </w:tcPr>
          <w:p>
            <w:pPr>
              <w:spacing w:after="0"/>
              <w:rPr>
                <w:sz w:val="20"/>
                <w:szCs w:val="20"/>
                <w:color w:val="auto"/>
              </w:rPr>
            </w:pPr>
          </w:p>
        </w:tc>
        <w:tc>
          <w:tcPr>
            <w:tcW w:w="6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 the twelve (12)-month period commencing on termination</w:t>
            </w:r>
          </w:p>
        </w:tc>
      </w:tr>
      <w:tr>
        <w:trPr>
          <w:trHeight w:val="414"/>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 the following twelve (12)-month period</w:t>
            </w:r>
          </w:p>
        </w:tc>
      </w:tr>
      <w:tr>
        <w:trPr>
          <w:trHeight w:val="432"/>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[***]thereafter until the fifth (5th) anniversary of the Effective Date</w:t>
            </w: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[***]for the twelve (12)-month period commencing on termination</w:t>
            </w:r>
          </w:p>
        </w:tc>
      </w:tr>
      <w:tr>
        <w:trPr>
          <w:trHeight w:val="432"/>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[***]thereafter until the fifth (5th) anniversary of the Effective Date</w:t>
            </w: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[***]until the fifth (5th) anniversary of the Effective Date</w:t>
            </w:r>
          </w:p>
        </w:tc>
      </w:tr>
    </w:tbl>
    <w:p>
      <w:pPr>
        <w:spacing w:after="0" w:line="19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13.6.6 Except as otherwise expressly set forth in this Agreement, promptly upon the expiration or earlier termination of this Agreement, each Party shall return to the other Party all tangible items regarding the Confidential Information of the other Party and all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Party shall have the right to retain one (1) copy for its legal files for the sole purpose of determining its obligations hereunder and for purposes of exercising any rights that survive expiration or termination hereunder.</w:t>
      </w:r>
    </w:p>
    <w:p>
      <w:pPr>
        <w:spacing w:after="0" w:line="180"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HIPAA Requirements</w:t>
      </w:r>
      <w:r>
        <w:rPr>
          <w:rFonts w:ascii="Times New Roman" w:cs="Times New Roman" w:eastAsia="Times New Roman" w:hAnsi="Times New Roman"/>
          <w:sz w:val="18"/>
          <w:szCs w:val="18"/>
          <w:color w:val="auto"/>
        </w:rPr>
        <w:t>. Without limiting the generality of anything set forth in this Agreement, each Party shall comply with all applicable regulations promulgated under HIPAA, including the federal privacy regulations contained in 45 C.F.R. Parts 160 and 164, the federal security standards contained in 45 C.F.R. Part 142, and the federal standards for electronic transactions contained in 45 C.F.R. Parts 160 and 162 (the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Requirements</w:t>
      </w:r>
      <w:r>
        <w:rPr>
          <w:rFonts w:ascii="Times New Roman" w:cs="Times New Roman" w:eastAsia="Times New Roman" w:hAnsi="Times New Roman"/>
          <w:sz w:val="18"/>
          <w:szCs w:val="18"/>
          <w:color w:val="auto"/>
        </w:rPr>
        <w:t>”). Each Party shall not use or further disclose any protected health information as described in the HIPAA Requirements, other than as permitted by HIPAA Requirements and the terms of this Agreement. Each Party shall make its internal practices, books, and records relating to the use and disclosure of Protected Health Information (as defined in HIPAA) available to the Secretary of Health and Human Services to the extent required for determining compliance with the HIPAA Requirements.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Each of Imprimis and EyePoint shall use Commercially Reasonable Efforts to conduct its business in a manner that reflects favorably on the reputation of each of EyePoint and Imprimis, respectively; provided, that this shall not limit a Party’s ability to fully exercise its rights under this Agreement.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EyePoint and Imprimis shall comply with any and all governmental laws, regulations and orders applicable to the Registration, promotion, marketing, sale and distribution of the Products in the Territory and to relationships with health care professionals, including, with respect to Imprimis, any requirement to be registered as EyePoint’s independent agent with any governmental authority.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maintain self-insurance or general commercial liability insurance, including contractual liability insurance and product liability insurance against claims regarding its activities contemplated by this Agreement, in each case in such amounts as it customarily maintains for similar products and activities. Each Party shall maintain such insurance during the term of this Agreement and thereafter for so long as it maintains insurance for itself covering such activities.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of Imprimis and EyePoint shall be responsible for all of its own expenses and employees in connection with its activities contemplated by this Agreement. Neither Imprimis nor EyePoint shall incur any expense chargeable to such other Party, except as may be specifically authorized in advance in writing in each case by such other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understanding of the Parties with respect to the subject matter hereof. The Exhibits attached hereto constitute part of this Agreement. All express or implied representations, agreements and understandings with respect to the subject matter hereof, either oral or written, heretofore made are expressly superseded by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or modification of the terms of this Agreement shall be binding on either Party unless reduced to writing and signed by an authorized officer of the Party to be bound.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EyePoint and Imprimis each shall perform any and all further acts and execute and deliver any and all further documents and instruments that may be necessary to carry out the provisions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consent, notice or report required or permitted to be given or made under this Agreement by one of the Parties to the other shall be in writing and addressed to such other Party at its address indicated below, or to such other address as the addressee shall have last furnished in writing to the addressor, and shall be effective upon receipt by the addressee.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7"/>
          <w:szCs w:val="17"/>
          <w:color w:val="auto"/>
        </w:rPr>
        <w:t>If to EyePoint: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EyePoint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Pleasant Street, Suite B300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 02472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2660" w:space="720"/>
            <w:col w:w="7860"/>
          </w:cols>
          <w:pgMar w:left="320" w:top="661" w:right="339" w:bottom="1440" w:gutter="0" w:footer="0" w:header="0"/>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Imprimis: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ImprimisRx,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12264 El Camino Real, Suite 350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0" w:lineRule="exact"/>
        <w:rPr>
          <w:sz w:val="20"/>
          <w:szCs w:val="20"/>
          <w:color w:val="auto"/>
        </w:rPr>
      </w:pPr>
    </w:p>
    <w:p>
      <w:pPr>
        <w:sectPr>
          <w:pgSz w:w="11900" w:h="16838" w:orient="portrait"/>
          <w:cols w:equalWidth="0" w:num="2">
            <w:col w:w="2660" w:space="720"/>
            <w:col w:w="7860"/>
          </w:cols>
          <w:pgMar w:left="320" w:top="661" w:right="339" w:bottom="1440" w:gutter="0" w:footer="0" w:header="0"/>
          <w:type w:val="continuous"/>
        </w:sectPr>
      </w:pPr>
    </w:p>
    <w:p>
      <w:pPr>
        <w:spacing w:after="0" w:line="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Except as otherwise expressly provided under this Agreement, neither this Agreement nor any right or obligation hereunder may be assigned or otherwise transferred (whether voluntarily, by operation of law or otherwise), without the prior express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either Party may, without such consent, assign this Agreement and its rights and obligations hereunder in whole or in part (i) to an Affiliate of such Party, or (ii) in connection with the Change of Control of such Party or to a Third Party successor of such Party to all or substantially all of the business to which this Agreement relates, whether in a merger, sale of stock, sale of assets or other transaction. Any permitted assignee shall assume all obligations of its assignor under this Agreement. Any purported assignment or transfer in violation of this Section 14.11 shall be void.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regard to the conflicts of law principles thereof, and shall not be governed by the United Nations Convention on Contracts for the International Sale of Goods.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and all disputes or claims arising from or out of this Agreement shall be litigated exclusively before a court of the State of Delaware or, if subject matter jurisdiction exists, the United States District Court for the District of Delaware. Each Party hereby irrevocably and unconditionally consents to the exclusive personal jurisdiction and service of, and venue of, any such court, and further irrevocably and unconditionally waives and agrees not to plead or claim that any action, lawsuit or proceeding brought in any such court has been brought in an inconvenient forum. Any judgment issued by such a court may be enforced in any court having jurisdiction.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WITHOUT LIMITING THE RIGHTS OR REMEDIES OF THE PARTIES REGARDING (A) THE OBLIGATIONS TO INDEMNIFY, DEFEND AND HOLD HARMLESS PURSUANT TO SECTION 12, (B) A BREACH OF THE CONFIDENTIALITY OBLIGATIONS PURSUANT TO SECTION 10, OR (C) A CLAIM ARISING OUT OF FRAUD, GROSS NEGLIGENCE OR WILLFUL MISCONDUCT, NEITHER PARTY SHALL BE LIABLE FOR ANY SPECIAL, INDIRECT, INCIDENTAL OR CONSEQUENTIAL DAMAGES, WHETHER FORESEEABLE OR NOT, ARISING OUT OF THIS AGREEMENT OR THE EXERCISE OF ITS RIGHTS HEREUNDER, REGARDLESS OF ANY NOTICE OF SUCH DAMAGES.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8" w:name="page69"/>
    <w:bookmarkEnd w:id="68"/>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invalid, illegal or unenforceable in any jurisdiction, then (a) such invalidity, illegality or unenforceability shall not affect any other provision of this Agreement or invalidate or render unenforceable such provision in any other jurisdiction, and</w:t>
      </w:r>
    </w:p>
    <w:p>
      <w:pPr>
        <w:ind w:firstLine="8"/>
        <w:spacing w:after="0" w:line="260" w:lineRule="auto"/>
        <w:tabs>
          <w:tab w:leader="none" w:pos="2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in such jurisdiction, shall be replaced by a valid, legal and enforceable provision that best reflects the Parties’ intent for such first provision.</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Each Party hereby acknowledges that the Parties shall be independent contractors and that the relationship between the Parties shall not constitute a partnership, joint venture or agency. Neither Party shall have the authority to make any statements, representations or commitments of any kind, or to take any action, which shall be binding on the other Party, without the prior consent of the other Party to do so.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waiver by a Party of any right hereunder, or the failure to perform or of a breach by the other Party, shall not constitute a waiver of any other right hereunder or of any other breach or failure by the other Party whether of a similar nature or otherwise.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 Party shall neither be held liable or responsible to the other Party, nor be deemed to have defaulted under or breached this Agreement, for failure or delay in fulfilling or performing any obligation under this Agreement to the extent, and for so long as, such failure or delay is caused by, or results from, causes beyond the reasonable control of such Party, regardless of whether such cause is foreseeable as of the Effective Date or thereafter, including fire, floods, embargoes, war, acts of war (whether war be declared or not), insurrections, riots, civil commotions, strikes, lockouts or other labor disturbances, acts of God or acts, national or regional emergency, epidemic or pandemic (including COVID-19), and omissions or delays in acting by any governmental authority or the other Party. [***].</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14.19.1 EyePoint will make all payments to Imprimis under this Agreement without deduction or withholding for Taxes except to the extent that any such deduction or withholding is required by law in effect at the time of payment.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14.19.2 Any Tax required to be withheld on amounts payable under this Agreement will be paid by EyePoint on behalf of Imprimis to the appropriate governmental authority, and EyePoint shall furnish Imprimis with proof of payment of such Tax. Any such Tax required to be withheld will be an expense of and borne by Imprimis.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14.19.3 EyePoint and Imprimis will cooperate with respect to all documentation required by any Taxing authority or reasonably requested by EyePoint to secure a reduction in the rate of applicable withholding Taxes. Promptly after the Effective Date, Imprimis will deliver to EyePoint an accurate and complete Internal Revenue Service Form W-9.</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14.20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16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IN WITNESS WHEREOF, the Parties have entered into this Agreement as of the Effective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EYEPOINT PHARMACEUTICALS, INC.</w:t>
      </w:r>
    </w:p>
    <w:p>
      <w:pPr>
        <w:spacing w:after="0" w:line="23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Nancy Lurker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CEO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IMPRIMISRX,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2061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Saharek</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List of Trademarks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GROUP A CUSTOMERS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Group B Customers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3" w:name="page74"/>
    <w:bookmarkEnd w:id="73"/>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Harrow Health,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9, 2020</w:t>
      </w:r>
      <w:r>
        <w:rPr>
          <w:sz w:val="20"/>
          <w:szCs w:val="20"/>
          <w:color w:val="auto"/>
        </w:rPr>
        <w:tab/>
      </w:r>
      <w:r>
        <w:rPr>
          <w:rFonts w:ascii="Times New Roman" w:cs="Times New Roman" w:eastAsia="Times New Roman" w:hAnsi="Times New Roman"/>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Harrow Health,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260" w:hanging="429"/>
        <w:spacing w:after="0" w:line="266" w:lineRule="auto"/>
        <w:tabs>
          <w:tab w:leader="none" w:pos="12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260" w:hanging="429"/>
        <w:spacing w:after="0" w:line="266" w:lineRule="auto"/>
        <w:tabs>
          <w:tab w:leader="none" w:pos="12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260" w:hanging="429"/>
        <w:spacing w:after="0" w:line="282" w:lineRule="auto"/>
        <w:tabs>
          <w:tab w:leader="none" w:pos="12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60" w:hanging="429"/>
        <w:spacing w:after="0" w:line="266" w:lineRule="auto"/>
        <w:tabs>
          <w:tab w:leader="none" w:pos="126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9, 2020</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REQUIRED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OF TITLE 18 OF THE UNITED STATES CODE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September 30, 2020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upperLetter"/>
      <w:start w:val="67"/>
    </w:lvl>
    <w:lvl w:ilvl="1">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04"/>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lowerLetter"/>
      <w:start w:val="3"/>
    </w:lvl>
  </w:abstractNum>
  <w:abstractNum w:abstractNumId="16">
    <w:nsid w:val="79838CB2"/>
    <w:multiLevelType w:val="hybridMultilevel"/>
    <w:lvl w:ilvl="0">
      <w:lvlJc w:val="left"/>
      <w:lvlText w:val="%1."/>
      <w:numFmt w:val="decimal"/>
      <w:start w:val="2"/>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decimal"/>
      <w:start w:val="4"/>
    </w:lvl>
  </w:abstractNum>
  <w:abstractNum w:abstractNumId="19">
    <w:nsid w:val="189A769B"/>
    <w:multiLevelType w:val="hybridMultilevel"/>
    <w:lvl w:ilvl="0">
      <w:lvlJc w:val="left"/>
      <w:lvlText w:val="%1."/>
      <w:numFmt w:val="decimal"/>
      <w:start w:val="5"/>
    </w:lvl>
  </w:abstractNum>
  <w:abstractNum w:abstractNumId="20">
    <w:nsid w:val="54E49EB4"/>
    <w:multiLevelType w:val="hybridMultilevel"/>
    <w:lvl w:ilvl="0">
      <w:lvlJc w:val="left"/>
      <w:lvlText w:val="%1."/>
      <w:numFmt w:val="decimal"/>
      <w:start w:val="6"/>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8"/>
    </w:lvl>
  </w:abstractNum>
  <w:abstractNum w:abstractNumId="23">
    <w:nsid w:val="836C40E"/>
    <w:multiLevelType w:val="hybridMultilevel"/>
    <w:lvl w:ilvl="0">
      <w:lvlJc w:val="left"/>
      <w:lvlText w:val="%1."/>
      <w:numFmt w:val="decimal"/>
      <w:start w:val="9"/>
    </w:lvl>
  </w:abstractNum>
  <w:abstractNum w:abstractNumId="24">
    <w:nsid w:val="2901D82"/>
    <w:multiLevelType w:val="hybridMultilevel"/>
    <w:lvl w:ilvl="0">
      <w:lvlJc w:val="left"/>
      <w:lvlText w:val="%1."/>
      <w:numFmt w:val="decimal"/>
      <w:start w:val="10"/>
    </w:lvl>
  </w:abstractNum>
  <w:abstractNum w:abstractNumId="25">
    <w:nsid w:val="3A95F874"/>
    <w:multiLevelType w:val="hybridMultilevel"/>
    <w:lvl w:ilvl="0">
      <w:lvlJc w:val="left"/>
      <w:lvlText w:val="%1."/>
      <w:numFmt w:val="decimal"/>
      <w:start w:val="11"/>
    </w:lvl>
  </w:abstractNum>
  <w:abstractNum w:abstractNumId="26">
    <w:nsid w:val="8138641"/>
    <w:multiLevelType w:val="hybridMultilevel"/>
    <w:lvl w:ilvl="0">
      <w:lvlJc w:val="left"/>
      <w:lvlText w:val="%1."/>
      <w:numFmt w:val="decimal"/>
      <w:start w:val="12"/>
    </w:lvl>
  </w:abstractNum>
  <w:abstractNum w:abstractNumId="27">
    <w:nsid w:val="1E7FF521"/>
    <w:multiLevelType w:val="hybridMultilevel"/>
    <w:lvl w:ilvl="0">
      <w:lvlJc w:val="left"/>
      <w:lvlText w:val="(%1)"/>
      <w:numFmt w:val="lowerLetter"/>
      <w:start w:val="4"/>
    </w:lvl>
  </w:abstractNum>
  <w:abstractNum w:abstractNumId="28">
    <w:nsid w:val="7C3DBD3D"/>
    <w:multiLevelType w:val="hybridMultilevel"/>
    <w:lvl w:ilvl="0">
      <w:lvlJc w:val="left"/>
      <w:lvlText w:val="%1."/>
      <w:numFmt w:val="decimal"/>
      <w:start w:val="13"/>
    </w:lvl>
  </w:abstractNum>
  <w:abstractNum w:abstractNumId="29">
    <w:nsid w:val="737B8DDC"/>
    <w:multiLevelType w:val="hybridMultilevel"/>
    <w:lvl w:ilvl="0">
      <w:lvlJc w:val="left"/>
      <w:lvlText w:val="%1."/>
      <w:numFmt w:val="decimal"/>
      <w:start w:val="14"/>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2020-11-09T16:28:25Z</dcterms:created>
  <dcterms:modified xsi:type="dcterms:W3CDTF">2020-11-09T16:28:25Z</dcterms:modified>
</cp:coreProperties>
</file>