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65"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UNDER SECTION 13 OR 15(d) OF THE SECURITIES EXCHANGE OF 1934</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September 30, 2008</w:t>
      </w:r>
    </w:p>
    <w:p>
      <w:pPr>
        <w:spacing w:after="0" w:line="283"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UNDER SECTION 13 OR 15(d) OF THE EXCHANGE ACT</w:t>
      </w:r>
    </w:p>
    <w:p>
      <w:pPr>
        <w:spacing w:after="0" w:line="279" w:lineRule="exact"/>
        <w:rPr>
          <w:sz w:val="24"/>
          <w:szCs w:val="24"/>
          <w:color w:val="auto"/>
        </w:rPr>
      </w:pPr>
    </w:p>
    <w:p>
      <w:pPr>
        <w:ind w:left="384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3849370</wp:posOffset>
            </wp:positionH>
            <wp:positionV relativeFrom="paragraph">
              <wp:posOffset>-10160</wp:posOffset>
            </wp:positionV>
            <wp:extent cx="9740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4090" cy="8890"/>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000-52998</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Transdel Pharmaceuticals,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in Its Charter)</w:t>
      </w:r>
    </w:p>
    <w:p>
      <w:pPr>
        <w:spacing w:after="0" w:line="34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jc w:val="center"/>
              <w:ind w:left="750"/>
              <w:spacing w:after="0"/>
              <w:rPr>
                <w:sz w:val="20"/>
                <w:szCs w:val="20"/>
                <w:color w:val="auto"/>
              </w:rPr>
            </w:pPr>
            <w:r>
              <w:rPr>
                <w:rFonts w:ascii="Arial" w:cs="Arial" w:eastAsia="Arial" w:hAnsi="Arial"/>
                <w:sz w:val="18"/>
                <w:szCs w:val="18"/>
                <w:color w:val="auto"/>
                <w:w w:val="92"/>
              </w:rPr>
              <w:t>Delaware</w:t>
            </w:r>
          </w:p>
        </w:tc>
        <w:tc>
          <w:tcPr>
            <w:tcW w:w="6640" w:type="dxa"/>
            <w:vAlign w:val="bottom"/>
            <w:gridSpan w:val="3"/>
          </w:tcPr>
          <w:p>
            <w:pPr>
              <w:jc w:val="right"/>
              <w:ind w:right="2270"/>
              <w:spacing w:after="0"/>
              <w:rPr>
                <w:sz w:val="20"/>
                <w:szCs w:val="20"/>
                <w:color w:val="auto"/>
              </w:rPr>
            </w:pPr>
            <w:r>
              <w:rPr>
                <w:rFonts w:ascii="Arial" w:cs="Arial" w:eastAsia="Arial" w:hAnsi="Arial"/>
                <w:sz w:val="18"/>
                <w:szCs w:val="18"/>
                <w:color w:val="auto"/>
              </w:rPr>
              <w:t>45-0567010</w:t>
            </w:r>
          </w:p>
        </w:tc>
      </w:tr>
      <w:tr>
        <w:trPr>
          <w:trHeight w:val="195"/>
        </w:trPr>
        <w:tc>
          <w:tcPr>
            <w:tcW w:w="4780" w:type="dxa"/>
            <w:vAlign w:val="bottom"/>
            <w:tcBorders>
              <w:top w:val="single" w:sz="8" w:color="auto"/>
            </w:tcBorders>
          </w:tcPr>
          <w:p>
            <w:pPr>
              <w:jc w:val="center"/>
              <w:ind w:left="750"/>
              <w:spacing w:after="0" w:line="195" w:lineRule="exact"/>
              <w:rPr>
                <w:sz w:val="20"/>
                <w:szCs w:val="20"/>
                <w:color w:val="auto"/>
              </w:rPr>
            </w:pPr>
            <w:r>
              <w:rPr>
                <w:rFonts w:ascii="Arial" w:cs="Arial" w:eastAsia="Arial" w:hAnsi="Arial"/>
                <w:sz w:val="18"/>
                <w:szCs w:val="18"/>
                <w:color w:val="auto"/>
                <w:w w:val="92"/>
              </w:rPr>
              <w:t>(State or Other Jurisdiction of Incorporation</w:t>
            </w: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780" w:type="dxa"/>
            <w:vAlign w:val="bottom"/>
          </w:tcPr>
          <w:p>
            <w:pPr>
              <w:jc w:val="center"/>
              <w:ind w:left="750"/>
              <w:spacing w:after="0"/>
              <w:rPr>
                <w:sz w:val="20"/>
                <w:szCs w:val="20"/>
                <w:color w:val="auto"/>
              </w:rPr>
            </w:pPr>
            <w:r>
              <w:rPr>
                <w:rFonts w:ascii="Arial" w:cs="Arial" w:eastAsia="Arial" w:hAnsi="Arial"/>
                <w:sz w:val="18"/>
                <w:szCs w:val="18"/>
                <w:color w:val="auto"/>
                <w:w w:val="91"/>
              </w:rPr>
              <w:t>or Organization)</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72"/>
        </w:trPr>
        <w:tc>
          <w:tcPr>
            <w:tcW w:w="4780" w:type="dxa"/>
            <w:vAlign w:val="bottom"/>
          </w:tcPr>
          <w:p>
            <w:pPr>
              <w:jc w:val="center"/>
              <w:ind w:left="750"/>
              <w:spacing w:after="0"/>
              <w:rPr>
                <w:sz w:val="20"/>
                <w:szCs w:val="20"/>
                <w:color w:val="auto"/>
              </w:rPr>
            </w:pPr>
            <w:r>
              <w:rPr>
                <w:rFonts w:ascii="Arial" w:cs="Arial" w:eastAsia="Arial" w:hAnsi="Arial"/>
                <w:sz w:val="18"/>
                <w:szCs w:val="18"/>
                <w:color w:val="auto"/>
                <w:w w:val="90"/>
              </w:rPr>
              <w:t>4225 Executive Square, Suite 485</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30"/>
        </w:trPr>
        <w:tc>
          <w:tcPr>
            <w:tcW w:w="4780" w:type="dxa"/>
            <w:vAlign w:val="bottom"/>
          </w:tcPr>
          <w:p>
            <w:pPr>
              <w:jc w:val="center"/>
              <w:ind w:left="750"/>
              <w:spacing w:after="0"/>
              <w:rPr>
                <w:sz w:val="20"/>
                <w:szCs w:val="20"/>
                <w:color w:val="auto"/>
              </w:rPr>
            </w:pPr>
            <w:r>
              <w:rPr>
                <w:rFonts w:ascii="Arial" w:cs="Arial" w:eastAsia="Arial" w:hAnsi="Arial"/>
                <w:sz w:val="18"/>
                <w:szCs w:val="18"/>
                <w:color w:val="auto"/>
                <w:w w:val="92"/>
              </w:rPr>
              <w:t>La Jolla, CA</w:t>
            </w:r>
          </w:p>
        </w:tc>
        <w:tc>
          <w:tcPr>
            <w:tcW w:w="6640" w:type="dxa"/>
            <w:vAlign w:val="bottom"/>
            <w:gridSpan w:val="3"/>
          </w:tcPr>
          <w:p>
            <w:pPr>
              <w:jc w:val="right"/>
              <w:ind w:right="2490"/>
              <w:spacing w:after="0"/>
              <w:rPr>
                <w:sz w:val="20"/>
                <w:szCs w:val="20"/>
                <w:color w:val="auto"/>
              </w:rPr>
            </w:pPr>
            <w:r>
              <w:rPr>
                <w:rFonts w:ascii="Arial" w:cs="Arial" w:eastAsia="Arial" w:hAnsi="Arial"/>
                <w:sz w:val="18"/>
                <w:szCs w:val="18"/>
                <w:color w:val="auto"/>
              </w:rPr>
              <w:t>92037</w:t>
            </w:r>
          </w:p>
        </w:tc>
      </w:tr>
      <w:tr>
        <w:trPr>
          <w:trHeight w:val="264"/>
        </w:trPr>
        <w:tc>
          <w:tcPr>
            <w:tcW w:w="4780" w:type="dxa"/>
            <w:vAlign w:val="bottom"/>
            <w:tcBorders>
              <w:top w:val="single" w:sz="8" w:color="auto"/>
            </w:tcBorders>
          </w:tcPr>
          <w:p>
            <w:pPr>
              <w:jc w:val="center"/>
              <w:ind w:left="750"/>
              <w:spacing w:after="0"/>
              <w:rPr>
                <w:sz w:val="20"/>
                <w:szCs w:val="20"/>
                <w:color w:val="auto"/>
              </w:rPr>
            </w:pPr>
            <w:r>
              <w:rPr>
                <w:rFonts w:ascii="Arial" w:cs="Arial" w:eastAsia="Arial" w:hAnsi="Arial"/>
                <w:sz w:val="18"/>
                <w:szCs w:val="18"/>
                <w:color w:val="auto"/>
                <w:w w:val="92"/>
              </w:rPr>
              <w:t>(Address of Principal Executive Offices)</w:t>
            </w:r>
          </w:p>
        </w:tc>
        <w:tc>
          <w:tcPr>
            <w:tcW w:w="8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86"/>
        </w:trPr>
        <w:tc>
          <w:tcPr>
            <w:tcW w:w="4780" w:type="dxa"/>
            <w:vAlign w:val="bottom"/>
          </w:tcPr>
          <w:p>
            <w:pPr>
              <w:spacing w:after="0"/>
              <w:rPr>
                <w:sz w:val="24"/>
                <w:szCs w:val="24"/>
                <w:color w:val="auto"/>
              </w:rPr>
            </w:pPr>
          </w:p>
        </w:tc>
        <w:tc>
          <w:tcPr>
            <w:tcW w:w="6640" w:type="dxa"/>
            <w:vAlign w:val="bottom"/>
            <w:gridSpan w:val="3"/>
          </w:tcPr>
          <w:p>
            <w:pPr>
              <w:jc w:val="right"/>
              <w:ind w:right="5050"/>
              <w:spacing w:after="0"/>
              <w:rPr>
                <w:sz w:val="20"/>
                <w:szCs w:val="20"/>
                <w:color w:val="auto"/>
              </w:rPr>
            </w:pPr>
            <w:r>
              <w:rPr>
                <w:rFonts w:ascii="Arial" w:cs="Arial" w:eastAsia="Arial" w:hAnsi="Arial"/>
                <w:sz w:val="18"/>
                <w:szCs w:val="18"/>
                <w:color w:val="auto"/>
              </w:rPr>
              <w:t>(858) 457-5300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1445895</wp:posOffset>
            </wp:positionH>
            <wp:positionV relativeFrom="paragraph">
              <wp:posOffset>68580</wp:posOffset>
            </wp:positionV>
            <wp:extent cx="43649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1445895</wp:posOffset>
            </wp:positionH>
            <wp:positionV relativeFrom="paragraph">
              <wp:posOffset>426720</wp:posOffset>
            </wp:positionV>
            <wp:extent cx="4364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79" w:lineRule="exact"/>
        <w:rPr>
          <w:sz w:val="24"/>
          <w:szCs w:val="24"/>
          <w:color w:val="auto"/>
        </w:rPr>
      </w:pPr>
    </w:p>
    <w:p>
      <w:pPr>
        <w:jc w:val="both"/>
        <w:ind w:firstLine="486"/>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3"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Arial" w:cs="Arial" w:eastAsia="Arial" w:hAnsi="Arial"/>
          <w:sz w:val="18"/>
          <w:szCs w:val="18"/>
          <w:b w:val="1"/>
          <w:bCs w:val="1"/>
          <w:color w:val="auto"/>
        </w:rPr>
        <w:t>x</w:t>
      </w:r>
    </w:p>
    <w:p>
      <w:pPr>
        <w:spacing w:after="0" w:line="312"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November 12, 2008, 15,545,184 shares of issuer’s common stock, with $0.001 par value per share were outstanding.</w:t>
      </w:r>
    </w:p>
    <w:p>
      <w:pPr>
        <w:spacing w:after="0" w:line="279"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6880" w:type="dxa"/>
            <w:vAlign w:val="bottom"/>
          </w:tcPr>
          <w:p>
            <w:pPr>
              <w:ind w:left="1180"/>
              <w:spacing w:after="0"/>
              <w:rPr>
                <w:sz w:val="20"/>
                <w:szCs w:val="20"/>
                <w:color w:val="auto"/>
              </w:rPr>
            </w:pPr>
            <w:r>
              <w:rPr>
                <w:rFonts w:ascii="Arial" w:cs="Arial" w:eastAsia="Arial" w:hAnsi="Arial"/>
                <w:sz w:val="18"/>
                <w:szCs w:val="18"/>
                <w:color w:val="auto"/>
              </w:rPr>
              <w:t>Accelerated filer o</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Non-accelerated filer o</w:t>
            </w:r>
          </w:p>
        </w:tc>
        <w:tc>
          <w:tcPr>
            <w:tcW w:w="6880" w:type="dxa"/>
            <w:vAlign w:val="bottom"/>
          </w:tcPr>
          <w:p>
            <w:pPr>
              <w:ind w:left="1180"/>
              <w:spacing w:after="0"/>
              <w:rPr>
                <w:sz w:val="20"/>
                <w:szCs w:val="20"/>
                <w:color w:val="auto"/>
              </w:rPr>
            </w:pPr>
            <w:r>
              <w:rPr>
                <w:rFonts w:ascii="Arial" w:cs="Arial" w:eastAsia="Arial" w:hAnsi="Arial"/>
                <w:sz w:val="18"/>
                <w:szCs w:val="18"/>
                <w:color w:val="auto"/>
              </w:rPr>
              <w:t>Smaller reporting company x</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6880" w:type="dxa"/>
            <w:vAlign w:val="bottom"/>
          </w:tcPr>
          <w:p>
            <w:pPr>
              <w:spacing w:after="0"/>
              <w:rPr>
                <w:sz w:val="20"/>
                <w:szCs w:val="20"/>
                <w:color w:val="auto"/>
              </w:rPr>
            </w:pPr>
          </w:p>
        </w:tc>
      </w:tr>
      <w:tr>
        <w:trPr>
          <w:trHeight w:val="415"/>
        </w:trPr>
        <w:tc>
          <w:tcPr>
            <w:tcW w:w="4540" w:type="dxa"/>
            <w:vAlign w:val="bottom"/>
            <w:tcBorders>
              <w:bottom w:val="single" w:sz="8" w:color="808080"/>
            </w:tcBorders>
          </w:tcPr>
          <w:p>
            <w:pPr>
              <w:spacing w:after="0"/>
              <w:rPr>
                <w:sz w:val="24"/>
                <w:szCs w:val="24"/>
                <w:color w:val="auto"/>
              </w:rPr>
            </w:pPr>
          </w:p>
        </w:tc>
        <w:tc>
          <w:tcPr>
            <w:tcW w:w="68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898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Page</w:t>
            </w:r>
          </w:p>
        </w:tc>
      </w:tr>
      <w:tr>
        <w:trPr>
          <w:trHeight w:val="264"/>
        </w:trPr>
        <w:tc>
          <w:tcPr>
            <w:tcW w:w="1300" w:type="dxa"/>
            <w:vAlign w:val="bottom"/>
            <w:shd w:val="clear" w:color="auto" w:fill="CCFFCC"/>
          </w:tcPr>
          <w:p>
            <w:pPr>
              <w:spacing w:after="0"/>
              <w:rPr>
                <w:sz w:val="20"/>
                <w:szCs w:val="20"/>
                <w:color w:val="auto"/>
              </w:rPr>
            </w:pPr>
            <w:r>
              <w:rPr>
                <w:rFonts w:ascii="Arial" w:cs="Arial" w:eastAsia="Arial" w:hAnsi="Arial"/>
                <w:sz w:val="18"/>
                <w:szCs w:val="18"/>
                <w:color w:val="auto"/>
              </w:rPr>
              <w:t>Part I</w:t>
            </w: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FINANCIAL INFORMATION</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3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Item 1.</w:t>
            </w: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Financial Statements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300" w:type="dxa"/>
            <w:vAlign w:val="bottom"/>
            <w:shd w:val="clear" w:color="auto" w:fill="CCFFCC"/>
          </w:tcPr>
          <w:p>
            <w:pPr>
              <w:spacing w:after="0"/>
              <w:rPr>
                <w:sz w:val="23"/>
                <w:szCs w:val="23"/>
                <w:color w:val="auto"/>
              </w:rPr>
            </w:pP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Condensed Consolidated Balance Sheets - September 30, 2008 (Unaudited) and December 31, 2007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02"/>
        </w:trPr>
        <w:tc>
          <w:tcPr>
            <w:tcW w:w="1300" w:type="dxa"/>
            <w:vAlign w:val="bottom"/>
            <w:shd w:val="clear" w:color="auto" w:fill="CCFFCC"/>
          </w:tcPr>
          <w:p>
            <w:pPr>
              <w:spacing w:after="0"/>
              <w:rPr>
                <w:sz w:val="17"/>
                <w:szCs w:val="17"/>
                <w:color w:val="auto"/>
              </w:rPr>
            </w:pPr>
          </w:p>
        </w:tc>
        <w:tc>
          <w:tcPr>
            <w:tcW w:w="8980" w:type="dxa"/>
            <w:vAlign w:val="bottom"/>
            <w:shd w:val="clear" w:color="auto" w:fill="CCFFCC"/>
          </w:tcPr>
          <w:p>
            <w:pPr>
              <w:ind w:left="320"/>
              <w:spacing w:after="0" w:line="201" w:lineRule="exact"/>
              <w:rPr>
                <w:sz w:val="20"/>
                <w:szCs w:val="20"/>
                <w:color w:val="auto"/>
              </w:rPr>
            </w:pPr>
            <w:r>
              <w:rPr>
                <w:rFonts w:ascii="Arial" w:cs="Arial" w:eastAsia="Arial" w:hAnsi="Arial"/>
                <w:sz w:val="18"/>
                <w:szCs w:val="18"/>
                <w:color w:val="auto"/>
                <w:w w:val="91"/>
              </w:rPr>
              <w:t>Unaudited Condensed Consolidated Statements of Operations for the three and nine-month periods ended September</w:t>
            </w:r>
          </w:p>
        </w:tc>
        <w:tc>
          <w:tcPr>
            <w:tcW w:w="1140" w:type="dxa"/>
            <w:vAlign w:val="bottom"/>
            <w:shd w:val="clear" w:color="auto" w:fill="CCFFCC"/>
          </w:tcPr>
          <w:p>
            <w:pPr>
              <w:spacing w:after="0"/>
              <w:rPr>
                <w:sz w:val="17"/>
                <w:szCs w:val="17"/>
                <w:color w:val="auto"/>
              </w:rPr>
            </w:pPr>
          </w:p>
        </w:tc>
      </w:tr>
      <w:tr>
        <w:trPr>
          <w:trHeight w:val="230"/>
        </w:trPr>
        <w:tc>
          <w:tcPr>
            <w:tcW w:w="1300" w:type="dxa"/>
            <w:vAlign w:val="bottom"/>
            <w:shd w:val="clear" w:color="auto" w:fill="CCFFCC"/>
          </w:tcPr>
          <w:p>
            <w:pPr>
              <w:spacing w:after="0"/>
              <w:rPr>
                <w:sz w:val="20"/>
                <w:szCs w:val="20"/>
                <w:color w:val="auto"/>
              </w:rPr>
            </w:pP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30, 2008 and 2007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02"/>
        </w:trPr>
        <w:tc>
          <w:tcPr>
            <w:tcW w:w="1300" w:type="dxa"/>
            <w:vAlign w:val="bottom"/>
            <w:shd w:val="clear" w:color="auto" w:fill="CCFFCC"/>
          </w:tcPr>
          <w:p>
            <w:pPr>
              <w:spacing w:after="0"/>
              <w:rPr>
                <w:sz w:val="17"/>
                <w:szCs w:val="17"/>
                <w:color w:val="auto"/>
              </w:rPr>
            </w:pPr>
          </w:p>
        </w:tc>
        <w:tc>
          <w:tcPr>
            <w:tcW w:w="8980" w:type="dxa"/>
            <w:vAlign w:val="bottom"/>
            <w:shd w:val="clear" w:color="auto" w:fill="CCFFCC"/>
          </w:tcPr>
          <w:p>
            <w:pPr>
              <w:ind w:left="320"/>
              <w:spacing w:after="0" w:line="201" w:lineRule="exact"/>
              <w:rPr>
                <w:sz w:val="20"/>
                <w:szCs w:val="20"/>
                <w:color w:val="auto"/>
              </w:rPr>
            </w:pPr>
            <w:r>
              <w:rPr>
                <w:rFonts w:ascii="Arial" w:cs="Arial" w:eastAsia="Arial" w:hAnsi="Arial"/>
                <w:sz w:val="18"/>
                <w:szCs w:val="18"/>
                <w:color w:val="auto"/>
                <w:w w:val="91"/>
              </w:rPr>
              <w:t>Unaudited Condensed Consolidated Statements of Cash Flows for the nine-month periods ended September 30, 2008</w:t>
            </w:r>
          </w:p>
        </w:tc>
        <w:tc>
          <w:tcPr>
            <w:tcW w:w="1140" w:type="dxa"/>
            <w:vAlign w:val="bottom"/>
            <w:shd w:val="clear" w:color="auto" w:fill="CCFFCC"/>
          </w:tcPr>
          <w:p>
            <w:pPr>
              <w:spacing w:after="0"/>
              <w:rPr>
                <w:sz w:val="17"/>
                <w:szCs w:val="17"/>
                <w:color w:val="auto"/>
              </w:rPr>
            </w:pPr>
          </w:p>
        </w:tc>
      </w:tr>
      <w:tr>
        <w:trPr>
          <w:trHeight w:val="230"/>
        </w:trPr>
        <w:tc>
          <w:tcPr>
            <w:tcW w:w="1300" w:type="dxa"/>
            <w:vAlign w:val="bottom"/>
            <w:shd w:val="clear" w:color="auto" w:fill="CCFFCC"/>
          </w:tcPr>
          <w:p>
            <w:pPr>
              <w:spacing w:after="0"/>
              <w:rPr>
                <w:sz w:val="20"/>
                <w:szCs w:val="20"/>
                <w:color w:val="auto"/>
              </w:rPr>
            </w:pP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and 2007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300" w:type="dxa"/>
            <w:vAlign w:val="bottom"/>
            <w:shd w:val="clear" w:color="auto" w:fill="CCFFCC"/>
          </w:tcPr>
          <w:p>
            <w:pPr>
              <w:spacing w:after="0"/>
              <w:rPr>
                <w:sz w:val="23"/>
                <w:szCs w:val="23"/>
                <w:color w:val="auto"/>
              </w:rPr>
            </w:pP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Notes to the Unaudited Condensed Consolidated Financial Statements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3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Item 2.</w:t>
            </w: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3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Item 4T.</w:t>
            </w: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Controls and Procedures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300" w:type="dxa"/>
            <w:vAlign w:val="bottom"/>
            <w:shd w:val="clear" w:color="auto" w:fill="CCFFCC"/>
          </w:tcPr>
          <w:p>
            <w:pPr>
              <w:spacing w:after="0"/>
              <w:rPr>
                <w:sz w:val="20"/>
                <w:szCs w:val="20"/>
                <w:color w:val="auto"/>
              </w:rPr>
            </w:pPr>
            <w:r>
              <w:rPr>
                <w:rFonts w:ascii="Arial" w:cs="Arial" w:eastAsia="Arial" w:hAnsi="Arial"/>
                <w:sz w:val="18"/>
                <w:szCs w:val="18"/>
                <w:color w:val="auto"/>
              </w:rPr>
              <w:t>Part II</w:t>
            </w: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OTHER INFORMATION</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3"/>
        </w:trPr>
        <w:tc>
          <w:tcPr>
            <w:tcW w:w="13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Item 1A.</w:t>
            </w: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Risk Factors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1300" w:type="dxa"/>
            <w:vAlign w:val="bottom"/>
          </w:tcPr>
          <w:p>
            <w:pPr>
              <w:spacing w:after="0"/>
              <w:rPr>
                <w:sz w:val="21"/>
                <w:szCs w:val="21"/>
                <w:color w:val="auto"/>
              </w:rPr>
            </w:pPr>
          </w:p>
        </w:tc>
        <w:tc>
          <w:tcPr>
            <w:tcW w:w="89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13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Item 2.</w:t>
            </w: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Unregistered Sales of Equity Securities and Use of Proceeds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1300" w:type="dxa"/>
            <w:vAlign w:val="bottom"/>
          </w:tcPr>
          <w:p>
            <w:pPr>
              <w:spacing w:after="0"/>
              <w:rPr>
                <w:sz w:val="23"/>
                <w:szCs w:val="23"/>
                <w:color w:val="auto"/>
              </w:rPr>
            </w:pPr>
          </w:p>
        </w:tc>
        <w:tc>
          <w:tcPr>
            <w:tcW w:w="8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13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Item 6.</w:t>
            </w:r>
          </w:p>
        </w:tc>
        <w:tc>
          <w:tcPr>
            <w:tcW w:w="8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Exhibits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r>
      <w:tr>
        <w:trPr>
          <w:trHeight w:val="486"/>
        </w:trPr>
        <w:tc>
          <w:tcPr>
            <w:tcW w:w="1300" w:type="dxa"/>
            <w:vAlign w:val="bottom"/>
          </w:tcPr>
          <w:p>
            <w:pPr>
              <w:spacing w:after="0"/>
              <w:rPr>
                <w:sz w:val="24"/>
                <w:szCs w:val="24"/>
                <w:color w:val="auto"/>
              </w:rPr>
            </w:pPr>
          </w:p>
        </w:tc>
        <w:tc>
          <w:tcPr>
            <w:tcW w:w="8980" w:type="dxa"/>
            <w:vAlign w:val="bottom"/>
          </w:tcPr>
          <w:p>
            <w:pPr>
              <w:ind w:left="436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24"/>
                <w:szCs w:val="24"/>
                <w:color w:val="auto"/>
              </w:rPr>
            </w:pPr>
          </w:p>
        </w:tc>
      </w:tr>
      <w:tr>
        <w:trPr>
          <w:trHeight w:val="118"/>
        </w:trPr>
        <w:tc>
          <w:tcPr>
            <w:tcW w:w="1300" w:type="dxa"/>
            <w:vAlign w:val="bottom"/>
            <w:tcBorders>
              <w:bottom w:val="single" w:sz="8" w:color="808080"/>
            </w:tcBorders>
          </w:tcPr>
          <w:p>
            <w:pPr>
              <w:spacing w:after="0"/>
              <w:rPr>
                <w:sz w:val="10"/>
                <w:szCs w:val="10"/>
                <w:color w:val="auto"/>
              </w:rPr>
            </w:pPr>
          </w:p>
        </w:tc>
        <w:tc>
          <w:tcPr>
            <w:tcW w:w="89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8340" w:type="dxa"/>
            <w:vAlign w:val="bottom"/>
            <w:gridSpan w:val="2"/>
          </w:tcPr>
          <w:p>
            <w:pPr>
              <w:jc w:val="center"/>
              <w:ind w:left="2990"/>
              <w:spacing w:after="0"/>
              <w:rPr>
                <w:sz w:val="20"/>
                <w:szCs w:val="20"/>
                <w:color w:val="auto"/>
              </w:rPr>
            </w:pPr>
            <w:r>
              <w:rPr>
                <w:rFonts w:ascii="Arial" w:cs="Arial" w:eastAsia="Arial" w:hAnsi="Arial"/>
                <w:sz w:val="18"/>
                <w:szCs w:val="18"/>
                <w:b w:val="1"/>
                <w:bCs w:val="1"/>
                <w:color w:val="auto"/>
              </w:rPr>
              <w:t>TRANSDEL PHARMACEUTICALS, INC.</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jc w:val="center"/>
              <w:ind w:left="3010"/>
              <w:spacing w:after="0"/>
              <w:rPr>
                <w:sz w:val="20"/>
                <w:szCs w:val="20"/>
                <w:color w:val="auto"/>
              </w:rPr>
            </w:pPr>
            <w:r>
              <w:rPr>
                <w:rFonts w:ascii="Arial" w:cs="Arial" w:eastAsia="Arial" w:hAnsi="Arial"/>
                <w:sz w:val="18"/>
                <w:szCs w:val="18"/>
                <w:b w:val="1"/>
                <w:bCs w:val="1"/>
                <w:color w:val="auto"/>
                <w:w w:val="90"/>
              </w:rPr>
              <w:t>(A Development Stage Company)</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40" w:type="dxa"/>
            <w:vAlign w:val="bottom"/>
            <w:gridSpan w:val="2"/>
          </w:tcPr>
          <w:p>
            <w:pPr>
              <w:jc w:val="center"/>
              <w:ind w:left="29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5,775,523</w:t>
            </w:r>
          </w:p>
        </w:tc>
        <w:tc>
          <w:tcPr>
            <w:tcW w:w="140" w:type="dxa"/>
            <w:vAlign w:val="bottom"/>
            <w:shd w:val="clear" w:color="auto" w:fill="CCFFCC"/>
          </w:tcPr>
          <w:p>
            <w:pPr>
              <w:spacing w:after="0"/>
              <w:rPr>
                <w:sz w:val="21"/>
                <w:szCs w:val="21"/>
                <w:color w:val="auto"/>
              </w:rPr>
            </w:pP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3,706,369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Prepaid consulting fees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488,748</w:t>
            </w:r>
          </w:p>
        </w:tc>
        <w:tc>
          <w:tcPr>
            <w:tcW w:w="0" w:type="dxa"/>
            <w:vAlign w:val="bottom"/>
          </w:tcPr>
          <w:p>
            <w:pPr>
              <w:spacing w:after="0"/>
              <w:rPr>
                <w:sz w:val="1"/>
                <w:szCs w:val="1"/>
                <w:color w:val="auto"/>
              </w:rPr>
            </w:pPr>
          </w:p>
        </w:tc>
      </w:tr>
      <w:tr>
        <w:trPr>
          <w:trHeight w:val="275"/>
        </w:trPr>
        <w:tc>
          <w:tcPr>
            <w:tcW w:w="834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210,000</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3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45,604</w:t>
            </w:r>
          </w:p>
        </w:tc>
        <w:tc>
          <w:tcPr>
            <w:tcW w:w="0" w:type="dxa"/>
            <w:vAlign w:val="bottom"/>
          </w:tcPr>
          <w:p>
            <w:pPr>
              <w:spacing w:after="0"/>
              <w:rPr>
                <w:sz w:val="1"/>
                <w:szCs w:val="1"/>
                <w:color w:val="auto"/>
              </w:rPr>
            </w:pPr>
          </w:p>
        </w:tc>
      </w:tr>
      <w:tr>
        <w:trPr>
          <w:trHeight w:val="237"/>
        </w:trPr>
        <w:tc>
          <w:tcPr>
            <w:tcW w:w="8340" w:type="dxa"/>
            <w:vAlign w:val="bottom"/>
            <w:tcBorders>
              <w:top w:val="single" w:sz="8" w:color="CCFFCC"/>
            </w:tcBorders>
            <w:gridSpan w:val="2"/>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5,986,287</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4,240,721</w:t>
            </w: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83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Equipment, net</w:t>
            </w:r>
          </w:p>
        </w:tc>
        <w:tc>
          <w:tcPr>
            <w:tcW w:w="12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2,714</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3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Borders>
              <w:top w:val="single" w:sz="8" w:color="CCFFCC"/>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5,989,001</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4,240,721</w:t>
            </w: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523,516</w:t>
            </w:r>
          </w:p>
        </w:tc>
        <w:tc>
          <w:tcPr>
            <w:tcW w:w="1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696,340</w:t>
            </w:r>
          </w:p>
        </w:tc>
        <w:tc>
          <w:tcPr>
            <w:tcW w:w="0" w:type="dxa"/>
            <w:vAlign w:val="bottom"/>
          </w:tcPr>
          <w:p>
            <w:pPr>
              <w:spacing w:after="0"/>
              <w:rPr>
                <w:sz w:val="1"/>
                <w:szCs w:val="1"/>
                <w:color w:val="auto"/>
              </w:rPr>
            </w:pPr>
          </w:p>
        </w:tc>
      </w:tr>
      <w:tr>
        <w:trPr>
          <w:trHeight w:val="275"/>
        </w:trPr>
        <w:tc>
          <w:tcPr>
            <w:tcW w:w="834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Accrued expenses and payroll liabilities</w:t>
            </w:r>
          </w:p>
        </w:tc>
        <w:tc>
          <w:tcPr>
            <w:tcW w:w="12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83,953</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3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53,901</w:t>
            </w:r>
          </w:p>
        </w:tc>
        <w:tc>
          <w:tcPr>
            <w:tcW w:w="0" w:type="dxa"/>
            <w:vAlign w:val="bottom"/>
          </w:tcPr>
          <w:p>
            <w:pPr>
              <w:spacing w:after="0"/>
              <w:rPr>
                <w:sz w:val="1"/>
                <w:szCs w:val="1"/>
                <w:color w:val="auto"/>
              </w:rPr>
            </w:pPr>
          </w:p>
        </w:tc>
      </w:tr>
      <w:tr>
        <w:trPr>
          <w:trHeight w:val="264"/>
        </w:trPr>
        <w:tc>
          <w:tcPr>
            <w:tcW w:w="8340" w:type="dxa"/>
            <w:vAlign w:val="bottom"/>
            <w:tcBorders>
              <w:top w:val="single" w:sz="8" w:color="CCFFCC"/>
            </w:tcBorders>
            <w:gridSpan w:val="2"/>
          </w:tcPr>
          <w:p>
            <w:pPr>
              <w:ind w:left="7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607,469</w:t>
            </w:r>
          </w:p>
        </w:tc>
        <w:tc>
          <w:tcPr>
            <w:tcW w:w="14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750,241</w:t>
            </w:r>
          </w:p>
        </w:tc>
        <w:tc>
          <w:tcPr>
            <w:tcW w:w="10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12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26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2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Preferred stock, $0.001 par value; 5,000,000 shares authorized, none outstanding</w:t>
            </w:r>
          </w:p>
        </w:tc>
        <w:tc>
          <w:tcPr>
            <w:tcW w:w="12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3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2"/>
              </w:rPr>
              <w:t>Common stock, $0.001 par value; 50,000,000 shares authorized, 15,462,616 and 13,727,004 shares issued</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and outstanding as of September 30, 2008 and December 31, 2007</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15,462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13,727</w:t>
            </w:r>
          </w:p>
        </w:tc>
        <w:tc>
          <w:tcPr>
            <w:tcW w:w="0" w:type="dxa"/>
            <w:vAlign w:val="bottom"/>
          </w:tcPr>
          <w:p>
            <w:pPr>
              <w:spacing w:after="0"/>
              <w:rPr>
                <w:sz w:val="1"/>
                <w:szCs w:val="1"/>
                <w:color w:val="auto"/>
              </w:rPr>
            </w:pPr>
          </w:p>
        </w:tc>
      </w:tr>
      <w:tr>
        <w:trPr>
          <w:trHeight w:val="243"/>
        </w:trPr>
        <w:tc>
          <w:tcPr>
            <w:tcW w:w="8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FFCC"/>
          </w:tcPr>
          <w:p>
            <w:pPr>
              <w:spacing w:after="0"/>
              <w:rPr>
                <w:sz w:val="21"/>
                <w:szCs w:val="21"/>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14,794,604</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10,554,298</w:t>
            </w:r>
          </w:p>
        </w:tc>
        <w:tc>
          <w:tcPr>
            <w:tcW w:w="0" w:type="dxa"/>
            <w:vAlign w:val="bottom"/>
          </w:tcPr>
          <w:p>
            <w:pPr>
              <w:spacing w:after="0"/>
              <w:rPr>
                <w:sz w:val="1"/>
                <w:szCs w:val="1"/>
                <w:color w:val="auto"/>
              </w:rPr>
            </w:pPr>
          </w:p>
        </w:tc>
      </w:tr>
      <w:tr>
        <w:trPr>
          <w:trHeight w:val="270"/>
        </w:trPr>
        <w:tc>
          <w:tcPr>
            <w:tcW w:w="8340" w:type="dxa"/>
            <w:vAlign w:val="bottom"/>
            <w:gridSpan w:val="2"/>
          </w:tcPr>
          <w:p>
            <w:pPr>
              <w:spacing w:after="0"/>
              <w:rPr>
                <w:sz w:val="20"/>
                <w:szCs w:val="20"/>
                <w:color w:val="auto"/>
              </w:rPr>
            </w:pPr>
            <w:r>
              <w:rPr>
                <w:rFonts w:ascii="Arial" w:cs="Arial" w:eastAsia="Arial" w:hAnsi="Arial"/>
                <w:sz w:val="18"/>
                <w:szCs w:val="18"/>
                <w:color w:val="auto"/>
              </w:rPr>
              <w:t>Deficit accumulated during the development stage</w:t>
            </w:r>
          </w:p>
        </w:tc>
        <w:tc>
          <w:tcPr>
            <w:tcW w:w="120" w:type="dxa"/>
            <w:vAlign w:val="bottom"/>
          </w:tcPr>
          <w:p>
            <w:pPr>
              <w:spacing w:after="0"/>
              <w:rPr>
                <w:sz w:val="23"/>
                <w:szCs w:val="2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(9,428,534)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(7,077,545)</w:t>
            </w:r>
          </w:p>
        </w:tc>
        <w:tc>
          <w:tcPr>
            <w:tcW w:w="0" w:type="dxa"/>
            <w:vAlign w:val="bottom"/>
          </w:tcPr>
          <w:p>
            <w:pPr>
              <w:spacing w:after="0"/>
              <w:rPr>
                <w:sz w:val="1"/>
                <w:szCs w:val="1"/>
                <w:color w:val="auto"/>
              </w:rPr>
            </w:pPr>
          </w:p>
        </w:tc>
      </w:tr>
      <w:tr>
        <w:trPr>
          <w:trHeight w:val="269"/>
        </w:trPr>
        <w:tc>
          <w:tcPr>
            <w:tcW w:w="83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CCFFCC"/>
            </w:tcBorders>
            <w:shd w:val="clear" w:color="auto" w:fill="CCFFCC"/>
          </w:tcPr>
          <w:p>
            <w:pPr>
              <w:spacing w:after="0"/>
              <w:rPr>
                <w:sz w:val="22"/>
                <w:szCs w:val="22"/>
                <w:color w:val="auto"/>
              </w:rPr>
            </w:pPr>
          </w:p>
        </w:tc>
        <w:tc>
          <w:tcPr>
            <w:tcW w:w="12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5,381,532</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top w:val="single" w:sz="8" w:color="auto"/>
              <w:bottom w:val="single" w:sz="8" w:color="CCFFCC"/>
            </w:tcBorders>
            <w:shd w:val="clear" w:color="auto" w:fill="CCFFCC"/>
          </w:tcPr>
          <w:p>
            <w:pPr>
              <w:spacing w:after="0"/>
              <w:rPr>
                <w:sz w:val="22"/>
                <w:szCs w:val="22"/>
                <w:color w:val="auto"/>
              </w:rPr>
            </w:pPr>
          </w:p>
        </w:tc>
        <w:tc>
          <w:tcPr>
            <w:tcW w:w="12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3,490,480</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40" w:type="dxa"/>
            <w:vAlign w:val="bottom"/>
            <w:tcBorders>
              <w:top w:val="single" w:sz="8" w:color="CCFFCC"/>
            </w:tcBorders>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5,989,001</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4,240,721</w:t>
            </w: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jc w:val="center"/>
              <w:ind w:left="3210"/>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Period From</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July 24, 1998</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8"/>
              </w:rPr>
              <w:t>Three Months Ended</w:t>
            </w:r>
          </w:p>
        </w:tc>
        <w:tc>
          <w:tcPr>
            <w:tcW w:w="200" w:type="dxa"/>
            <w:vAlign w:val="bottom"/>
          </w:tcPr>
          <w:p>
            <w:pPr>
              <w:spacing w:after="0"/>
              <w:rPr>
                <w:sz w:val="18"/>
                <w:szCs w:val="18"/>
                <w:color w:val="auto"/>
              </w:rPr>
            </w:pPr>
          </w:p>
        </w:tc>
        <w:tc>
          <w:tcPr>
            <w:tcW w:w="2280" w:type="dxa"/>
            <w:vAlign w:val="bottom"/>
            <w:gridSpan w:val="5"/>
          </w:tcPr>
          <w:p>
            <w:pPr>
              <w:ind w:left="18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Through</w:t>
            </w:r>
          </w:p>
        </w:tc>
      </w:tr>
      <w:tr>
        <w:trPr>
          <w:trHeight w:val="234"/>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r>
      <w:tr>
        <w:trPr>
          <w:trHeight w:val="291"/>
        </w:trPr>
        <w:tc>
          <w:tcPr>
            <w:tcW w:w="516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20" w:type="dxa"/>
            <w:vAlign w:val="bottom"/>
            <w:tcBorders>
              <w:right w:val="single" w:sz="8" w:color="CCFFCC"/>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305,221</w:t>
            </w:r>
          </w:p>
        </w:tc>
        <w:tc>
          <w:tcPr>
            <w:tcW w:w="120" w:type="dxa"/>
            <w:vAlign w:val="bottom"/>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247,891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1,315,400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499,227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4,398,981</w:t>
            </w:r>
          </w:p>
        </w:tc>
      </w:tr>
      <w:tr>
        <w:trPr>
          <w:trHeight w:val="250"/>
        </w:trPr>
        <w:tc>
          <w:tcPr>
            <w:tcW w:w="5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529,455</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721,253</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1,466,638</w:t>
            </w:r>
          </w:p>
        </w:tc>
        <w:tc>
          <w:tcPr>
            <w:tcW w:w="2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806,300</w:t>
            </w:r>
          </w:p>
        </w:tc>
        <w:tc>
          <w:tcPr>
            <w:tcW w:w="120" w:type="dxa"/>
            <w:vAlign w:val="bottom"/>
            <w:tcBorders>
              <w:bottom w:val="single" w:sz="8" w:color="CCFFCC"/>
              <w:right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4,024,382</w:t>
            </w:r>
          </w:p>
        </w:tc>
      </w:tr>
      <w:tr>
        <w:trPr>
          <w:trHeight w:val="20"/>
        </w:trPr>
        <w:tc>
          <w:tcPr>
            <w:tcW w:w="51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5160" w:type="dxa"/>
            <w:vAlign w:val="bottom"/>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834,676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969,144</w:t>
            </w:r>
          </w:p>
        </w:tc>
        <w:tc>
          <w:tcPr>
            <w:tcW w:w="20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2,782,038</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1,305,527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8,423,363</w:t>
            </w:r>
          </w:p>
        </w:tc>
      </w:tr>
      <w:tr>
        <w:trPr>
          <w:trHeight w:val="264"/>
        </w:trPr>
        <w:tc>
          <w:tcPr>
            <w:tcW w:w="5160" w:type="dxa"/>
            <w:vAlign w:val="bottom"/>
            <w:shd w:val="clear" w:color="auto" w:fill="CCFFCC"/>
          </w:tcPr>
          <w:p>
            <w:pPr>
              <w:spacing w:after="0"/>
              <w:rPr>
                <w:sz w:val="22"/>
                <w:szCs w:val="22"/>
                <w:color w:val="auto"/>
              </w:rPr>
            </w:pPr>
          </w:p>
        </w:tc>
        <w:tc>
          <w:tcPr>
            <w:tcW w:w="220" w:type="dxa"/>
            <w:vAlign w:val="bottom"/>
            <w:tcBorders>
              <w:top w:val="single" w:sz="8" w:color="auto"/>
            </w:tcBorders>
            <w:shd w:val="clear" w:color="auto" w:fill="CCFFCC"/>
          </w:tcPr>
          <w:p>
            <w:pPr>
              <w:spacing w:after="0"/>
              <w:rPr>
                <w:sz w:val="22"/>
                <w:szCs w:val="22"/>
                <w:color w:val="auto"/>
              </w:rPr>
            </w:pPr>
          </w:p>
        </w:tc>
        <w:tc>
          <w:tcPr>
            <w:tcW w:w="940" w:type="dxa"/>
            <w:vAlign w:val="bottom"/>
            <w:tcBorders>
              <w:top w:val="single" w:sz="8" w:color="auto"/>
            </w:tcBorders>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20" w:type="dxa"/>
            <w:vAlign w:val="bottom"/>
            <w:tcBorders>
              <w:top w:val="single" w:sz="8" w:color="auto"/>
            </w:tcBorders>
            <w:shd w:val="clear" w:color="auto" w:fill="CCFFCC"/>
          </w:tcPr>
          <w:p>
            <w:pPr>
              <w:spacing w:after="0"/>
              <w:rPr>
                <w:sz w:val="22"/>
                <w:szCs w:val="22"/>
                <w:color w:val="auto"/>
              </w:rPr>
            </w:pPr>
          </w:p>
        </w:tc>
        <w:tc>
          <w:tcPr>
            <w:tcW w:w="920" w:type="dxa"/>
            <w:vAlign w:val="bottom"/>
            <w:tcBorders>
              <w:top w:val="single" w:sz="8" w:color="auto"/>
            </w:tcBorders>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00" w:type="dxa"/>
            <w:vAlign w:val="bottom"/>
            <w:tcBorders>
              <w:top w:val="single" w:sz="8" w:color="auto"/>
            </w:tcBorders>
            <w:shd w:val="clear" w:color="auto" w:fill="CCFFCC"/>
          </w:tcPr>
          <w:p>
            <w:pPr>
              <w:spacing w:after="0"/>
              <w:rPr>
                <w:sz w:val="22"/>
                <w:szCs w:val="22"/>
                <w:color w:val="auto"/>
              </w:rPr>
            </w:pPr>
          </w:p>
        </w:tc>
        <w:tc>
          <w:tcPr>
            <w:tcW w:w="920" w:type="dxa"/>
            <w:vAlign w:val="bottom"/>
            <w:tcBorders>
              <w:top w:val="single" w:sz="8" w:color="auto"/>
            </w:tcBorders>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20" w:type="dxa"/>
            <w:vAlign w:val="bottom"/>
            <w:tcBorders>
              <w:top w:val="single" w:sz="8" w:color="auto"/>
            </w:tcBorders>
            <w:shd w:val="clear" w:color="auto" w:fill="CCFFCC"/>
          </w:tcPr>
          <w:p>
            <w:pPr>
              <w:spacing w:after="0"/>
              <w:rPr>
                <w:sz w:val="22"/>
                <w:szCs w:val="22"/>
                <w:color w:val="auto"/>
              </w:rPr>
            </w:pPr>
          </w:p>
        </w:tc>
        <w:tc>
          <w:tcPr>
            <w:tcW w:w="900" w:type="dxa"/>
            <w:vAlign w:val="bottom"/>
            <w:tcBorders>
              <w:top w:val="single" w:sz="8" w:color="auto"/>
            </w:tcBorders>
            <w:shd w:val="clear" w:color="auto" w:fill="CCFFCC"/>
          </w:tcPr>
          <w:p>
            <w:pPr>
              <w:spacing w:after="0"/>
              <w:rPr>
                <w:sz w:val="22"/>
                <w:szCs w:val="22"/>
                <w:color w:val="auto"/>
              </w:rPr>
            </w:pPr>
          </w:p>
        </w:tc>
        <w:tc>
          <w:tcPr>
            <w:tcW w:w="120" w:type="dxa"/>
            <w:vAlign w:val="bottom"/>
            <w:tcBorders>
              <w:right w:val="single" w:sz="8" w:color="CCFFCC"/>
            </w:tcBorders>
            <w:shd w:val="clear" w:color="auto" w:fill="CCFFCC"/>
          </w:tcPr>
          <w:p>
            <w:pPr>
              <w:spacing w:after="0"/>
              <w:rPr>
                <w:sz w:val="22"/>
                <w:szCs w:val="22"/>
                <w:color w:val="auto"/>
              </w:rPr>
            </w:pPr>
          </w:p>
        </w:tc>
        <w:tc>
          <w:tcPr>
            <w:tcW w:w="100" w:type="dxa"/>
            <w:vAlign w:val="bottom"/>
            <w:tcBorders>
              <w:top w:val="single" w:sz="8" w:color="auto"/>
            </w:tcBorders>
            <w:shd w:val="clear" w:color="auto" w:fill="CCFFCC"/>
          </w:tcPr>
          <w:p>
            <w:pPr>
              <w:spacing w:after="0"/>
              <w:rPr>
                <w:sz w:val="22"/>
                <w:szCs w:val="22"/>
                <w:color w:val="auto"/>
              </w:rPr>
            </w:pPr>
          </w:p>
        </w:tc>
        <w:tc>
          <w:tcPr>
            <w:tcW w:w="1040" w:type="dxa"/>
            <w:vAlign w:val="bottom"/>
            <w:tcBorders>
              <w:top w:val="single" w:sz="8" w:color="auto"/>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(1,552,903)</w:t>
            </w:r>
          </w:p>
        </w:tc>
        <w:tc>
          <w:tcPr>
            <w:tcW w:w="20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02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(1,563,504)</w:t>
            </w: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(1,575,755)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19,721</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12,983</w:t>
            </w:r>
          </w:p>
        </w:tc>
        <w:tc>
          <w:tcPr>
            <w:tcW w:w="2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56,049</w:t>
            </w:r>
          </w:p>
        </w:tc>
        <w:tc>
          <w:tcPr>
            <w:tcW w:w="2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14,352</w:t>
            </w: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105,670</w:t>
            </w: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Gain on forgiveness of liabilities</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0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89,914</w:t>
            </w: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89,914</w:t>
            </w: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Gain on settlement</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375,000</w:t>
            </w:r>
          </w:p>
        </w:tc>
        <w:tc>
          <w:tcPr>
            <w:tcW w:w="22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r>
      <w:tr>
        <w:trPr>
          <w:trHeight w:val="20"/>
        </w:trPr>
        <w:tc>
          <w:tcPr>
            <w:tcW w:w="5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5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bottom w:val="single" w:sz="8" w:color="CCFFCC"/>
            </w:tcBorders>
            <w:shd w:val="clear" w:color="auto" w:fill="CCFFCC"/>
          </w:tcPr>
          <w:p>
            <w:pPr>
              <w:spacing w:after="0"/>
              <w:rPr>
                <w:sz w:val="22"/>
                <w:szCs w:val="22"/>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19,721</w:t>
            </w:r>
          </w:p>
        </w:tc>
        <w:tc>
          <w:tcPr>
            <w:tcW w:w="12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(1,539,920)</w:t>
            </w:r>
          </w:p>
        </w:tc>
        <w:tc>
          <w:tcPr>
            <w:tcW w:w="20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431,049</w:t>
            </w:r>
          </w:p>
        </w:tc>
        <w:tc>
          <w:tcPr>
            <w:tcW w:w="22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CCFFCC"/>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(1,459,238)</w:t>
            </w:r>
          </w:p>
        </w:tc>
        <w:tc>
          <w:tcPr>
            <w:tcW w:w="10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(1,005,171)</w:t>
            </w:r>
          </w:p>
        </w:tc>
      </w:tr>
      <w:tr>
        <w:trPr>
          <w:trHeight w:val="264"/>
        </w:trPr>
        <w:tc>
          <w:tcPr>
            <w:tcW w:w="5160" w:type="dxa"/>
            <w:vAlign w:val="bottom"/>
            <w:tcBorders>
              <w:top w:val="single" w:sz="8" w:color="CCFFCC"/>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8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(814,955)</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FFCC"/>
          </w:tcPr>
          <w:p>
            <w:pPr>
              <w:jc w:val="right"/>
              <w:ind w:right="45"/>
              <w:spacing w:after="0"/>
              <w:rPr>
                <w:sz w:val="20"/>
                <w:szCs w:val="20"/>
                <w:color w:val="auto"/>
              </w:rPr>
            </w:pPr>
            <w:r>
              <w:rPr>
                <w:rFonts w:ascii="Arial" w:cs="Arial" w:eastAsia="Arial" w:hAnsi="Arial"/>
                <w:sz w:val="18"/>
                <w:szCs w:val="18"/>
                <w:color w:val="auto"/>
              </w:rPr>
              <w:t>(2,509,064) $</w:t>
            </w:r>
          </w:p>
        </w:tc>
        <w:tc>
          <w:tcPr>
            <w:tcW w:w="1260" w:type="dxa"/>
            <w:vAlign w:val="bottom"/>
            <w:gridSpan w:val="3"/>
            <w:shd w:val="clear" w:color="auto" w:fill="CCFFCC"/>
          </w:tcPr>
          <w:p>
            <w:pPr>
              <w:jc w:val="right"/>
              <w:ind w:right="65"/>
              <w:spacing w:after="0"/>
              <w:rPr>
                <w:sz w:val="20"/>
                <w:szCs w:val="20"/>
                <w:color w:val="auto"/>
              </w:rPr>
            </w:pPr>
            <w:r>
              <w:rPr>
                <w:rFonts w:ascii="Arial" w:cs="Arial" w:eastAsia="Arial" w:hAnsi="Arial"/>
                <w:sz w:val="18"/>
                <w:szCs w:val="18"/>
                <w:color w:val="auto"/>
              </w:rPr>
              <w:t>(2,350,989) $</w:t>
            </w:r>
          </w:p>
        </w:tc>
        <w:tc>
          <w:tcPr>
            <w:tcW w:w="11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(2,764,765) $</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(9,428,534)</w:t>
            </w:r>
          </w:p>
        </w:tc>
      </w:tr>
      <w:tr>
        <w:trPr>
          <w:trHeight w:val="251"/>
        </w:trPr>
        <w:tc>
          <w:tcPr>
            <w:tcW w:w="5160" w:type="dxa"/>
            <w:vAlign w:val="bottom"/>
            <w:tcBorders>
              <w:top w:val="single" w:sz="8" w:color="CCFFC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r>
      <w:tr>
        <w:trPr>
          <w:trHeight w:val="26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Basic and diluted loss per common share</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(0.29)</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FFCC"/>
          </w:tcPr>
          <w:p>
            <w:pPr>
              <w:spacing w:after="0"/>
              <w:rPr>
                <w:sz w:val="22"/>
                <w:szCs w:val="22"/>
                <w:color w:val="auto"/>
              </w:rPr>
            </w:pPr>
          </w:p>
        </w:tc>
        <w:tc>
          <w:tcPr>
            <w:tcW w:w="10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15,462,616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8,745,363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14,586,704</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7,204,663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5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For The Period</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From</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July  24,</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1998 (Inception)</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Nine Months Ended</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91"/>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2007</w:t>
            </w:r>
          </w:p>
        </w:tc>
        <w:tc>
          <w:tcPr>
            <w:tcW w:w="2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Cash from operating activities:</w:t>
            </w:r>
          </w:p>
        </w:tc>
        <w:tc>
          <w:tcPr>
            <w:tcW w:w="300" w:type="dxa"/>
            <w:vAlign w:val="bottom"/>
            <w:shd w:val="clear" w:color="auto" w:fill="CCFFCC"/>
          </w:tcPr>
          <w:p>
            <w:pPr>
              <w:spacing w:after="0"/>
              <w:rPr>
                <w:sz w:val="21"/>
                <w:szCs w:val="21"/>
                <w:color w:val="auto"/>
              </w:rPr>
            </w:pPr>
          </w:p>
        </w:tc>
        <w:tc>
          <w:tcPr>
            <w:tcW w:w="1100" w:type="dxa"/>
            <w:vAlign w:val="bottom"/>
            <w:tcBorders>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(2,350,989)</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(2,764,765)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(9,428,534)</w:t>
            </w: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FFCC"/>
          </w:tcPr>
          <w:p>
            <w:pPr>
              <w:spacing w:after="0"/>
              <w:rPr>
                <w:sz w:val="21"/>
                <w:szCs w:val="21"/>
                <w:color w:val="auto"/>
              </w:rPr>
            </w:pPr>
          </w:p>
        </w:tc>
        <w:tc>
          <w:tcPr>
            <w:tcW w:w="1100" w:type="dxa"/>
            <w:vAlign w:val="bottom"/>
            <w:tcBorders>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Estimated fair value of contributed services</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2,475,000</w:t>
            </w: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Gain on forgiveness of liabilities</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(89,914)</w:t>
            </w:r>
          </w:p>
        </w:tc>
        <w:tc>
          <w:tcPr>
            <w:tcW w:w="48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(89,914)</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Amortization of prepaid consulting fees and depreciation</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284,598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28,752</w:t>
            </w:r>
          </w:p>
        </w:tc>
        <w:tc>
          <w:tcPr>
            <w:tcW w:w="4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485,850</w:t>
            </w: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Non-cash interest on notes payable</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1,563,504</w:t>
            </w: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1,575,755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504,566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43,051</w:t>
            </w:r>
          </w:p>
        </w:tc>
        <w:tc>
          <w:tcPr>
            <w:tcW w:w="4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689,088</w:t>
            </w: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FFCC"/>
          </w:tcPr>
          <w:p>
            <w:pPr>
              <w:spacing w:after="0"/>
              <w:rPr>
                <w:sz w:val="21"/>
                <w:szCs w:val="21"/>
                <w:color w:val="auto"/>
              </w:rPr>
            </w:pPr>
          </w:p>
        </w:tc>
        <w:tc>
          <w:tcPr>
            <w:tcW w:w="1100" w:type="dxa"/>
            <w:vAlign w:val="bottom"/>
            <w:tcBorders>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Prepaid consulting costs</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(140,000)</w:t>
            </w:r>
          </w:p>
        </w:tc>
        <w:tc>
          <w:tcPr>
            <w:tcW w:w="48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(164,396)</w:t>
            </w: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(44,132)</w:t>
            </w:r>
          </w:p>
        </w:tc>
        <w:tc>
          <w:tcPr>
            <w:tcW w:w="48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43"/>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(172,824)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117,102</w:t>
            </w:r>
          </w:p>
        </w:tc>
        <w:tc>
          <w:tcPr>
            <w:tcW w:w="4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613,430</w:t>
            </w:r>
          </w:p>
        </w:tc>
        <w:tc>
          <w:tcPr>
            <w:tcW w:w="0" w:type="dxa"/>
            <w:vAlign w:val="bottom"/>
          </w:tcPr>
          <w:p>
            <w:pPr>
              <w:spacing w:after="0"/>
              <w:rPr>
                <w:sz w:val="1"/>
                <w:szCs w:val="1"/>
                <w:color w:val="auto"/>
              </w:rPr>
            </w:pPr>
          </w:p>
        </w:tc>
      </w:tr>
      <w:tr>
        <w:trPr>
          <w:trHeight w:val="275"/>
        </w:trPr>
        <w:tc>
          <w:tcPr>
            <w:tcW w:w="6740" w:type="dxa"/>
            <w:vAlign w:val="bottom"/>
            <w:tcBorders>
              <w:bottom w:val="single" w:sz="8" w:color="CCFFCC"/>
            </w:tcBorders>
            <w:gridSpan w:val="2"/>
            <w:shd w:val="clear" w:color="auto" w:fill="CCFFCC"/>
          </w:tcPr>
          <w:p>
            <w:pPr>
              <w:ind w:left="500"/>
              <w:spacing w:after="0"/>
              <w:rPr>
                <w:sz w:val="20"/>
                <w:szCs w:val="20"/>
                <w:color w:val="auto"/>
              </w:rPr>
            </w:pPr>
            <w:r>
              <w:rPr>
                <w:rFonts w:ascii="Arial" w:cs="Arial" w:eastAsia="Arial" w:hAnsi="Arial"/>
                <w:sz w:val="18"/>
                <w:szCs w:val="18"/>
                <w:color w:val="auto"/>
              </w:rPr>
              <w:t>Accrued expenses and payroll liabilities</w:t>
            </w:r>
          </w:p>
        </w:tc>
        <w:tc>
          <w:tcPr>
            <w:tcW w:w="300" w:type="dxa"/>
            <w:vAlign w:val="bottom"/>
            <w:tcBorders>
              <w:bottom w:val="single" w:sz="8" w:color="CCFFCC"/>
            </w:tcBorders>
            <w:shd w:val="clear" w:color="auto" w:fill="CCFFCC"/>
          </w:tcPr>
          <w:p>
            <w:pPr>
              <w:spacing w:after="0"/>
              <w:rPr>
                <w:sz w:val="23"/>
                <w:szCs w:val="23"/>
                <w:color w:val="auto"/>
              </w:rPr>
            </w:pPr>
          </w:p>
        </w:tc>
        <w:tc>
          <w:tcPr>
            <w:tcW w:w="110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30,052</w:t>
            </w:r>
          </w:p>
        </w:tc>
        <w:tc>
          <w:tcPr>
            <w:tcW w:w="1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46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42,128</w:t>
            </w:r>
          </w:p>
        </w:tc>
        <w:tc>
          <w:tcPr>
            <w:tcW w:w="48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83,953</w:t>
            </w:r>
          </w:p>
        </w:tc>
        <w:tc>
          <w:tcPr>
            <w:tcW w:w="0" w:type="dxa"/>
            <w:vAlign w:val="bottom"/>
          </w:tcPr>
          <w:p>
            <w:pPr>
              <w:spacing w:after="0"/>
              <w:rPr>
                <w:sz w:val="1"/>
                <w:szCs w:val="1"/>
                <w:color w:val="auto"/>
              </w:rPr>
            </w:pPr>
          </w:p>
        </w:tc>
      </w:tr>
      <w:tr>
        <w:trPr>
          <w:trHeight w:val="264"/>
        </w:trPr>
        <w:tc>
          <w:tcPr>
            <w:tcW w:w="6740" w:type="dxa"/>
            <w:vAlign w:val="bottom"/>
            <w:tcBorders>
              <w:top w:val="single" w:sz="8" w:color="CCFFCC"/>
            </w:tcBorders>
            <w:gridSpan w:val="2"/>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CCFFCC"/>
            </w:tcBorders>
            <w:shd w:val="clear" w:color="auto" w:fill="CCFFCC"/>
          </w:tcPr>
          <w:p>
            <w:pPr>
              <w:spacing w:after="0"/>
              <w:rPr>
                <w:sz w:val="23"/>
                <w:szCs w:val="23"/>
                <w:color w:val="auto"/>
              </w:rPr>
            </w:pPr>
          </w:p>
        </w:tc>
        <w:tc>
          <w:tcPr>
            <w:tcW w:w="122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(1,868,993)</w:t>
            </w:r>
          </w:p>
        </w:tc>
        <w:tc>
          <w:tcPr>
            <w:tcW w:w="100" w:type="dxa"/>
            <w:vAlign w:val="bottom"/>
            <w:tcBorders>
              <w:bottom w:val="single" w:sz="8" w:color="CCFFCC"/>
            </w:tcBorders>
            <w:shd w:val="clear" w:color="auto" w:fill="CCFFCC"/>
          </w:tcPr>
          <w:p>
            <w:pPr>
              <w:spacing w:after="0"/>
              <w:rPr>
                <w:sz w:val="23"/>
                <w:szCs w:val="23"/>
                <w:color w:val="auto"/>
              </w:rPr>
            </w:pPr>
          </w:p>
        </w:tc>
        <w:tc>
          <w:tcPr>
            <w:tcW w:w="46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(1,069,274)</w:t>
            </w:r>
          </w:p>
        </w:tc>
        <w:tc>
          <w:tcPr>
            <w:tcW w:w="48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9"/>
              </w:rPr>
              <w:t>(3,945,372)</w:t>
            </w:r>
          </w:p>
        </w:tc>
        <w:tc>
          <w:tcPr>
            <w:tcW w:w="0" w:type="dxa"/>
            <w:vAlign w:val="bottom"/>
          </w:tcPr>
          <w:p>
            <w:pPr>
              <w:spacing w:after="0"/>
              <w:rPr>
                <w:sz w:val="1"/>
                <w:szCs w:val="1"/>
                <w:color w:val="auto"/>
              </w:rPr>
            </w:pPr>
          </w:p>
        </w:tc>
      </w:tr>
      <w:tr>
        <w:trPr>
          <w:trHeight w:val="264"/>
        </w:trPr>
        <w:tc>
          <w:tcPr>
            <w:tcW w:w="6520" w:type="dxa"/>
            <w:vAlign w:val="bottom"/>
            <w:tcBorders>
              <w:top w:val="single" w:sz="8" w:color="CCFFCC"/>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FFCC"/>
          </w:tcPr>
          <w:p>
            <w:pPr>
              <w:spacing w:after="0"/>
              <w:rPr>
                <w:sz w:val="21"/>
                <w:szCs w:val="21"/>
                <w:color w:val="auto"/>
              </w:rPr>
            </w:pPr>
          </w:p>
        </w:tc>
        <w:tc>
          <w:tcPr>
            <w:tcW w:w="1100" w:type="dxa"/>
            <w:vAlign w:val="bottom"/>
            <w:tcBorders>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Purchase of equipment</w:t>
            </w:r>
          </w:p>
        </w:tc>
        <w:tc>
          <w:tcPr>
            <w:tcW w:w="30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7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FFCC"/>
            </w:tcBorders>
            <w:shd w:val="clear" w:color="auto" w:fill="CCFFCC"/>
          </w:tcPr>
          <w:p>
            <w:pPr>
              <w:spacing w:after="0"/>
              <w:rPr>
                <w:sz w:val="22"/>
                <w:szCs w:val="22"/>
                <w:color w:val="auto"/>
              </w:rPr>
            </w:pPr>
          </w:p>
        </w:tc>
        <w:tc>
          <w:tcPr>
            <w:tcW w:w="122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FFCC"/>
            </w:tcBorders>
            <w:shd w:val="clear" w:color="auto" w:fill="CCFFCC"/>
          </w:tcPr>
          <w:p>
            <w:pPr>
              <w:spacing w:after="0"/>
              <w:rPr>
                <w:sz w:val="22"/>
                <w:szCs w:val="22"/>
                <w:color w:val="auto"/>
              </w:rPr>
            </w:pPr>
          </w:p>
        </w:tc>
        <w:tc>
          <w:tcPr>
            <w:tcW w:w="46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64"/>
        </w:trPr>
        <w:tc>
          <w:tcPr>
            <w:tcW w:w="6520" w:type="dxa"/>
            <w:vAlign w:val="bottom"/>
            <w:tcBorders>
              <w:top w:val="single" w:sz="8" w:color="CCFFCC"/>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FFCC"/>
          </w:tcPr>
          <w:p>
            <w:pPr>
              <w:spacing w:after="0"/>
              <w:rPr>
                <w:sz w:val="21"/>
                <w:szCs w:val="21"/>
                <w:color w:val="auto"/>
              </w:rPr>
            </w:pPr>
          </w:p>
        </w:tc>
        <w:tc>
          <w:tcPr>
            <w:tcW w:w="1100" w:type="dxa"/>
            <w:vAlign w:val="bottom"/>
            <w:tcBorders>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Proceeds from notes payable to stockholders</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226,300</w:t>
            </w: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Proceeds from notes payable</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Capital contributions</w:t>
            </w:r>
          </w:p>
        </w:tc>
        <w:tc>
          <w:tcPr>
            <w:tcW w:w="3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105,907</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168,707</w:t>
            </w: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5"/>
              </w:rPr>
              <w:t>Proceeds from purchase of common stock and exercise of warrants and stock options</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25,750</w:t>
            </w:r>
          </w:p>
        </w:tc>
        <w:tc>
          <w:tcPr>
            <w:tcW w:w="48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49,950</w:t>
            </w:r>
          </w:p>
        </w:tc>
        <w:tc>
          <w:tcPr>
            <w:tcW w:w="0" w:type="dxa"/>
            <w:vAlign w:val="bottom"/>
          </w:tcPr>
          <w:p>
            <w:pPr>
              <w:spacing w:after="0"/>
              <w:rPr>
                <w:sz w:val="1"/>
                <w:szCs w:val="1"/>
                <w:color w:val="auto"/>
              </w:rPr>
            </w:pPr>
          </w:p>
        </w:tc>
      </w:tr>
      <w:tr>
        <w:trPr>
          <w:trHeight w:val="270"/>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Net proceeds from Private Placements</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3,941,301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3,735,167</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7,779,092</w:t>
            </w:r>
          </w:p>
        </w:tc>
        <w:tc>
          <w:tcPr>
            <w:tcW w:w="0" w:type="dxa"/>
            <w:vAlign w:val="bottom"/>
          </w:tcPr>
          <w:p>
            <w:pPr>
              <w:spacing w:after="0"/>
              <w:rPr>
                <w:sz w:val="1"/>
                <w:szCs w:val="1"/>
                <w:color w:val="auto"/>
              </w:rPr>
            </w:pPr>
          </w:p>
        </w:tc>
      </w:tr>
      <w:tr>
        <w:trPr>
          <w:trHeight w:val="264"/>
        </w:trPr>
        <w:tc>
          <w:tcPr>
            <w:tcW w:w="652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300" w:type="dxa"/>
            <w:vAlign w:val="bottom"/>
            <w:tcBorders>
              <w:top w:val="single" w:sz="8" w:color="auto"/>
            </w:tcBorders>
            <w:shd w:val="clear" w:color="auto" w:fill="CCFFCC"/>
          </w:tcPr>
          <w:p>
            <w:pPr>
              <w:spacing w:after="0"/>
              <w:rPr>
                <w:sz w:val="22"/>
                <w:szCs w:val="22"/>
                <w:color w:val="auto"/>
              </w:rPr>
            </w:pPr>
          </w:p>
        </w:tc>
        <w:tc>
          <w:tcPr>
            <w:tcW w:w="1100" w:type="dxa"/>
            <w:vAlign w:val="bottom"/>
            <w:tcBorders>
              <w:top w:val="single" w:sz="8" w:color="auto"/>
              <w:right w:val="single" w:sz="8" w:color="CCFFCC"/>
            </w:tcBorders>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460" w:type="dxa"/>
            <w:vAlign w:val="bottom"/>
            <w:tcBorders>
              <w:top w:val="single" w:sz="8" w:color="auto"/>
            </w:tcBorders>
            <w:shd w:val="clear" w:color="auto" w:fill="CCFFCC"/>
          </w:tcPr>
          <w:p>
            <w:pPr>
              <w:spacing w:after="0"/>
              <w:rPr>
                <w:sz w:val="22"/>
                <w:szCs w:val="22"/>
                <w:color w:val="auto"/>
              </w:rPr>
            </w:pPr>
          </w:p>
        </w:tc>
        <w:tc>
          <w:tcPr>
            <w:tcW w:w="92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480" w:type="dxa"/>
            <w:vAlign w:val="bottom"/>
            <w:tcBorders>
              <w:top w:val="single" w:sz="8" w:color="auto"/>
            </w:tcBorders>
            <w:shd w:val="clear" w:color="auto" w:fill="CCFFCC"/>
          </w:tcPr>
          <w:p>
            <w:pPr>
              <w:spacing w:after="0"/>
              <w:rPr>
                <w:sz w:val="22"/>
                <w:szCs w:val="22"/>
                <w:color w:val="auto"/>
              </w:rPr>
            </w:pPr>
          </w:p>
        </w:tc>
        <w:tc>
          <w:tcPr>
            <w:tcW w:w="880" w:type="dxa"/>
            <w:vAlign w:val="bottom"/>
            <w:tcBorders>
              <w:top w:val="single" w:sz="8" w:color="auto"/>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7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3,941,301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5,366,824</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9,724,049</w:t>
            </w:r>
          </w:p>
        </w:tc>
        <w:tc>
          <w:tcPr>
            <w:tcW w:w="0" w:type="dxa"/>
            <w:vAlign w:val="bottom"/>
          </w:tcPr>
          <w:p>
            <w:pPr>
              <w:spacing w:after="0"/>
              <w:rPr>
                <w:sz w:val="1"/>
                <w:szCs w:val="1"/>
                <w:color w:val="auto"/>
              </w:rPr>
            </w:pPr>
          </w:p>
        </w:tc>
      </w:tr>
      <w:tr>
        <w:trPr>
          <w:trHeight w:val="264"/>
        </w:trPr>
        <w:tc>
          <w:tcPr>
            <w:tcW w:w="652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300" w:type="dxa"/>
            <w:vAlign w:val="bottom"/>
            <w:tcBorders>
              <w:top w:val="single" w:sz="8" w:color="auto"/>
            </w:tcBorders>
            <w:shd w:val="clear" w:color="auto" w:fill="CCFFCC"/>
          </w:tcPr>
          <w:p>
            <w:pPr>
              <w:spacing w:after="0"/>
              <w:rPr>
                <w:sz w:val="22"/>
                <w:szCs w:val="22"/>
                <w:color w:val="auto"/>
              </w:rPr>
            </w:pPr>
          </w:p>
        </w:tc>
        <w:tc>
          <w:tcPr>
            <w:tcW w:w="1100" w:type="dxa"/>
            <w:vAlign w:val="bottom"/>
            <w:tcBorders>
              <w:top w:val="single" w:sz="8" w:color="auto"/>
              <w:right w:val="single" w:sz="8" w:color="CCFFCC"/>
            </w:tcBorders>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460" w:type="dxa"/>
            <w:vAlign w:val="bottom"/>
            <w:tcBorders>
              <w:top w:val="single" w:sz="8" w:color="auto"/>
            </w:tcBorders>
            <w:shd w:val="clear" w:color="auto" w:fill="CCFFCC"/>
          </w:tcPr>
          <w:p>
            <w:pPr>
              <w:spacing w:after="0"/>
              <w:rPr>
                <w:sz w:val="22"/>
                <w:szCs w:val="22"/>
                <w:color w:val="auto"/>
              </w:rPr>
            </w:pPr>
          </w:p>
        </w:tc>
        <w:tc>
          <w:tcPr>
            <w:tcW w:w="92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480" w:type="dxa"/>
            <w:vAlign w:val="bottom"/>
            <w:tcBorders>
              <w:top w:val="single" w:sz="8" w:color="auto"/>
            </w:tcBorders>
            <w:shd w:val="clear" w:color="auto" w:fill="CCFFCC"/>
          </w:tcPr>
          <w:p>
            <w:pPr>
              <w:spacing w:after="0"/>
              <w:rPr>
                <w:sz w:val="22"/>
                <w:szCs w:val="22"/>
                <w:color w:val="auto"/>
              </w:rPr>
            </w:pPr>
          </w:p>
        </w:tc>
        <w:tc>
          <w:tcPr>
            <w:tcW w:w="880" w:type="dxa"/>
            <w:vAlign w:val="bottom"/>
            <w:tcBorders>
              <w:top w:val="single" w:sz="8" w:color="auto"/>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2,069,154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4,297,550</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5,775,523</w:t>
            </w:r>
          </w:p>
        </w:tc>
        <w:tc>
          <w:tcPr>
            <w:tcW w:w="0" w:type="dxa"/>
            <w:vAlign w:val="bottom"/>
          </w:tcPr>
          <w:p>
            <w:pPr>
              <w:spacing w:after="0"/>
              <w:rPr>
                <w:sz w:val="1"/>
                <w:szCs w:val="1"/>
                <w:color w:val="auto"/>
              </w:rPr>
            </w:pPr>
          </w:p>
        </w:tc>
      </w:tr>
      <w:tr>
        <w:trPr>
          <w:trHeight w:val="270"/>
        </w:trPr>
        <w:tc>
          <w:tcPr>
            <w:tcW w:w="652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300" w:type="dxa"/>
            <w:vAlign w:val="bottom"/>
            <w:shd w:val="clear" w:color="auto" w:fill="CCFFCC"/>
          </w:tcPr>
          <w:p>
            <w:pPr>
              <w:spacing w:after="0"/>
              <w:rPr>
                <w:sz w:val="23"/>
                <w:szCs w:val="23"/>
                <w:color w:val="auto"/>
              </w:rPr>
            </w:pPr>
          </w:p>
        </w:tc>
        <w:tc>
          <w:tcPr>
            <w:tcW w:w="1100" w:type="dxa"/>
            <w:vAlign w:val="bottom"/>
            <w:tcBorders>
              <w:right w:val="single" w:sz="8" w:color="CCFFCC"/>
            </w:tcBorders>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46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48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3,706,369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542</w:t>
            </w:r>
          </w:p>
        </w:tc>
        <w:tc>
          <w:tcPr>
            <w:tcW w:w="4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52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300" w:type="dxa"/>
            <w:vAlign w:val="bottom"/>
            <w:tcBorders>
              <w:top w:val="single" w:sz="8" w:color="auto"/>
            </w:tcBorders>
            <w:shd w:val="clear" w:color="auto" w:fill="CCFFCC"/>
          </w:tcPr>
          <w:p>
            <w:pPr>
              <w:spacing w:after="0"/>
              <w:rPr>
                <w:sz w:val="22"/>
                <w:szCs w:val="22"/>
                <w:color w:val="auto"/>
              </w:rPr>
            </w:pPr>
          </w:p>
        </w:tc>
        <w:tc>
          <w:tcPr>
            <w:tcW w:w="1100" w:type="dxa"/>
            <w:vAlign w:val="bottom"/>
            <w:tcBorders>
              <w:top w:val="single" w:sz="8" w:color="auto"/>
              <w:right w:val="single" w:sz="8" w:color="CCFFCC"/>
            </w:tcBorders>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460" w:type="dxa"/>
            <w:vAlign w:val="bottom"/>
            <w:tcBorders>
              <w:top w:val="single" w:sz="8" w:color="auto"/>
            </w:tcBorders>
            <w:shd w:val="clear" w:color="auto" w:fill="CCFFCC"/>
          </w:tcPr>
          <w:p>
            <w:pPr>
              <w:spacing w:after="0"/>
              <w:rPr>
                <w:sz w:val="22"/>
                <w:szCs w:val="22"/>
                <w:color w:val="auto"/>
              </w:rPr>
            </w:pPr>
          </w:p>
        </w:tc>
        <w:tc>
          <w:tcPr>
            <w:tcW w:w="92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480" w:type="dxa"/>
            <w:vAlign w:val="bottom"/>
            <w:tcBorders>
              <w:top w:val="single" w:sz="8" w:color="auto"/>
            </w:tcBorders>
            <w:shd w:val="clear" w:color="auto" w:fill="CCFFCC"/>
          </w:tcPr>
          <w:p>
            <w:pPr>
              <w:spacing w:after="0"/>
              <w:rPr>
                <w:sz w:val="22"/>
                <w:szCs w:val="22"/>
                <w:color w:val="auto"/>
              </w:rPr>
            </w:pPr>
          </w:p>
        </w:tc>
        <w:tc>
          <w:tcPr>
            <w:tcW w:w="880" w:type="dxa"/>
            <w:vAlign w:val="bottom"/>
            <w:tcBorders>
              <w:top w:val="single" w:sz="8" w:color="auto"/>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5,775,523</w:t>
            </w:r>
          </w:p>
        </w:tc>
        <w:tc>
          <w:tcPr>
            <w:tcW w:w="120" w:type="dxa"/>
            <w:vAlign w:val="bottom"/>
          </w:tcPr>
          <w:p>
            <w:pPr>
              <w:spacing w:after="0"/>
              <w:rPr>
                <w:sz w:val="21"/>
                <w:szCs w:val="21"/>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4,298,092</w:t>
            </w:r>
          </w:p>
        </w:tc>
        <w:tc>
          <w:tcPr>
            <w:tcW w:w="2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5,775,523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5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00" w:type="dxa"/>
            <w:vAlign w:val="bottom"/>
            <w:tcBorders>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740" w:type="dxa"/>
            <w:vAlign w:val="bottom"/>
            <w:gridSpan w:val="2"/>
            <w:shd w:val="clear" w:color="auto" w:fill="CCFFCC"/>
          </w:tcPr>
          <w:p>
            <w:pPr>
              <w:ind w:left="340"/>
              <w:spacing w:after="0" w:line="201" w:lineRule="exact"/>
              <w:rPr>
                <w:sz w:val="20"/>
                <w:szCs w:val="20"/>
                <w:color w:val="auto"/>
              </w:rPr>
            </w:pPr>
            <w:r>
              <w:rPr>
                <w:rFonts w:ascii="Arial" w:cs="Arial" w:eastAsia="Arial" w:hAnsi="Arial"/>
                <w:sz w:val="18"/>
                <w:szCs w:val="18"/>
                <w:color w:val="auto"/>
                <w:w w:val="97"/>
              </w:rPr>
              <w:t>Adjustment/issuance of common stock and warrants to consulting firms for prepaid</w:t>
            </w:r>
          </w:p>
        </w:tc>
        <w:tc>
          <w:tcPr>
            <w:tcW w:w="300" w:type="dxa"/>
            <w:vAlign w:val="bottom"/>
            <w:shd w:val="clear" w:color="auto" w:fill="CCFFCC"/>
          </w:tcPr>
          <w:p>
            <w:pPr>
              <w:spacing w:after="0"/>
              <w:rPr>
                <w:sz w:val="17"/>
                <w:szCs w:val="17"/>
                <w:color w:val="auto"/>
              </w:rPr>
            </w:pPr>
          </w:p>
        </w:tc>
        <w:tc>
          <w:tcPr>
            <w:tcW w:w="1100" w:type="dxa"/>
            <w:vAlign w:val="bottom"/>
            <w:tcBorders>
              <w:righ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74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consulting fees, net</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(203,826)</w:t>
            </w:r>
          </w:p>
        </w:tc>
        <w:tc>
          <w:tcPr>
            <w:tcW w:w="56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346,174</w:t>
            </w:r>
          </w:p>
        </w:tc>
        <w:tc>
          <w:tcPr>
            <w:tcW w:w="0" w:type="dxa"/>
            <w:vAlign w:val="bottom"/>
          </w:tcPr>
          <w:p>
            <w:pPr>
              <w:spacing w:after="0"/>
              <w:rPr>
                <w:sz w:val="1"/>
                <w:szCs w:val="1"/>
                <w:color w:val="auto"/>
              </w:rPr>
            </w:pPr>
          </w:p>
        </w:tc>
      </w:tr>
      <w:tr>
        <w:trPr>
          <w:trHeight w:val="20"/>
        </w:trPr>
        <w:tc>
          <w:tcPr>
            <w:tcW w:w="65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gridSpan w:val="2"/>
          </w:tcPr>
          <w:p>
            <w:pPr>
              <w:ind w:left="340"/>
              <w:spacing w:after="0"/>
              <w:rPr>
                <w:sz w:val="20"/>
                <w:szCs w:val="20"/>
                <w:color w:val="auto"/>
              </w:rPr>
            </w:pPr>
            <w:r>
              <w:rPr>
                <w:rFonts w:ascii="Arial" w:cs="Arial" w:eastAsia="Arial" w:hAnsi="Arial"/>
                <w:sz w:val="18"/>
                <w:szCs w:val="18"/>
                <w:color w:val="auto"/>
              </w:rPr>
              <w:t>Conversion of notes payable and accrued interest into common stock</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1,530,177</w:t>
            </w:r>
          </w:p>
        </w:tc>
        <w:tc>
          <w:tcPr>
            <w:tcW w:w="2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1,530,177</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4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Forgiveness of notes payable and accrued interest to shareholders</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241,701</w:t>
            </w: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241,701</w:t>
            </w:r>
          </w:p>
        </w:tc>
        <w:tc>
          <w:tcPr>
            <w:tcW w:w="0" w:type="dxa"/>
            <w:vAlign w:val="bottom"/>
          </w:tcPr>
          <w:p>
            <w:pPr>
              <w:spacing w:after="0"/>
              <w:rPr>
                <w:sz w:val="1"/>
                <w:szCs w:val="1"/>
                <w:color w:val="auto"/>
              </w:rPr>
            </w:pPr>
          </w:p>
        </w:tc>
      </w:tr>
      <w:tr>
        <w:trPr>
          <w:trHeight w:val="20"/>
        </w:trPr>
        <w:tc>
          <w:tcPr>
            <w:tcW w:w="65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gridSpan w:val="2"/>
          </w:tcPr>
          <w:p>
            <w:pPr>
              <w:ind w:left="340"/>
              <w:spacing w:after="0"/>
              <w:rPr>
                <w:sz w:val="20"/>
                <w:szCs w:val="20"/>
                <w:color w:val="auto"/>
              </w:rPr>
            </w:pPr>
            <w:r>
              <w:rPr>
                <w:rFonts w:ascii="Arial" w:cs="Arial" w:eastAsia="Arial" w:hAnsi="Arial"/>
                <w:sz w:val="18"/>
                <w:szCs w:val="18"/>
                <w:color w:val="auto"/>
              </w:rPr>
              <w:t>Conversion of notes payable to shareholders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196,300</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56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5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Business Description</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Transdel Pharmaceuticals, Inc. (“Transdel” or the “Company”) is a specialty pharmaceutical company focused on the development and commercialization of non-invasive topically delivered products. The Company’s lead topical drug, Ketotransdel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utilizes the Company’s proprietary Transdel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cream formulation to facilitate the passage of ketoprofen, a non-steroidal anti-inflammatory drug (“NSAID”), through the skin barrier to reach targeted underlying tissue where the drug exerts its localized anti-inflammatory and analgesic effect. The Company is also investigating other drug candidates and treatments for transdermal delivery using the Transdel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platform technology for products in pain management and other therapeutic areas.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prepared the accompanying unaudited condensed consolidated financial statements in accordance with United States generally accepted accounting principles (“GAAP”) for interim financial information and with the rules and regulations of the Securities and Exchange Commission (the “SEC”) related to a Quarterly Report on Form 10-Q and Article 8 of Regulation S-X. Accordingly, they do not include all of the information and disclosures required by GAAP for annual financial statements. The consolidated financial statements include the accounts of Transdel and its wholly owned subsidiary, Transdel Pharmaceuticals Holdings, Inc. (formerly known as Trans-Pharma Corporation). All significant intercompany balances and transactions have been eliminated in consolidation. In the opinion of the Company’s management, the accompanying condensed consolidated financial statements contain all the adjustments necessary (consisting only of normal recurring accruals) to make the financial position of the Company as of September 30, 2008, the results of operations for three and nine months ended September 30, 2008 and 2007, and cash flows for the nine months ended September 30, 2008 and 2007, fairly stated. The condensed consolidated financial statements should be read in conjunction with the audited financial statements for the year ended December 31, 2007 contained in Form 10-KSB filed on March 26, 2008 with the SEC. Interim operating results are not necessarily indicative of operating results for the full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Merger with Public Company and Reorganization</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17, 2007, Transdel entered into an Agreement of Merger and Plan of Reorganization (the “Merger Agreement”) by and among Transdel, Transdel Pharmaceuticals Holdings, Inc., a privately held Nevada corporation (“Transdel Holdings”), and Trans-Pharma Acquisition Corp., a newly formed, wholly owned Delaware subsidiary of Transdel (“Acquisition Sub”). Upon closing of the merger transaction contemplated under the Merger Agreement (the “Merger”), Acquisition Sub merged with and into Transdel Holdings, and Transdel Holdings, as the surviving corporation, became a wholly owned subsidiary of Transdel.</w:t>
      </w:r>
    </w:p>
    <w:p>
      <w:pPr>
        <w:spacing w:after="0" w:line="2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Merger, 1,849,993 shares of Transdel common stock remain outstanding and all other outstanding shares of Transdel were cancelled. Also, at the closing of the Merger, each share of Transdel Holdings common stock issued and outstanding immediately prior to the closing of the Merger was exchanged for the right to receive 0.15625 of one share of Transdel’s common stock. An aggregate of 8,000,000 shares of Transdel’s common stock, which included 195,313 shares of restricted stock which were subject to forfeiture (see Note 7), were issued to the holders of Transdel Holdings’ common stock. As a result of the transaction, the former owners of Transdel Holdings became the controlling stockholders of Transdel. Accordingly, the merger of Transdel Holdings and Transdel is a reverse merger that has been accounted for as a recapitalization of Transdel Holdings.</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on September 17, 2007, and for all reporting periods thereafter, Transdel’s operating activities, including any prior comparative period, will include only those of Transdel Holdings. All references to shares and per share amounts in the accompanying condensed consolidated financial statements have been restated to reflect the aforementioned share exchange.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Going Concern</w:t>
      </w:r>
      <w:r>
        <w:rPr>
          <w:rFonts w:ascii="Arial" w:cs="Arial" w:eastAsia="Arial" w:hAnsi="Arial"/>
          <w:sz w:val="16"/>
          <w:szCs w:val="16"/>
          <w:color w:val="auto"/>
        </w:rPr>
        <w:t>. The accompanying unaudited condensed consolidated financial statements have been prepared on a going-concern basis, which contemplates</w:t>
      </w:r>
      <w:r>
        <w:rPr>
          <w:rFonts w:ascii="Arial" w:cs="Arial" w:eastAsia="Arial" w:hAnsi="Arial"/>
          <w:sz w:val="16"/>
          <w:szCs w:val="16"/>
          <w:i w:val="1"/>
          <w:iCs w:val="1"/>
          <w:color w:val="auto"/>
        </w:rPr>
        <w:t xml:space="preserve"> </w:t>
      </w:r>
      <w:r>
        <w:rPr>
          <w:rFonts w:ascii="Arial" w:cs="Arial" w:eastAsia="Arial" w:hAnsi="Arial"/>
          <w:sz w:val="16"/>
          <w:szCs w:val="16"/>
          <w:color w:val="auto"/>
        </w:rPr>
        <w:t>the realization of assets and the satisfaction of liabilities in the normal course of business. The Company has incurred recurring operating losses, had negative operating cash flows and has not recognized any revenues since July 24, 1998 (“Inception”). In addition, the Company had an accumulated deficit during the development stage of $9,428,534 at September 30, 2008. These factors raise substantial doubt about the Company’s ability to continue as a going concern.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continuation as a going concern is dependent on its ability to obtain additional financing to fund operations, implement its business model, and ultimately, to attain profitable operations. The Company intends to obtain additional financing to fund its operations through equity or debt financing, or a corporate partnership for its lead topical drug, Ketotransdel™ . However, there is no assurance that sufficient financing will be available or, if available, on terms that would be acceptable to the Company.</w:t>
      </w:r>
    </w:p>
    <w:p>
      <w:pPr>
        <w:spacing w:after="0" w:line="24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unaudited condensed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Development Stage Enterprise. </w:t>
      </w:r>
      <w:r>
        <w:rPr>
          <w:rFonts w:ascii="Arial" w:cs="Arial" w:eastAsia="Arial" w:hAnsi="Arial"/>
          <w:sz w:val="18"/>
          <w:szCs w:val="18"/>
          <w:color w:val="auto"/>
        </w:rPr>
        <w:t>The Company is a development stage company as defined in Statement of Financial Accounting Standards (“SFAS”) No. 7,</w:t>
      </w:r>
      <w:r>
        <w:rPr>
          <w:rFonts w:ascii="Arial" w:cs="Arial" w:eastAsia="Arial" w:hAnsi="Arial"/>
          <w:sz w:val="18"/>
          <w:szCs w:val="18"/>
          <w:i w:val="1"/>
          <w:iCs w:val="1"/>
          <w:color w:val="auto"/>
        </w:rPr>
        <w:t xml:space="preserve"> Accounting and Reporting by Development Stage Enterprises </w:t>
      </w:r>
      <w:r>
        <w:rPr>
          <w:rFonts w:ascii="Arial" w:cs="Arial" w:eastAsia="Arial" w:hAnsi="Arial"/>
          <w:sz w:val="18"/>
          <w:szCs w:val="18"/>
          <w:color w:val="auto"/>
        </w:rPr>
        <w:t>. The Company is devoting substantially all of its present efforts to establish a new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and its planned principal operations have not yet commenced. All losses accumulated since Inception have been considered as part of the Company’s development stage activities.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costs are charged to expense when incurred.</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and cash equivalents</w:t>
      </w:r>
      <w:r>
        <w:rPr>
          <w:rFonts w:ascii="Arial" w:cs="Arial" w:eastAsia="Arial" w:hAnsi="Arial"/>
          <w:sz w:val="16"/>
          <w:szCs w:val="16"/>
          <w:color w:val="auto"/>
        </w:rPr>
        <w:t>. Cash equivalents consist of highly liquid investments with maturities of three months or less from the original purchase date.</w:t>
      </w:r>
    </w:p>
    <w:p>
      <w:pPr>
        <w:spacing w:after="0" w:line="3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Concentrations of Credit Risk. </w:t>
      </w:r>
      <w:r>
        <w:rPr>
          <w:rFonts w:ascii="Arial" w:cs="Arial" w:eastAsia="Arial" w:hAnsi="Arial"/>
          <w:sz w:val="16"/>
          <w:szCs w:val="16"/>
          <w:color w:val="auto"/>
        </w:rPr>
        <w:t>Financial instruments that potentially subject the Company to a concentration of credit risk consist primarily of cash and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In order to minimize the Company’s risk related to the cash equivalents, they are maintained in a money market demand account. Due to the short-term nature of this investment, the Company believes that there is no material exposure to interest rate risk. The Company maintains its cash and cash equivalents at a high-quality institution that is insured by the Federal Deposit Insurance Corporation (“FDIC”). The Company performs an ongoing evaluation of this institution. On October 3, 2008, FDIC deposit insurance temporarily increased from $100,000 to $250,000 through December 31, 2009, therefore, based on the cash and cash equivalent balance as of September 30, 2008, the Company had $5,525,523 in excess of the increased limit.</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fair values of the Company’s cash and cash equivalents, accounts payable and accrued expenses approximate their</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values due to their short maturities.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Beneficial Conversion Feature. </w:t>
      </w:r>
      <w:r>
        <w:rPr>
          <w:rFonts w:ascii="Arial" w:cs="Arial" w:eastAsia="Arial" w:hAnsi="Arial"/>
          <w:sz w:val="18"/>
          <w:szCs w:val="18"/>
          <w:color w:val="auto"/>
        </w:rPr>
        <w:t>The convertible features of the convertible notes provided for a rate of conversion that was below market value (see Note 5).</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feature is normally characterized as a “beneficial conversion feature” (“BCF”). Pursuant to Emerging Issues Task Force Issue (“EITF”) No. 98-5 </w:t>
      </w:r>
      <w:r>
        <w:rPr>
          <w:rFonts w:ascii="Arial" w:cs="Arial" w:eastAsia="Arial" w:hAnsi="Arial"/>
          <w:sz w:val="18"/>
          <w:szCs w:val="18"/>
          <w:i w:val="1"/>
          <w:iCs w:val="1"/>
          <w:color w:val="auto"/>
        </w:rPr>
        <w:t xml:space="preserve">Accounting For Convertible Securities with Beneficial Conversion Features or Contingently Adjustable Conversion Ratio, </w:t>
      </w:r>
      <w:r>
        <w:rPr>
          <w:rFonts w:ascii="Arial" w:cs="Arial" w:eastAsia="Arial" w:hAnsi="Arial"/>
          <w:sz w:val="18"/>
          <w:szCs w:val="18"/>
          <w:color w:val="auto"/>
        </w:rPr>
        <w:t>and EITF No. 00-27,</w:t>
      </w:r>
      <w:r>
        <w:rPr>
          <w:rFonts w:ascii="Arial" w:cs="Arial" w:eastAsia="Arial" w:hAnsi="Arial"/>
          <w:sz w:val="18"/>
          <w:szCs w:val="18"/>
          <w:i w:val="1"/>
          <w:iCs w:val="1"/>
          <w:color w:val="auto"/>
        </w:rPr>
        <w:t xml:space="preserve"> Application of EITF Issue No. 98-5 To Certain Convertible Instruments, </w:t>
      </w:r>
      <w:r>
        <w:rPr>
          <w:rFonts w:ascii="Arial" w:cs="Arial" w:eastAsia="Arial" w:hAnsi="Arial"/>
          <w:sz w:val="18"/>
          <w:szCs w:val="18"/>
          <w:color w:val="auto"/>
        </w:rPr>
        <w:t>the relative fair values of the BCFs have been recorded as a discount from the face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debt instrument. The Company recorded the corresponding debt discount related to the BCF as interest expense when the related instrument was converted into the Company’s common stock.</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The Company will recognize revenues in accordance with the SEC Staff Accounting Bulletin (“SAB”) No. 101,</w:t>
      </w:r>
      <w:r>
        <w:rPr>
          <w:rFonts w:ascii="Arial" w:cs="Arial" w:eastAsia="Arial" w:hAnsi="Arial"/>
          <w:sz w:val="17"/>
          <w:szCs w:val="17"/>
          <w:i w:val="1"/>
          <w:iCs w:val="1"/>
          <w:color w:val="auto"/>
        </w:rPr>
        <w:t xml:space="preserve"> Revenue Recognition </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as amended by SAB No. 104. SAB No. 104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Summary of Significant Accounting Policies, continued</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September 30, 2008, the Company had not generated any revenues and the Company does not anticipate that it will generate any revenues until one or more of its drug candidates are approved by the U.S. Food and Drug Administration (“FDA”) or until the Company is able to commercialize one of its cosmetic products. Also, effective sales and marketing support must be in place for either the drug candidates or the cosmetic products in order to generate any revenues. The FDA approval process is highly uncertain and the Company cannot estimate when it will generate revenues at this time from sales of its drug candidates. Similarly, the Company currently cannot estimate when it will generate revenues from the cosmetic products.</w:t>
      </w:r>
    </w:p>
    <w:p>
      <w:pPr>
        <w:spacing w:after="0" w:line="22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Effective January 1, 2006, the Company adopted SFAS No. 123 (revised 2004),</w:t>
      </w:r>
      <w:r>
        <w:rPr>
          <w:rFonts w:ascii="Arial" w:cs="Arial" w:eastAsia="Arial" w:hAnsi="Arial"/>
          <w:sz w:val="16"/>
          <w:szCs w:val="16"/>
          <w:i w:val="1"/>
          <w:iCs w:val="1"/>
          <w:color w:val="auto"/>
        </w:rPr>
        <w:t xml:space="preserve"> Share-Based Payment</w:t>
      </w:r>
      <w:r>
        <w:rPr>
          <w:rFonts w:ascii="Arial" w:cs="Arial" w:eastAsia="Arial" w:hAnsi="Arial"/>
          <w:sz w:val="16"/>
          <w:szCs w:val="16"/>
          <w:color w:val="auto"/>
        </w:rPr>
        <w:t>, (‘‘SFAS No. 123R’’),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is a revision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No. 123R supersedes Accounting Principles Board Opinion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SFAS 123R requires all share-based payments to employees, including grants of employee stock options and restricted stock grants, to be recognized in the financial statements based upon their fair values. The Company recorded total stock-based compensation of $504,566, $43,051 and $689,088 for the nine months ended September 30, 2008 and 2007 and for the period from Inception to September 30, 2008, respectively, for options and restricted stock granted and vested which is included in general and administrative expenses and research and development expenses in the amount of $204,323 and $300,243, respectively, for the nine months ended September 30, 2008, $8,385 and $34,666, respectively, for the nine months ended September 30, 2007, and $267,902 and $421,186, respectively, for the period from Inception to September 30, 2008. The fair value of the unvested stock option grants amounted to approximately $791,000 as of September 30, 2008.</w:t>
      </w:r>
    </w:p>
    <w:p>
      <w:pPr>
        <w:spacing w:after="0" w:line="2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Company’s accounting policy for equity instruments issued to consultants and vendors in exchange for goods and services follows the provisions of SFAS No. 123, EITF No. 96-18, </w:t>
      </w:r>
      <w:r>
        <w:rPr>
          <w:rFonts w:ascii="Arial" w:cs="Arial" w:eastAsia="Arial" w:hAnsi="Arial"/>
          <w:sz w:val="16"/>
          <w:szCs w:val="16"/>
          <w:i w:val="1"/>
          <w:iCs w:val="1"/>
          <w:color w:val="auto"/>
        </w:rPr>
        <w:t>Accounting for Equity Instruments That are Issued to Other Than Employees for Acquiring, or in Conjunction with Selling,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Goods or Services, </w:t>
      </w:r>
      <w:r>
        <w:rPr>
          <w:rFonts w:ascii="Arial" w:cs="Arial" w:eastAsia="Arial" w:hAnsi="Arial"/>
          <w:sz w:val="16"/>
          <w:szCs w:val="16"/>
          <w:color w:val="auto"/>
        </w:rPr>
        <w:t>and EITF No. 00-18,</w:t>
      </w:r>
      <w:r>
        <w:rPr>
          <w:rFonts w:ascii="Arial" w:cs="Arial" w:eastAsia="Arial" w:hAnsi="Arial"/>
          <w:sz w:val="16"/>
          <w:szCs w:val="16"/>
          <w:i w:val="1"/>
          <w:iCs w:val="1"/>
          <w:color w:val="auto"/>
        </w:rPr>
        <w:t xml:space="preserve"> Accounting Recognition for Certain Transactions Involving Equity Instruments Granted to Other Than Employees. </w:t>
      </w:r>
      <w:r>
        <w:rPr>
          <w:rFonts w:ascii="Arial" w:cs="Arial" w:eastAsia="Arial" w:hAnsi="Arial"/>
          <w:sz w:val="16"/>
          <w:szCs w:val="16"/>
          <w:color w:val="auto"/>
        </w:rPr>
        <w:t>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In accordance with EITF No. 00-18,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recorded the fair value of nonforfeitable equity instruments issued for future consulting services as prepaid consulting fees in its condensed consolidated balance sheets (see Note 6).</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Basic and Diluted Loss per Common Share</w:t>
      </w:r>
      <w:r>
        <w:rPr>
          <w:rFonts w:ascii="Arial" w:cs="Arial" w:eastAsia="Arial" w:hAnsi="Arial"/>
          <w:sz w:val="18"/>
          <w:szCs w:val="18"/>
          <w:color w:val="auto"/>
        </w:rPr>
        <w:t>. In accordance with SFAS No. 128,</w:t>
      </w:r>
      <w:r>
        <w:rPr>
          <w:rFonts w:ascii="Arial" w:cs="Arial" w:eastAsia="Arial" w:hAnsi="Arial"/>
          <w:sz w:val="18"/>
          <w:szCs w:val="18"/>
          <w:i w:val="1"/>
          <w:iCs w:val="1"/>
          <w:color w:val="auto"/>
        </w:rPr>
        <w:t xml:space="preserve"> Earnings Per Share</w:t>
      </w:r>
      <w:r>
        <w:rPr>
          <w:rFonts w:ascii="Arial" w:cs="Arial" w:eastAsia="Arial" w:hAnsi="Arial"/>
          <w:sz w:val="18"/>
          <w:szCs w:val="18"/>
          <w:color w:val="auto"/>
        </w:rPr>
        <w:t>, and SAB No. 98, basic net loss per common share is</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by dividing net loss for the period by the weighted average number of common shares outstanding during the period. Under SFAS No. 128, diluted net loss per share is computed by dividing the net loss for the period by the weighted average number of common and common equivalent shares, such as stock options and warrants outstanding during the period.</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and diluted net loss applicable to common stock per share is computed using the weighted average number of common shares outstanding during the period. Common stock equivalents (prior to application of the treasury stock, if converted method) from stock options, warrants and convertible notes were 1,812,730 and 1,151,708 for the nine months ended September 30, 2008 and 2007, respectively, are excluded from the calculation of diluted net loss per share for all periods presented because the effect is anti-dilutive.</w:t>
      </w:r>
    </w:p>
    <w:p>
      <w:pPr>
        <w:spacing w:after="0" w:line="24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financial statements in conformity with GAAP requires management to make estimates and judgments that affect the</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amounts of assets, liabilities and disclosure of contingent assets and liabilities at the date of the financial statements and reported amounts of revenues and expenses during the reporting periods. Significant estimates made by management are, among others, the valuation and realizability of contributed services, stock options, deferred taxes and stock-based compensation issued to non-employees. Actual results could differ from those estimates.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Notes Payable</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2005, the Company issued seven convertible promissory notes in the aggregate amount of $226,300 to various stockholders (collectively the “Stockholders’ Notes”). The Stockholders’ Notes bore interest at 4% per annum and were to mature on August 25, 2010. In connection with the issuance of the Stockholders’ Notes, the Company granted warrants that were exercisable into an aggregate 35,359 shares of the Company’s common stock. The warrants were determined to have an insignificant fair value.</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2007, the holders of the Stockholders’ Notes and related warrants forgave the amounts due and forfeited the related warrants. In connection with the forgiveness, the Company recorded additional paid-in capital of $241,701 equal to the value of the Stockholders’ Notes and related accrued interest. Interest expense on the Stockholders’ Notes was $3,150 and $15,401 for nine months ended September 30, 2007 and the period from Inception to September 30, 2008, respectively.</w:t>
      </w: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and June 2007, the Company issued convertible notes payable to various lenders for an aggregate amount of $1,500,000 (collectively, the “2007 Notes”). Each of the 2007 Notes included interest at 7% per annum and were to mature on December 16, 2007 (“Maturity Date”). However, as a result of the Merger and Private Placement (see Note 6), the entire outstanding principal amount and accrued interest was converted into the Company’s common stock at a conversion price equal to $1.00 per share, which resulted in the issuance of 1,530,177 shares. Also, the Company recorded a debt discount of $1,530,177, which was amortized immediately to interest expense upon the conversion of the 2007 Notes. Excluding the debt discount, interest expense on the 2007 Notes was $30,177 for the nine months ended September 30, 2007 and the period from Inception to September 30,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12, 2008, the Company sold 1,818,180 shares of common stock for gross proceeds of $4,000,000 through a follow-on private placement (the “Follow-On Private Placement”) to accredited investors. In addition, the investors received warrants to purchase 227,272 shares of common stock for a period of five years at a cash and cashless exercise price of $4.40 and $5.50 per share, respectively. In connection with the Follow-On Private Placement, the Company incurred expenses of $22,470, which was recorded as a reduction of additional paid-in capital.</w:t>
      </w: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Concurrent with the Merger, the Company sold 2,071,834 shares of common stock for gross proceeds of $4,143,667 through a private placement (the “Private Placement”). In addition, the investors received warrants to purchase 517,958 shares of common stock for a period of five years at a cash and cashless exercise price of $4.00 and $5.00 per share, respectively. In connection with the Private Placement, the Company incurred placement agent fees and other related expenses totaling $342,105 of which $36,229 was incurred in 2008, and issued warrants to purchase up to 33,750 shares of common stock for a period of three years at a cash and cashless exercise price of $4.00 and $5.00 per share, respectively.</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2007, the Company entered into three, one-year consulting agreements with three separate firms to provide services related to investor communications. The terms per one of the agreements, among other items, include monthly payments of $7,500 plus expenses and for another agreement a non-refundable fee of $140,000. Also, in the aggregate, 275,000 shares of common stock were issued in accordance with the terms of the agreements along with a warrant to purchase 18,750 shares of common stock for a period of five years at a cash and cashless exercise price of $4.00 and $5.00, respectively. The fair value of the stock and warrants were valued at $550,000. The estimated costs of the consulting agreements, including the stock, warrants and non-refundable fee were amortized over the one-year terms.</w:t>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accordance with EITF No. 00-18, 100,000 of the 275,000 shares of common stock are subject to remeasurement on a periodic basis as the performance condition for these shares is not satisfied until the end of the contract term. The remeasurement for the 100,000 shares was completed in two stages. First, in February 2008, the consulting agreement associated with these shares was terminated and as a condition of the termination, the firm retained 50,000 shares and transferred the remaining 50,000 shares to another firm. Therefore, since the performance obligation related to the 50,000 shares, retained by the terminated consulting firm, is complete, they were revalued as of the February termination date to $60,000, which was the fair market value of the shares on the termination date. Second, the remaining 50,000 shares that were transferred to the other firm will be utilized for the payment of investor relation services. The Company originally estimated that these shares would be utilized and earned for investor relations services by the end of the one-year term, however, these 50,000 shares along with 32,568 (for an aggregate of 82,568) shares from the issuance of common stock to one of the other consulting firms were not earned as of September 30, 2008. Therefore, these shares are being held for final disposition for investor relation services to be provided to the Company. As a result, in accordance with EITF Topic D-90, these shares are not considered issued and outstanding as of September 30, 2008. The Company fully intends to utilize these shares for payment of investor relation services within the next six to nine months. For the nine months ended September 30, 2008 and 2007 and for the period from Inception through September 30, 2008, the Company amortized $284,598, $28,752 and $485,850, respectively, of prepaid consulting fees which is included as part of selling, general and administrative expenses.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 continued</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24, 2008, the Company entered into a one-year consulting agreement with a firm to provide the Company with financial advisory services. As compensation for the services, the Company issued a three-year warrant to purchase 5,000 shares of the Company’s common stock at a cash and cashless price of $2.00 per share. The fair value of the warrant, determined based on the Black-Scholes pricing model, was valued at $1,310, which is being amortized over the one-year term.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 Option Plans</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17, 2007, the Company’s board of directors and stockholders adopted the 2007 Incentive Stock and Awards Plan (the “Plan”), which provides for the issuance of a maximum of 1,500,000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into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 On November 5, 2008, the Company’s shareholders approved an increase to the number of authorized shares for issuance to 3,000,000.</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terms of the Private Placement, for one year following the initial closing of the Private Placement, the Company may not issue options to purchase shares of common stock at an exercise price below $2.00 per share. In addition, for a period of 18 months following the initial closing of the Private Placement, the Company may not file a registration statement, including, without limitation, a registration statement on Form S-8, covering the resale of any shares of common stock issued pursuant to an employee benefit plan.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A summary of the status of the Plan for the nine months ended September 30, 2008 is as follows:</w:t>
            </w: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76"/>
        </w:trPr>
        <w:tc>
          <w:tcPr>
            <w:tcW w:w="8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340" w:type="dxa"/>
            <w:vAlign w:val="bottom"/>
          </w:tcPr>
          <w:p>
            <w:pPr>
              <w:spacing w:after="0"/>
              <w:rPr>
                <w:sz w:val="18"/>
                <w:szCs w:val="18"/>
                <w:color w:val="auto"/>
              </w:rPr>
            </w:pPr>
          </w:p>
        </w:tc>
        <w:tc>
          <w:tcPr>
            <w:tcW w:w="15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of Shares</w:t>
            </w:r>
          </w:p>
        </w:tc>
        <w:tc>
          <w:tcPr>
            <w:tcW w:w="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6"/>
              </w:rPr>
              <w:t>Price</w:t>
            </w:r>
          </w:p>
        </w:tc>
        <w:tc>
          <w:tcPr>
            <w:tcW w:w="100" w:type="dxa"/>
            <w:vAlign w:val="bottom"/>
          </w:tcPr>
          <w:p>
            <w:pPr>
              <w:spacing w:after="0"/>
              <w:rPr>
                <w:sz w:val="20"/>
                <w:szCs w:val="20"/>
                <w:color w:val="auto"/>
              </w:rPr>
            </w:pPr>
          </w:p>
        </w:tc>
      </w:tr>
      <w:tr>
        <w:trPr>
          <w:trHeight w:val="237"/>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Options outstanding – Beginning of Period</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610,000</w:t>
            </w:r>
          </w:p>
        </w:tc>
        <w:tc>
          <w:tcPr>
            <w:tcW w:w="120" w:type="dxa"/>
            <w:vAlign w:val="bottom"/>
            <w:shd w:val="clear" w:color="auto" w:fill="CCFFCC"/>
          </w:tcPr>
          <w:p>
            <w:pPr>
              <w:spacing w:after="0"/>
              <w:rPr>
                <w:sz w:val="20"/>
                <w:szCs w:val="20"/>
                <w:color w:val="auto"/>
              </w:rPr>
            </w:pPr>
          </w:p>
        </w:tc>
        <w:tc>
          <w:tcPr>
            <w:tcW w:w="3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Cancelled</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r>
      <w:tr>
        <w:trPr>
          <w:trHeight w:val="277"/>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Options outstanding – End of Period</w:t>
            </w: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1,010,000</w:t>
            </w:r>
          </w:p>
        </w:tc>
        <w:tc>
          <w:tcPr>
            <w:tcW w:w="20" w:type="dxa"/>
            <w:vAlign w:val="bottom"/>
            <w:tcBorders>
              <w:top w:val="single" w:sz="8" w:color="auto"/>
              <w:bottom w:val="single" w:sz="8" w:color="CCFFCC"/>
            </w:tcBorders>
            <w:shd w:val="clear" w:color="auto" w:fill="CCFFCC"/>
          </w:tcPr>
          <w:p>
            <w:pPr>
              <w:spacing w:after="0"/>
              <w:rPr>
                <w:sz w:val="24"/>
                <w:szCs w:val="24"/>
                <w:color w:val="auto"/>
              </w:rPr>
            </w:pPr>
          </w:p>
        </w:tc>
        <w:tc>
          <w:tcPr>
            <w:tcW w:w="120" w:type="dxa"/>
            <w:vAlign w:val="bottom"/>
            <w:tcBorders>
              <w:bottom w:val="single" w:sz="8" w:color="CCFFCC"/>
            </w:tcBorders>
            <w:shd w:val="clear" w:color="auto" w:fill="CCFFCC"/>
          </w:tcPr>
          <w:p>
            <w:pPr>
              <w:spacing w:after="0"/>
              <w:rPr>
                <w:sz w:val="24"/>
                <w:szCs w:val="24"/>
                <w:color w:val="auto"/>
              </w:rPr>
            </w:pPr>
          </w:p>
        </w:tc>
        <w:tc>
          <w:tcPr>
            <w:tcW w:w="80" w:type="dxa"/>
            <w:vAlign w:val="bottom"/>
            <w:tcBorders>
              <w:bottom w:val="single" w:sz="8" w:color="CCFFCC"/>
            </w:tcBorders>
            <w:shd w:val="clear" w:color="auto" w:fill="CCFFCC"/>
          </w:tcPr>
          <w:p>
            <w:pPr>
              <w:spacing w:after="0"/>
              <w:rPr>
                <w:sz w:val="24"/>
                <w:szCs w:val="24"/>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224"/>
        </w:trPr>
        <w:tc>
          <w:tcPr>
            <w:tcW w:w="8340" w:type="dxa"/>
            <w:vAlign w:val="bottom"/>
          </w:tcPr>
          <w:p>
            <w:pPr>
              <w:spacing w:after="0"/>
              <w:rPr>
                <w:sz w:val="20"/>
                <w:szCs w:val="20"/>
                <w:color w:val="auto"/>
              </w:rPr>
            </w:pPr>
            <w:r>
              <w:rPr>
                <w:rFonts w:ascii="Arial" w:cs="Arial" w:eastAsia="Arial" w:hAnsi="Arial"/>
                <w:sz w:val="18"/>
                <w:szCs w:val="18"/>
                <w:color w:val="auto"/>
              </w:rPr>
              <w:t>Options exercisable – End of Period</w:t>
            </w: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204,167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Weighted average remaining contractual life of the outstanding options – End of period</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9.3 years</w:t>
            </w:r>
          </w:p>
        </w:tc>
        <w:tc>
          <w:tcPr>
            <w:tcW w:w="140" w:type="dxa"/>
            <w:vAlign w:val="bottom"/>
            <w:tcBorders>
              <w:bottom w:val="single" w:sz="8" w:color="CCFFCC"/>
            </w:tcBorders>
            <w:gridSpan w:val="2"/>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r>
      <w:tr>
        <w:trPr>
          <w:trHeight w:val="224"/>
        </w:trPr>
        <w:tc>
          <w:tcPr>
            <w:tcW w:w="8340" w:type="dxa"/>
            <w:vAlign w:val="bottom"/>
          </w:tcPr>
          <w:p>
            <w:pPr>
              <w:spacing w:after="0"/>
              <w:rPr>
                <w:sz w:val="20"/>
                <w:szCs w:val="20"/>
                <w:color w:val="auto"/>
              </w:rPr>
            </w:pPr>
            <w:r>
              <w:rPr>
                <w:rFonts w:ascii="Arial" w:cs="Arial" w:eastAsia="Arial" w:hAnsi="Arial"/>
                <w:sz w:val="18"/>
                <w:szCs w:val="18"/>
                <w:color w:val="auto"/>
              </w:rPr>
              <w:t>Aggregate intrinsic value – End of Period</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All options granted to date expire on the ten year anniversary of the issuance date and vest on a quarterly basis over one to three years. The Company uses the Black-Scholes option pricing model to estimate the grant-date fair value of share-based awards under SFAS No. 123R. The Black-Scholes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defined by SAB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 as the Company has very limited historical data on employee exercises and post-vesting employment termination behavior. The expected volatility is based on the historical volatilities of the common stock of comparable publicly traded companies based on the Company’s belief that it currently has limited historical data regarding the volatility of its stock price on which to base a meaningful estimate of expected volatility.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 In accordance with SFAS No. 123R, the financial statement effect of forfeitures is estimated at the time of grant and revised, if necessary, if the actual effect differs from those estimates. As of September 30, 2008, management’s future estimates are that the effect of forfeitures on the financial statements will be insignificant. As of September 30, 2008, there was approximately $791,000 of total unrecognized compensation expense related to unvested stock-based compensation under the Plan. That expense is expected to be recognized over the weighted-average period of 2.3 years.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 Option Plans</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in August 2007, the Company issued a restricted stock grant to an executive of the Company for 195,313 shares of the Company’s common stock upon closing of the Merger (See Note 3). The restricted stock grant was scheduled to vest 100% on March 17, 2009 and valued at approximately $391,000, which was being amortized over the 18 month period. However, on April 4, 2008, the Company’s Board of Directors waived any restrictions or forfeiture conditions on the shares of restricted common stock in conjunction with the executive’s resignation and a separation agreement entered into between the Company and the executive. Therefore, the remaining unrecognized expense of $236,000 was fully amortized as a result of the waiver of the restrictions and forfeiture conditions.</w:t>
      </w:r>
    </w:p>
    <w:p>
      <w:pPr>
        <w:spacing w:after="0" w:line="24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Stock Warrants</w:t>
      </w:r>
    </w:p>
    <w:p>
      <w:pPr>
        <w:spacing w:after="0" w:line="2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to the warrants issued in conjunction with the Private Placement and the Follow-On Private Placement, the Company issued a warrant to purchase shares of its common stock to a firm in connection with a consulting agreement at an exercise price of $4.00 (or cashless exercise price of $5.00). The expiration of the outstanding warrants occurs through May 2013 at various periods (see Note 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A summary of the status of the warrants for the period ended September 30, 2008, is as follows:</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83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Subject to</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Warrants outstanding – Beginning of Period</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570,458</w:t>
            </w:r>
          </w:p>
        </w:tc>
        <w:tc>
          <w:tcPr>
            <w:tcW w:w="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232,272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Expired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Warrants outstanding – End of Period</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802,730</w:t>
            </w:r>
          </w:p>
        </w:tc>
        <w:tc>
          <w:tcPr>
            <w:tcW w:w="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4"/>
        </w:trPr>
        <w:tc>
          <w:tcPr>
            <w:tcW w:w="83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Weighted average remaining contractual life of the outstanding warrants – End of Period</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 years</w:t>
            </w:r>
          </w:p>
        </w:tc>
        <w:tc>
          <w:tcPr>
            <w:tcW w:w="220" w:type="dxa"/>
            <w:vAlign w:val="bottom"/>
            <w:tcBorders>
              <w:top w:val="single" w:sz="8" w:color="CCFFC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9. Recent Accounting Pronouncements</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3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340" w:type="dxa"/>
            <w:vAlign w:val="bottom"/>
          </w:tcPr>
          <w:p>
            <w:pPr>
              <w:spacing w:after="0"/>
              <w:rPr>
                <w:sz w:val="20"/>
                <w:szCs w:val="20"/>
                <w:color w:val="auto"/>
              </w:rPr>
            </w:pPr>
            <w:r>
              <w:rPr>
                <w:rFonts w:ascii="Arial" w:cs="Arial" w:eastAsia="Arial" w:hAnsi="Arial"/>
                <w:sz w:val="18"/>
                <w:szCs w:val="18"/>
                <w:color w:val="auto"/>
                <w:w w:val="99"/>
              </w:rPr>
              <w:t>The following pronouncements have been issued by the Financial Accounting Standards Board (“FASB”):</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December 2007, the FASB issued SFAS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SFAS No. 141R provides companies with principles and requirements on how an acquirer recognizes and measures in its financial statements the identifiable assets acquired, liabilities assumed, and any noncontrolling interest in the acquiree as well as the recognition and measurement of goodwill acquired in a business combination. SFAS No. 141R also requires certain disclosures to enable users of the financial statements to evaluate the nature and financial effects of the business combination. Acquisition costs associated with the business combination will generally be expensed as incurred. SFAS No. 141R is effective for business combinations occurring in fiscal years beginning after December 15, 2008. Early adoption of SFAS No. 141R is not permitted. The Company is currently evaluating the impact SFAS No. 141R will have on any future business combinations.</w:t>
      </w:r>
    </w:p>
    <w:p>
      <w:pPr>
        <w:spacing w:after="0" w:line="2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Other recent accounting pronouncements issued by the FASB (including the EITF) and the American Institute of Certified Public Accountants did not or are not believed by management to have a material impact on the Company’s present or future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Indemnities and Guarantees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made certain indemnities and guarantees, under which it may be required to make payments to a guaranteed or indemnified party, in relation to certain actions or transactions. The Company indemnifies its directors, officers, employees and agents, as permitted under the laws of the State of Delaware. The duration of the guarantees and indemnities varies, and is generally tied to the life of the agreement.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unaudited condensed consolidated balance sheet as of September 30, 2008.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Mediation Settlement</w:t>
      </w:r>
    </w:p>
    <w:p>
      <w:pPr>
        <w:spacing w:after="0" w:line="2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5, 2008, as a result of mediation, the Company and a previously retained law firm reached an agreement related to certain alleged claims the Company had against the law firm. Although the law firm did not admit to any liability or wrongdoing, they desired to resolve the dispute and therefore, agreed to pay the Company $750,000. In exchange for the settlement, the Company, the law firm and any other parties involved in the mediation, released and waived any future claims against each other, whether known or unknown at the time of the settlement. The net amount received by the Company was $375,000 after fees paid to the Company’s counsel and an executive and director of the Company. The fees paid to the executive and director, which were previously approved by the Board of Directors, are due to their monetary contributions and uncompensated time commitment over a period of approximately four years related to pursuing this matter and other amounts paid on the Company’s behalf prior to the Merger.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Cato Research Ltd. Agreement</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accordance with the Master Services Agreement, dated April 10, 2007, between the Company and Cato Research Ltd., a contract research and development organization (“Cato”), the Company entered into a clinical trial services agreement with Cato on June 10, 2008 (“Agreement”). Under the Agreement, Cato will serve as the Company’s strategic partner and contract research organization in conducting the Company’s Phase 3 clinical program for Ketotransdel™, the Company’s novel topical cream based non-steroidal anti-inflammatory drug for pain. Pursuant to the Agreement, the Company will make payments to Cato upon its completion of certain specified milestones. If all milestones under the Agreement are completed and the estimated pass-through costs are incurred, the Company’s total costs under the Agreement are estimated at $3.3 million. In addition, any changes to budget parameters identified in the Agreement may result in additional costs to the Company. There can be no assurance that Cato will complete its performance under the Agreement, and to the extent that such performance is completed that the clinical trial results for Ketotransdel™ will be satisfactory.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Cosmetic Products Consulting Agreement</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25, 2008, the Company entered into a consulting agreement with a firm to provide product and business development services for specific cosmetic products that would be developed by the Company. To the extent a specific cosmetic product, applicable to the consulting agreement, is successfully developed and a separate agreement is entered into between the Company and a third party for (including but not limited to) the out-license or distribution of a product, the firm will receive a percentage of the operating profits from the third party agreement as agreed upon in the consulting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Investor Relations Agreement</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27, 2008, the Company entered into an agreement with an investor relations firm (“IR FIRM”), pursuant to which the IR FIRM will provide certain investor relations and public relations services to the Company for a period of one year, beginning on November 1, 2008. In exchange for such services, the Company issued 82,568 registered shares of its common stock, a portion of which is forfeitable, to the IR FIRM as a prepayment of services to be received and beginning on or about March 1, 2008, the Company has agreed to issue an additional 22,889 shares of unregistered common stock to the IR FIRM on a monthly basis thereafter for the term of the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 Grant</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5, 2008, the Company’s Board of Directors granted 10,000 stock options to an employee of the Company under the Company’s 2007 Incentive Stock and Awards Plan. The options were granted with an exercise price of $1.10 and have a ten year life. Also, the options vest one-twelfth per quarter commencing on the first full quarter after the initial grant date of November 5, 2008.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specialty pharmaceutical company focused on the development and commercialization of non-invasive topically delivered products. Our lead topical drug, Ketotransdel™, utilizes our proprietary Transdel™ cream formulation to facilitate the passage of ketoprofen, a non-steroidal anti-inflammatory drug (“NSAID”), through the skin barrier to reach targeted underlying tissues where the drug exerts its localized anti-inflammatory and analgesic effect. Ketotransdel™ is currently being studied in a Phase 3 U.S. registration trial in acute soft tissue injuries..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w:t>
      </w:r>
    </w:p>
    <w:p>
      <w:pPr>
        <w:spacing w:after="0" w:line="283" w:lineRule="exact"/>
        <w:rPr>
          <w:sz w:val="20"/>
          <w:szCs w:val="20"/>
          <w:color w:val="auto"/>
        </w:rPr>
      </w:pPr>
    </w:p>
    <w:p>
      <w:pPr>
        <w:jc w:val="both"/>
        <w:ind w:firstLine="700"/>
        <w:spacing w:after="0" w:line="308" w:lineRule="auto"/>
        <w:rPr>
          <w:sz w:val="20"/>
          <w:szCs w:val="20"/>
          <w:color w:val="auto"/>
        </w:rPr>
      </w:pPr>
      <w:r>
        <w:rPr>
          <w:rFonts w:ascii="Arial" w:cs="Arial" w:eastAsia="Arial" w:hAnsi="Arial"/>
          <w:sz w:val="17"/>
          <w:szCs w:val="17"/>
          <w:color w:val="auto"/>
        </w:rPr>
        <w:t>For the next twelve months, our current operating plan is focused on the development of our lead drug, Ketotransdel™ for the indication of acute musculoskeletal pain, co-development opportunities in other therapeutic areas and the development of our cosmetic products.</w:t>
      </w:r>
    </w:p>
    <w:p>
      <w:pPr>
        <w:spacing w:after="0" w:line="20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June 16, 2008, we announced that we initiated our Phase 3 clinical program for our novel analgesic and anti-inflammatory topical cream, Ketotransdel™, which contains ketoprofen and on September 22, 2008 we announced the enrollment of our first patient. The first Phase 3 study will consist of a randomized, double-blind, placebo controlled trial to evaluate the efficacy and safety of Ketotransdel™ in acute soft tissue injuries of the upper and lower extremities over a one week treatment period with a one week post-treatment follow-up for safety. The multi-center trial will be conducted at approximately 25 to 35 sites, mainly in the United States and potentially in Canada, and will enroll approximately 350 patients, randomized 1:1 ratio Ketotransdel™ (active) versus placebo vehicle (identical to active without the drug ketoprofen). The primary efficacy endpoint is the difference in the change of baseline of pain during normal activity for the past 24 hours from measurement at the Day 3 clinical visit between active and placebo measured by using the Visual Analogue Scale (VAS), a well known and validated instrument for pain measurement. Secondary endpoints include safety assessments and other efficacy parameters measured by VAS. As of October 31, 2008, we have initiated three study sites for this Phase 3 study. We would anticipate reporting top-line results in the second half of 2009. In addition, as required by the FDA, we will be initiating a second Phase 3 clinical study in acute musculoskeletal pain, potentially for the treatment of acute flare in osteoarthritis patients. We are currently assessing the design and timing of this additional study that will support the registration of Ketotransdel™ in the United States.</w:t>
      </w:r>
    </w:p>
    <w:p>
      <w:pPr>
        <w:spacing w:after="0" w:line="23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and when the FDA approves Ketotransdel™ for treatment of acute pain, we intend to pursue FDA approval of Ketotransdel™ for other indications, such as osteoarthritis. We believe that the clinical success of Ketotransdel™ will facilitate the use of the Transdel™ delivery technology in other products. We are also investigating other drug candidates and treatments for transdermal delivery using the Transdel™ platform technology for products in pain management and other therapeutic areas. We have identified key therapeutic areas for co-development opportunities and are in the discussion phase with potential partners for these identified products. Furthermore, we are exploring potential partnerships with U.S. and foreign based companies that have sales and marketing infrastructures to support Ketotransdel™ in the event that the product is approved and commercialized. We are also looking to out-license our Transdel™ drug delivery technology for the development and commercialization of additional innovative drug products. In addition, we have developed two cosmetic formulations using our patented delivery system. One product will potentially improve the appearance of facial fine lines and wrinkles and other signs of aging on the face, while the other product will potentially treat cellulite on the thighs. We anticipate continuing the expansion of our cosmetic product opportunities. There can be no assurance that any of these activities will lead to definitive agreements.</w:t>
      </w:r>
    </w:p>
    <w:p>
      <w:pPr>
        <w:spacing w:after="0" w:line="22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that our current staff is sufficient to carry out our business plan in the coming twelve months, however, if our operations in the future require it, we will consider the employment of additional staff or the use of consultants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ind w:firstLine="700"/>
        <w:spacing w:after="0" w:line="264" w:lineRule="auto"/>
        <w:rPr>
          <w:sz w:val="20"/>
          <w:szCs w:val="20"/>
          <w:color w:val="auto"/>
        </w:rPr>
      </w:pPr>
      <w:r>
        <w:rPr>
          <w:rFonts w:ascii="Arial" w:cs="Arial" w:eastAsia="Arial" w:hAnsi="Arial"/>
          <w:sz w:val="18"/>
          <w:szCs w:val="18"/>
          <w:color w:val="auto"/>
        </w:rPr>
        <w:t>Since July 24, 1998 (“Inception”) through September 30, 2008, we have incurred losses of approximately $9.4 million. These losses are primarily due to general and administrative and research and development expenses. Historically, our operations have been financed through capital contributions and debt and equity financings.</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September 30, 2008, we had approximately $5.8 million in cash. On each of September 17, 2007, and October 10, 2007, we completed private placements to selected institutional and individual investors of our common stock and warrants. In connection with the private placements, we raised approximately $3.8 million (net of placement agent fees and other costs aggregating $342,105) from the issuance of 2,071,834 shares of common stock and detachable redeemable warrants to purchase 517,958 shares of our common stock at a cash exercise price of $4.00 per share and a cashless exercise price of $5.00 per share. In May 2008, we completed another private placement to accredited investors, where we raised gross proceeds of $4.0 million from the issuance of 1,818,180 shares of common stock and detachable warrants to purchase 227,272 shares of our common stock at a cash exercise price of $4.40 per share and a cashless exercise price of $5.50 per share.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4" w:name="page15"/>
    <w:bookmarkEnd w:id="14"/>
    <w:p>
      <w:pPr>
        <w:jc w:val="both"/>
        <w:ind w:firstLine="648"/>
        <w:spacing w:after="0" w:line="302" w:lineRule="auto"/>
        <w:rPr>
          <w:sz w:val="20"/>
          <w:szCs w:val="20"/>
          <w:color w:val="auto"/>
        </w:rPr>
      </w:pPr>
      <w:r>
        <w:rPr>
          <w:rFonts w:ascii="Arial" w:cs="Arial" w:eastAsia="Arial" w:hAnsi="Arial"/>
          <w:sz w:val="16"/>
          <w:szCs w:val="16"/>
          <w:color w:val="auto"/>
        </w:rPr>
        <w:t>We are assessing our financing needs for the foreseeable future. In order to execute our operating plan over the next twelve months, which includes the conduct of the Phase 3 clinical program, we will be required to raise additional funds to support our operations. This funding requirement raises substantial doubt about our ability to continue as a going concern. The accompanying unaudited condensed consolidated financial statements have been prepared on a going-concern basis, which contemplates the realization of assets and the satisfaction of liabilities in the normal course of business.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continuation as a going concern is dependent on our ability to obtain additional financing to fund operations, implement our business model, and ultimately, to attain profitable operations. We intend to obtain additional financing to fund our operations through, and without limitation to, equity or debt financing, funding from a corporate partnership or licensing arrangement or any similar financing. There can be no assurance that such financing will be available on terms favorable to us or at all, particularly if the volatile conditions in the stock and financial markets, and more particularly the market for pharmaceutical company stocks, persist. If adequate financing is not available, we will have to delay, postpone or terminate the clinical program and curtail general and administrative operations, which would have a material adverse effect on us.</w:t>
      </w:r>
    </w:p>
    <w:p>
      <w:pPr>
        <w:spacing w:after="0" w:line="2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raise additional capital by issuing equity securities, our existing stockholders’ ownership will be diluted. In addition, if we raise additional funds through collaboration and licensing arrangements, we may be required to relinquish potentially valuable rights to our product candidates or proprietary technologies, or grant licenses on terms that are not favorable to 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believe that the accounting policies described below are critical to understanding our business, results of operations and financial condition because they involve more significant judgments and estimates used in the preparation of our unaudited condensed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unaudited condensed consolidated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Our most critical accounting policies and estimates that may materially impact our results of operations include:</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Effective January 1, 2006, we adopted Statement of Financial Accounting Standards (“SFAS”) No. 123 (revised 2004),</w:t>
      </w:r>
      <w:r>
        <w:rPr>
          <w:rFonts w:ascii="Arial" w:cs="Arial" w:eastAsia="Arial" w:hAnsi="Arial"/>
          <w:sz w:val="17"/>
          <w:szCs w:val="17"/>
          <w:i w:val="1"/>
          <w:iCs w:val="1"/>
          <w:color w:val="auto"/>
        </w:rPr>
        <w:t xml:space="preserve"> Share-Based Payment </w:t>
      </w:r>
      <w:r>
        <w:rPr>
          <w:rFonts w:ascii="Arial" w:cs="Arial" w:eastAsia="Arial" w:hAnsi="Arial"/>
          <w:sz w:val="17"/>
          <w:szCs w:val="17"/>
          <w:color w:val="auto"/>
        </w:rPr>
        <w:t>, (“SFAS No. 123R”), which is a revision of SFAS No. 123,</w:t>
      </w:r>
      <w:r>
        <w:rPr>
          <w:rFonts w:ascii="Arial" w:cs="Arial" w:eastAsia="Arial" w:hAnsi="Arial"/>
          <w:sz w:val="17"/>
          <w:szCs w:val="17"/>
          <w:i w:val="1"/>
          <w:iCs w:val="1"/>
          <w:color w:val="auto"/>
        </w:rPr>
        <w:t xml:space="preserve"> Accounting for Stock-Based Compensation </w:t>
      </w:r>
      <w:r>
        <w:rPr>
          <w:rFonts w:ascii="Arial" w:cs="Arial" w:eastAsia="Arial" w:hAnsi="Arial"/>
          <w:sz w:val="17"/>
          <w:szCs w:val="17"/>
          <w:color w:val="auto"/>
        </w:rPr>
        <w:t>. SFAS No. 123R supersedes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Accounting Principles Board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 and amends SFAS No. 95,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 SFAS No. 123R requires all share-based payments to employees, including grants of employee stock options and restricted stock grants, to be recognized in the financial statements based upon their fair values. We use the Black-Scholes option pricing model to estimate the grant-date fair value of share-based awards under SFAS No. 123R. Fair value is determined at the date of grant. In accordance with SFAS No. 123R, the financial statement effect of forfeitures is estimated at the time of grant and revised, if necessary, if the actual effect differs from those estimates. As of September 30, 2008, management estimates that the effect of forfeitures on the unaudited condensed financial statements will be insignificant.</w:t>
      </w:r>
    </w:p>
    <w:p>
      <w:pPr>
        <w:spacing w:after="0" w:line="23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Our accounting policy for equity instruments issued to consultants and vendors in exchange for goods and services follows the provisions of SFAS No. 123, Emerging Issues Task Force (“EITF”) No. 96-18, </w:t>
      </w:r>
      <w:r>
        <w:rPr>
          <w:rFonts w:ascii="Arial" w:cs="Arial" w:eastAsia="Arial" w:hAnsi="Arial"/>
          <w:sz w:val="16"/>
          <w:szCs w:val="16"/>
          <w:i w:val="1"/>
          <w:iCs w:val="1"/>
          <w:color w:val="auto"/>
        </w:rPr>
        <w:t>Accounting for Equity Instruments That are Issued to Other Than Employees for Acquiring, or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Conjunction with Selling, Goods or Services </w:t>
      </w:r>
      <w:r>
        <w:rPr>
          <w:rFonts w:ascii="Arial" w:cs="Arial" w:eastAsia="Arial" w:hAnsi="Arial"/>
          <w:sz w:val="16"/>
          <w:szCs w:val="16"/>
          <w:color w:val="auto"/>
        </w:rPr>
        <w:t>and EITF No. 00-18,</w:t>
      </w:r>
      <w:r>
        <w:rPr>
          <w:rFonts w:ascii="Arial" w:cs="Arial" w:eastAsia="Arial" w:hAnsi="Arial"/>
          <w:sz w:val="16"/>
          <w:szCs w:val="16"/>
          <w:i w:val="1"/>
          <w:iCs w:val="1"/>
          <w:color w:val="auto"/>
        </w:rPr>
        <w:t xml:space="preserve"> Accounting Recognition for Certain Transactions Involving Equity Instruments Granted to Other Than Employees. </w:t>
      </w:r>
      <w:r>
        <w:rPr>
          <w:rFonts w:ascii="Arial" w:cs="Arial" w:eastAsia="Arial" w:hAnsi="Arial"/>
          <w:sz w:val="16"/>
          <w:szCs w:val="16"/>
          <w:color w:val="auto"/>
        </w:rPr>
        <w:t>As such, the value of the applicable stock-based compensation is periodically remeasured and income or expense is recognized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In accordance with EITF No. 00-18, an asset acquired in exchange for the issuance of fully vested, nonforfeitable equity instruments should not be presented or classified as an offset to equity on the grantor’s balance sheet once the equity instrument is granted for accounting purposes. Accordingly, we recorded the fair value of nonforfeitable equity instruments issued for future consulting services as prepaid consulting fees in our condensed consolidated balance sheets.</w:t>
      </w:r>
    </w:p>
    <w:p>
      <w:pPr>
        <w:spacing w:after="0" w:line="2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Beneficial Conversion Feature. </w:t>
      </w:r>
      <w:r>
        <w:rPr>
          <w:rFonts w:ascii="Arial" w:cs="Arial" w:eastAsia="Arial" w:hAnsi="Arial"/>
          <w:sz w:val="18"/>
          <w:szCs w:val="18"/>
          <w:color w:val="auto"/>
        </w:rPr>
        <w:t>The convertible features of the convertible notes provided for a rate of conversion that was below market value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5). Such feature is normally characterized as a “beneficial conversion feature” (“BCF”). Pursuant to EITF No. 98-5 </w:t>
      </w:r>
      <w:r>
        <w:rPr>
          <w:rFonts w:ascii="Arial" w:cs="Arial" w:eastAsia="Arial" w:hAnsi="Arial"/>
          <w:sz w:val="18"/>
          <w:szCs w:val="18"/>
          <w:i w:val="1"/>
          <w:iCs w:val="1"/>
          <w:color w:val="auto"/>
        </w:rPr>
        <w:t>Accounting For Convertible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with Beneficial Conversion Features or Contingently Adjustable Conversion Ratio </w:t>
      </w:r>
      <w:r>
        <w:rPr>
          <w:rFonts w:ascii="Arial" w:cs="Arial" w:eastAsia="Arial" w:hAnsi="Arial"/>
          <w:sz w:val="18"/>
          <w:szCs w:val="18"/>
          <w:color w:val="auto"/>
        </w:rPr>
        <w:t>and EITF No. 00-27,</w:t>
      </w:r>
      <w:r>
        <w:rPr>
          <w:rFonts w:ascii="Arial" w:cs="Arial" w:eastAsia="Arial" w:hAnsi="Arial"/>
          <w:sz w:val="18"/>
          <w:szCs w:val="18"/>
          <w:i w:val="1"/>
          <w:iCs w:val="1"/>
          <w:color w:val="auto"/>
        </w:rPr>
        <w:t xml:space="preserve"> Application of EITF Issue No. 98-5 To Certain Convertible Instruments, </w:t>
      </w:r>
      <w:r>
        <w:rPr>
          <w:rFonts w:ascii="Arial" w:cs="Arial" w:eastAsia="Arial" w:hAnsi="Arial"/>
          <w:sz w:val="18"/>
          <w:szCs w:val="18"/>
          <w:color w:val="auto"/>
        </w:rPr>
        <w:t>the relative fair values of the BCFs have been recorded as a discount from the face amount of the respective debt</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We recorded the corresponding debt discount related to the BCF as interest expense, in fiscal year 2007, when the related instrument was converted into its common stock.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December 2007, the FASB issued SFAS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 SFAS No. 141R provides companies with principles and requirements on how an acquirer recognizes and measures in its financial statements the identifiable assets acquired, liabilities assumed, and any noncontrolling interest in the acquiree as well as the recognition and measurement of goodwill acquired in a business combination. SFAS No. 141R also requires certain disclosures to enable users of the financial statements to evaluate the nature and financial effects of the business combination. Acquisition costs associated with the business combination will generally be expensed as incurred. SFAS No. 141R is effective for business combinations occurring in fiscal years beginning after December 15, 2008. Early adoption of SFAS No. 141R is not permitted. We are currently evaluating the impact SFAS No. 141R will have on any future business combinations.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4T. Controls and Procedures.</w:t>
      </w:r>
    </w:p>
    <w:p>
      <w:pPr>
        <w:spacing w:after="0" w:line="28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under the Exchange Act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3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required by Commission Rule 13a-15(b), we carried out an evaluation, under the supervision and with the participation of our management, including our Chief Executive Officer and the Chief Financial Officer, of the effectiveness of the design and operation of our disclosure controls and procedures as of the end of the quarter covered by this quarterly report on Form 10-Q. Based on the foregoing, our Chief Executive Officer and Chief Financial Officer concluded that our disclosure controls and procedures were effective at the reasonable assurance level.</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and in our other filings with the Securities and Exchange Commission, before you decide to buy or maintain an investment in our common stock. We believe the risks described below are the risks that are material to us as of the date of this quarterly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 The risk factors set forth below with an asterisk (*) next to the title are new risk factors or risk factors containing changes, including any material changes from the risk factors set forth in our annual report on Form 10-KSB for the fiscal year ended December 31, 2007, as filed with the Securities and Exchange Commission on March 26, 2008.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have incurred losses in the research and development of Ketotransdel™ and our Transdel™ technology since inception. No assurance can be given that we will ever generate revenue or become profitable.</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inception we have recorded operating losses. From Inception through September 30, 2008, we have a deficit accumulated during the development stage of approximately $9.4 million, and for the three and nine months ended September 30, 2008, we experienced a net loss of approximately $815,000 and $2.4 million, respectively. In addition, we expect to incur increasing operating losses for the foreseeable future as we continue to incur costs for research and development and clinical trials, and in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license rights to particular drugs. The license fees for such drugs may increase our costs.</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we continue to engage in the development of Ketotransdel™ and develop other products, there can be no assurance that we will ever be able to achieve or sustain market acceptance, profitability or positive cash flow. Our ultimate success will depend on many factors, including whether Ketotransdel™ receives FDA approval. We cannot be certain that we will receive FDA approval for Ketotransdel™ or other products, or that we will reach the level of sales and revenues necessary to achieve and sustain profitability. Further, there is no assurance our cosmetic products will lead to successful products. Unless we raise additional capital, we may not be able to execute our business plan or fund business operations long enough to achieve positive cash flow. Furthermore, we may be forced to reduce our expenses and cash expenditures to a material extent, which would impair our ability to execute our business plan.</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independent registered public accounting firm expressed doubt about our ability to continue as a going concern.</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can be no assurance that we will ever be able to achieve or sustain profitability or positive cash flow. Based on our history of losses, our independent registered public accounting firm has stated in their report accompanying their audit of our 2007 year-end consolidated financial statements that there was substantial doubt about our ability to continue as a going concern. If we are not able to generate revenue or raise additional capital, we may not be able to continue operating our business.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will need additional financing to execute our business plan and fund operations, which additional financing may not be available.</w:t>
      </w:r>
    </w:p>
    <w:p>
      <w:pPr>
        <w:spacing w:after="0" w:line="2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very limited funds and we may not be able to execute our current business plan and fund business operations long enough to achieve profitability unless we are able to raise additional funds. Our ultimate success will depend upon our ability to raise additional capital. There can be no assurance that additional funds will be available when needed from any source or, if available, will be available on terms that are acceptable to us.</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be required to pursue sources of additional capital through various means, including joint venture projects and debt or equity financings.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condition.</w:t>
      </w:r>
    </w:p>
    <w:p>
      <w:pPr>
        <w:spacing w:after="0" w:line="18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Our ability to obtain needed financing may be impaired by such factors as the capital markets, both generally and specifically in the pharmaceutical industry, and the fact that we are not profitable, which could impact the availability or cost of future financings. If the amount of capital we are able to raise from financing activities, together with our revenues from operations, is not sufficient to satisfy our capital needs, even to the extent that we reduce our operations accordingly, we may be required to cease operations.</w:t>
      </w:r>
    </w:p>
    <w:p>
      <w:pPr>
        <w:sectPr>
          <w:pgSz w:w="11900" w:h="16838" w:orient="portrait"/>
          <w:cols w:equalWidth="0" w:num="1">
            <w:col w:w="11420"/>
          </w:cols>
          <w:pgMar w:left="240" w:top="364"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7" w:name="page18"/>
    <w:bookmarkEnd w:id="17"/>
    <w:p>
      <w:pPr>
        <w:jc w:val="center"/>
        <w:ind w:right="-59"/>
        <w:spacing w:after="0"/>
        <w:rPr>
          <w:sz w:val="20"/>
          <w:szCs w:val="20"/>
          <w:color w:val="auto"/>
        </w:rPr>
      </w:pPr>
      <w:r>
        <w:rPr>
          <w:rFonts w:ascii="Arial" w:cs="Arial" w:eastAsia="Arial" w:hAnsi="Arial"/>
          <w:sz w:val="17"/>
          <w:szCs w:val="17"/>
          <w:b w:val="1"/>
          <w:bCs w:val="1"/>
          <w:i w:val="1"/>
          <w:iCs w:val="1"/>
          <w:color w:val="auto"/>
        </w:rPr>
        <w:t>Timing and results of clinical trials to demonstrate the safety and efficacy of products as well as FDA approval of products are uncertain.</w:t>
      </w:r>
    </w:p>
    <w:p>
      <w:pPr>
        <w:spacing w:after="0" w:line="2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extensive government regulations. The process of obtaining FDA approval is costly, time consuming, uncertain and subject to unanticipated delays. Before obtaining regulatory approvals for the sale of any of our products, we must demonstrate through preclinical studies and clinical trials that the product is safe and effective for each intended use. Preclinical and clinical studies may fail to demonstrate the safety and effectiveness of a product. Even promising results from preclinical and early clinical studies do not always accurately predict results in later, large scale trials. A failure to demonstrate safety and efficacy would result in our failure to obtain regulatory approvals. Moreover, if the FDA grants regulatory approval of a product, the approval may be limited to specific indications or limited with respect to its distribution, which could limit revenues.</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cannot assure you that the FDA or other regulatory agencies will approve any products developed by us, on a timely basis, if at all, or, if granted, that such approval will not subject the marketing of our products to certain limits on indicated use. Any limitation on use imposed by the FDA or delay in or failure to obtain FDA approvals of products developed by us would adversely affect the marketing of these products and our ability to generate product revenue, as well as adversely affect the price of our common stock.</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fail to comply with continuing federal, state and foreign regulations, we could lose our approvals to market drugs and our business would be seriously harmed.</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or foreign regulatory agency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w:t>
      </w:r>
    </w:p>
    <w:p>
      <w:pPr>
        <w:spacing w:after="0" w:line="251" w:lineRule="exact"/>
        <w:rPr>
          <w:sz w:val="20"/>
          <w:szCs w:val="20"/>
          <w:color w:val="auto"/>
        </w:rPr>
      </w:pPr>
    </w:p>
    <w:p>
      <w:pPr>
        <w:ind w:left="1640" w:hanging="457"/>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79" w:lineRule="exact"/>
        <w:rPr>
          <w:rFonts w:ascii="Arial" w:cs="Arial" w:eastAsia="Arial" w:hAnsi="Arial"/>
          <w:sz w:val="18"/>
          <w:szCs w:val="18"/>
          <w:color w:val="auto"/>
        </w:rPr>
      </w:pPr>
    </w:p>
    <w:p>
      <w:pPr>
        <w:ind w:left="1640" w:hanging="457"/>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suspend or withdraw our regulatory approval;</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suspend or terminate any of our ongoing clinical trials;</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impose restrictions on our operations;</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close the facilities of our contract manufacturers; or</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3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Additionally, regulatory review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violate regulatory requirements at any stage, whether before or after marketing approval is obtained, we may be fined, be forced to remove a product from the market or experience other adverse consequences, including delay, which would materially harm our financial results. Additionally, we may not be able to obtain the labeling claims necessary or desirable for product promotion.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Delays in the conduct or completion of our clinical and non-clinical trials or the analysis of the data from our clinical or non-clinical trials may result in delays in our planned filings for regulatory approvals, and may adversely affect our business.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cannot predict whether we will encounter problems with any of our completed or planned clinical or non-clinical studies that will cause us or regulatory authorities to delay or suspend planned clinical and non-clinical studies. Any of the following could delay the completion of our planned clinical studies:</w:t>
      </w:r>
    </w:p>
    <w:p>
      <w:pPr>
        <w:spacing w:after="0" w:line="235" w:lineRule="exact"/>
        <w:rPr>
          <w:sz w:val="20"/>
          <w:szCs w:val="20"/>
          <w:color w:val="auto"/>
        </w:rPr>
      </w:pPr>
    </w:p>
    <w:p>
      <w:pPr>
        <w:ind w:left="1640" w:hanging="457"/>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the FDA to approve the scope or design of our clinical or non-clinical trials or manufacturing plans;</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enrolling volunteers in clinical trials;</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insufficient supply or deficient quality of materials necessary for the performance of clinical or non-clinical trials;</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negative results of clinical or non-clinical studies; and</w:t>
      </w:r>
    </w:p>
    <w:p>
      <w:pPr>
        <w:spacing w:after="0" w:line="333" w:lineRule="exact"/>
        <w:rPr>
          <w:rFonts w:ascii="Arial" w:cs="Arial" w:eastAsia="Arial" w:hAnsi="Arial"/>
          <w:sz w:val="18"/>
          <w:szCs w:val="18"/>
          <w:color w:val="auto"/>
        </w:rPr>
      </w:pPr>
    </w:p>
    <w:p>
      <w:pPr>
        <w:ind w:left="1640" w:hanging="457"/>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side effects experienced by study participants in clinical trials relating to a specific product.</w:t>
      </w:r>
    </w:p>
    <w:p>
      <w:pPr>
        <w:spacing w:after="0" w:line="3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may be other circumstances other than the ones described above, over which we may have no control that could materially delay the successful completion of our clinical and non-clinical studies.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None of our product candidates, other than Ketotransdel™ , have commenced clinical trials.</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None of our product candidates, other than Ketotransdel™, have commenced any clinical trials and there are a number of FDA requirements that we must satisfy in order to commence clinical trials. These requirements will require substantial time, effort and financial resources. We cannot assure you that we will ever satisfy these requirements. In addition, prior to commencing any trials of a drug candidate, we must evaluate whether a market exists for the drug candidate. This is costly and time consuming and no assurance can be given that our market studies will be accurate. We may expend significant capital and other resources on a drug candidate and find that no commercial market exists for the drug. Even if we do commence clinical trials of our other drug candidates, such drug candidates may never be approved by the FDA.</w:t>
      </w:r>
    </w:p>
    <w:p>
      <w:pPr>
        <w:spacing w:after="0" w:line="23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Once approved, there is no guarantee that the market will accept our products, and regulatory requirements could limit the commercial usage of our products.</w:t>
      </w:r>
    </w:p>
    <w:p>
      <w:pPr>
        <w:spacing w:after="0" w:line="2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subject to product liability claims.</w:t>
      </w:r>
    </w:p>
    <w:p>
      <w:pPr>
        <w:spacing w:after="0" w:line="279"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The development, manufacture, and sale of pharmaceutical products expose us to the risk of significant losses resulting from product liability claims. Although we have obtained and intend to maintain product liability insurance to offset some of this risk, we may be unable to maintain such insurance or it may not cover certain potential claims against us.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future, we may not be able to afford to obtain insurance due to rising costs in insurance premiums in recent years. Currently we have been able to secure insurance coverage, however, we may be faced with a successful claim against us in excess of our product liability coverage that could result in a material adverse impact on our business. If insurance coverage is too expensive or is unavailable to us in the future, we may be forced to self-insure against product-related claims. Without insurance coverage, a successful claim against us and any defense costs incurred in defending ourselves may have a material adverse impact on our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our patents are determined to be unenforceable, or if we are unable to obtain new patents based on current patent applications or for future inventions, we may not be able to prevent others from using our intellectual property.</w:t>
      </w:r>
    </w:p>
    <w:p>
      <w:pPr>
        <w:spacing w:after="0" w:line="2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success will depend in part on our ability to obtain and expand patent protection for our specific products and technologies both in the United States and other countries. We cannot guarantee that any patents will be issued from any pending or future patent applications owned by or licensed to us. Alternatively, a third party may successfully circumvent our patents. Our rights under any issued patents may not provide us with sufficient protection against competitive products or otherwise cover commercially valuable products or processes. In addition, because patent applications in the United States are maintained in secrecy for eighteen months after the filing of the applications, and publication of discoveries in the scientific or patent literature often lag behind actual discoveries, we cannot be sure that the inventors of subject matter covered by our patents and patent applications were the first to invent or the first to file patent applications for these inventions. In the event that a third party has also filed a patent on a similar invention, we may have to participate in interference proceedings declared by the United States Patent and Trademark Office to determine priority of invention, which could result in a loss of our patent position. Furthermore, we may not have identified all United States and foreign patents that pose a risk of infringement.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be available on acceptable terms, if at all.</w:t>
      </w:r>
    </w:p>
    <w:p>
      <w:pPr>
        <w:spacing w:after="0" w:line="2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We will be dependent on outside manufacturers in the event that we successfully develop our product candidates into commercial drug products; therefore, we will have limited control of the manufacturing process, access to raw materials, timing for delivery of finished products and costs. One manufacturer may constitute the sole source of one or more of our products.</w:t>
      </w:r>
    </w:p>
    <w:p>
      <w:pPr>
        <w:spacing w:after="0" w:line="23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Third party manufacturers will manufacture all of our products, in the event that we successfully develop our product candidates into commercial drug products. Currently, certain of our contract manufacturers constitute the sole source of one or more of our products.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w:t>
      </w:r>
    </w:p>
    <w:p>
      <w:pPr>
        <w:spacing w:after="0" w:line="21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Because all of our products, in the event that we successfully develop our product candidates into commercial drug products, will be manufactured by third parties, we have a limited ability to control the manufacturing process, access to raw materials, the timing for delivery of finished products or costs related to this process. There can be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and failure to meet FDA standards. Increases in the prices we pay our manufacturers, interruptions in our supply of products or lapses in quality could adversely impact our margins, profitability and cash flows.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w:t>
      </w:r>
    </w:p>
    <w:p>
      <w:pPr>
        <w:spacing w:after="0" w:line="2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rely on our outside manufacturers to assist us in the acquisition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third parties to conduct clinical and non-clinical studies of our drug candidates and provide us with other services. Such third party contractors are subject to FDA requirements. Our business and financial viability are dependent on the regulatory compliance of these third parties, and on the strength, validity and terms of our various contracts with these third parties. Any interruption or failure by these third party contractors to meet their obligations pursuant to various agreements with us may be outside of our control and could have a material adverse effect on our business, financial condition and results of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currently have no internal sales and marketing resources and may have to rely on third parties in the event that we successfully commercialize our product.</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are unable to retain our key personnel or attract additional professional staff, we may be unable to maintain or expand our business.</w:t>
      </w:r>
    </w:p>
    <w:p>
      <w:pPr>
        <w:spacing w:after="0" w:line="3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will remain highly dependent, in large part, upon our ability to attract and retain qualified scientific, technical and commercial personnel. The loss of key scientific, technical and commercial personnel, especially our Chief Executive Officer, Juliet Singh, Ph.D. or the failure to recruit additional key scientific, technical and commercial personnel could have a material adverse effect on our business. While we have consulting agreements with certain key institutions and have an employment agreement with our Chief Executive Officer, we cannot assure you that we will succeed in retaining personnel or their services under existing agreements. There is intense competition for qualified personnel in the pharmaceutical industry, and we cannot assure you that we will be able to continue to attract and retain the qualified personnel necessary for the development of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compete with other companies that develop rival products to our products, then we may never gain market share or achieve profitability.</w:t>
      </w:r>
    </w:p>
    <w:p>
      <w:pPr>
        <w:spacing w:after="0" w:line="2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transdermal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more well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not be able to keep up with the rapid technological change in the biotechnology and pharmaceutical industries, which could make our products obsolete and reduce our potential revenues.</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payors.</w:t>
      </w:r>
    </w:p>
    <w:p>
      <w:pPr>
        <w:spacing w:after="0" w:line="2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jc w:val="both"/>
        <w:ind w:firstLine="648"/>
        <w:spacing w:after="0" w:line="273" w:lineRule="auto"/>
        <w:rPr>
          <w:sz w:val="20"/>
          <w:szCs w:val="20"/>
          <w:color w:val="auto"/>
        </w:rPr>
      </w:pPr>
      <w:r>
        <w:rPr>
          <w:rFonts w:ascii="Arial" w:cs="Arial" w:eastAsia="Arial" w:hAnsi="Arial"/>
          <w:sz w:val="17"/>
          <w:szCs w:val="17"/>
          <w:color w:val="auto"/>
        </w:rPr>
        <w:t>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be detrimental to our business.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healthcare industry is changing rapidly as the public, governments, medical professionals and the pharmaceutical industry examine ways to broaden medical coverage while controlling the increase in healthcare costs. Potential changes could put pressure on the prices of prescription pharmaceutical products and reduce our business or prospects. We cannot predict when, if any, proposed healthcare reforms will be implemented or their affect on our business.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Common Stock</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are subject to financial reporting and other requirements for which our accounting and other management systems and resources may not be adequately prepared.</w:t>
      </w:r>
    </w:p>
    <w:p>
      <w:pPr>
        <w:spacing w:after="0" w:line="2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subject to reporting and other obligations under the Securities Exchange Act of 1934, as amended, (the “Exchange Act”) including the requirements of Section 404 of the Sarbanes-Oxley Act. Section 404 required us to conduct an annual management assessment of the effectiveness of our internal controls over financial reporting which commenced with the annual report on Form 10-KSB for the Fiscal Year 2007 and will be conducted for the Fiscal Year 2008. Also, we will be required to obtain a report by our independent registered public accounting firm addressing these assessments commencing with our annual report on Form 10-K for the fiscal year ended December 31, 2009. These reporting and other obligations will place significant demands on our management, administrative, operational, and accounting resources. We anticipate that we will need to upgrade our systems; implement additional financial and management controls, reporting systems and procedures; implement an internal audit function; and hire additional accounting, internal audit and finance staff. If we are unable to accomplish these objectives in a timely and effective fashion, our ability to comply with our financial reporting requirements and other rules that apply to reporting companies could be impaired and we may not be able to obtain the independent registered public accounting firm certifications required by Section 404. Any failure to maintain effective internal controls could have a negative impact on our ability to manage our business and on our stock price.</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we may not be able to report our financial results accurately or to prevent fraud. Any inability to report and file our financial results accurately and timely could harm our business and adversely impact the trading price of our common stock.</w:t>
      </w:r>
    </w:p>
    <w:p>
      <w:pPr>
        <w:spacing w:after="0" w:line="23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Effective internal control is necessary for us to provide reliable financial reports and prevent fraud. If we cannot provide reliable financial reports or prevent fraud, we will not be able to manage our business as effectively, and our business and reputation with investors would be harmed. Any such inabilities to establish effective controls or loss of confidence would have an adverse affect on our financial condition, results of operation and access to capital. We have not performed an in-depth analysis to determine if past failures of internal controls exist, and may in the future discover areas of our internal control that need improvement.</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Public company compliance may make it more difficult to attract and retain officers and directors.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Sarbanes-Oxley Act and new rules subsequently implemented by the Securities and Exchange Commission have required changes in corporate governance practices of public companies. As a public company, we expect these new rules and regulations to increase our compliance costs and to make certain activities more time consuming and costly. We also expect that these new rules and regulations may make it more difficult and expensive for us to obtain director and officer liability insurance in the future and we may be required to accept reduced policy limits and coverage or incur substantially higher costs to obtain the same or similar coverage. As a result, it may be more difficult for us to attract and retain qualified persons to serve on our board of directors or as executive officers.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price in response to various factors, many of which are beyond our control, including the following:</w:t>
      </w:r>
    </w:p>
    <w:p>
      <w:pPr>
        <w:spacing w:after="0" w:line="224" w:lineRule="exact"/>
        <w:rPr>
          <w:sz w:val="20"/>
          <w:szCs w:val="20"/>
          <w:color w:val="auto"/>
        </w:rPr>
      </w:pPr>
    </w:p>
    <w:p>
      <w:pPr>
        <w:ind w:left="1540" w:hanging="35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pharmaceutical industry and markets;</w:t>
      </w:r>
    </w:p>
    <w:p>
      <w:pPr>
        <w:sectPr>
          <w:pgSz w:w="11900" w:h="16838" w:orient="portrait"/>
          <w:cols w:equalWidth="0" w:num="1">
            <w:col w:w="11420"/>
          </w:cols>
          <w:pgMar w:left="240" w:top="368"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22" w:name="page23"/>
    <w:bookmarkEnd w:id="22"/>
    <w:p>
      <w:pPr>
        <w:ind w:left="1540" w:hanging="35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63" w:lineRule="exact"/>
        <w:rPr>
          <w:rFonts w:ascii="Arial" w:cs="Arial" w:eastAsia="Arial" w:hAnsi="Arial"/>
          <w:sz w:val="18"/>
          <w:szCs w:val="18"/>
          <w:color w:val="auto"/>
        </w:rPr>
      </w:pPr>
    </w:p>
    <w:p>
      <w:pPr>
        <w:ind w:left="1540" w:hanging="35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working capital financing;</w:t>
      </w:r>
    </w:p>
    <w:p>
      <w:pPr>
        <w:spacing w:after="0" w:line="63" w:lineRule="exact"/>
        <w:rPr>
          <w:rFonts w:ascii="Arial" w:cs="Arial" w:eastAsia="Arial" w:hAnsi="Arial"/>
          <w:sz w:val="18"/>
          <w:szCs w:val="18"/>
          <w:color w:val="auto"/>
        </w:rPr>
      </w:pPr>
    </w:p>
    <w:p>
      <w:pPr>
        <w:ind w:left="1540" w:hanging="35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competitors in our market;</w:t>
      </w:r>
    </w:p>
    <w:p>
      <w:pPr>
        <w:spacing w:after="0" w:line="63" w:lineRule="exact"/>
        <w:rPr>
          <w:rFonts w:ascii="Arial" w:cs="Arial" w:eastAsia="Arial" w:hAnsi="Arial"/>
          <w:sz w:val="18"/>
          <w:szCs w:val="18"/>
          <w:color w:val="auto"/>
        </w:rPr>
      </w:pPr>
    </w:p>
    <w:p>
      <w:pPr>
        <w:ind w:left="1540" w:hanging="35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63" w:lineRule="exact"/>
        <w:rPr>
          <w:rFonts w:ascii="Arial" w:cs="Arial" w:eastAsia="Arial" w:hAnsi="Arial"/>
          <w:sz w:val="18"/>
          <w:szCs w:val="18"/>
          <w:color w:val="auto"/>
        </w:rPr>
      </w:pPr>
    </w:p>
    <w:p>
      <w:pPr>
        <w:ind w:left="1540" w:hanging="357"/>
        <w:spacing w:after="0" w:line="258"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 w:lineRule="exact"/>
        <w:rPr>
          <w:rFonts w:ascii="Arial" w:cs="Arial" w:eastAsia="Arial" w:hAnsi="Arial"/>
          <w:sz w:val="18"/>
          <w:szCs w:val="18"/>
          <w:color w:val="auto"/>
        </w:rPr>
      </w:pPr>
    </w:p>
    <w:p>
      <w:pPr>
        <w:ind w:left="1540" w:hanging="35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48" w:lineRule="exact"/>
        <w:rPr>
          <w:rFonts w:ascii="Arial" w:cs="Arial" w:eastAsia="Arial" w:hAnsi="Arial"/>
          <w:sz w:val="18"/>
          <w:szCs w:val="18"/>
          <w:color w:val="auto"/>
        </w:rPr>
      </w:pPr>
    </w:p>
    <w:p>
      <w:pPr>
        <w:ind w:left="1540" w:hanging="35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63" w:lineRule="exact"/>
        <w:rPr>
          <w:rFonts w:ascii="Arial" w:cs="Arial" w:eastAsia="Arial" w:hAnsi="Arial"/>
          <w:sz w:val="18"/>
          <w:szCs w:val="18"/>
          <w:color w:val="auto"/>
        </w:rPr>
      </w:pPr>
    </w:p>
    <w:p>
      <w:pPr>
        <w:ind w:left="1540" w:hanging="35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63" w:lineRule="exact"/>
        <w:rPr>
          <w:rFonts w:ascii="Arial" w:cs="Arial" w:eastAsia="Arial" w:hAnsi="Arial"/>
          <w:sz w:val="18"/>
          <w:szCs w:val="18"/>
          <w:color w:val="auto"/>
        </w:rPr>
      </w:pPr>
    </w:p>
    <w:p>
      <w:pPr>
        <w:ind w:left="1540" w:hanging="35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any strategic relationship with our contract manufacturers and clinical and non-clinical research organizations;</w:t>
      </w:r>
    </w:p>
    <w:p>
      <w:pPr>
        <w:spacing w:after="0" w:line="63" w:lineRule="exact"/>
        <w:rPr>
          <w:rFonts w:ascii="Arial" w:cs="Arial" w:eastAsia="Arial" w:hAnsi="Arial"/>
          <w:sz w:val="18"/>
          <w:szCs w:val="18"/>
          <w:color w:val="auto"/>
        </w:rPr>
      </w:pPr>
    </w:p>
    <w:p>
      <w:pPr>
        <w:ind w:left="1540" w:hanging="35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industry or regulatory developments;</w:t>
      </w:r>
    </w:p>
    <w:p>
      <w:pPr>
        <w:spacing w:after="0" w:line="63" w:lineRule="exact"/>
        <w:rPr>
          <w:rFonts w:ascii="Arial" w:cs="Arial" w:eastAsia="Arial" w:hAnsi="Arial"/>
          <w:sz w:val="18"/>
          <w:szCs w:val="18"/>
          <w:color w:val="auto"/>
        </w:rPr>
      </w:pPr>
    </w:p>
    <w:p>
      <w:pPr>
        <w:ind w:left="1540" w:hanging="35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63" w:lineRule="exact"/>
        <w:rPr>
          <w:rFonts w:ascii="Arial" w:cs="Arial" w:eastAsia="Arial" w:hAnsi="Arial"/>
          <w:sz w:val="18"/>
          <w:szCs w:val="18"/>
          <w:color w:val="auto"/>
        </w:rPr>
      </w:pPr>
    </w:p>
    <w:p>
      <w:pPr>
        <w:ind w:left="1540" w:hanging="35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33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investment may be limited to the value of our common stock.</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common stock may be deemed a “penny stock”, which would make it more difficult for our investors to sell their shares.</w:t>
      </w:r>
    </w:p>
    <w:p>
      <w:pPr>
        <w:spacing w:after="0" w:line="2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common stock may be subject to the “penny stock” rules adopted under Section 15(g) of the Exchange Act. The penny stock rules apply to companies whose common stock is not listed on The Nasdaq Stock Market or other national securities exchange and trades at less than $4.00 per share or that have tangible net worth of less than $5,000,000 ($2,000,000 if the company has been operating for three or more years). These rules require, among other things, that brokers who trade penny stock to persons other than “established customers” complete certain documentation, make suitability inquiries of investors and provide investors with certain information concerning trading in the security, including a risk disclosure document and quote information under certain circumstances. Many brokers have decided not to trade penny stocks because of the requirements of the penny stock rules and, as a result, the number of broker-dealers willing to act as market makers in such securities is limited. If we remain subject to the penny stock rules for any significant period, it could have an adverse effect on the market, if any, for our securities. If our securities are subject to the penny stock rules, investors will find it more difficult to dispose of our securities.</w:t>
      </w:r>
    </w:p>
    <w:p>
      <w:pPr>
        <w:spacing w:after="0" w:line="2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Furthermore, for companies whose securities are traded in the OTC Bulletin Board, it is more difficult (1) to obtain accurate quotations, (2) to obtain coverage for significant news events because major wire services generally do not publish press releases about such companies and (3) to obtain needed capital.</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Offers or availability for sale of a substantial number of shares of our common stock may cause the price of our common stock to decline.</w:t>
      </w:r>
    </w:p>
    <w:p>
      <w:pPr>
        <w:spacing w:after="0" w:line="3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directors and executive officers can exert significant control over our business and affairs and may have actual or potential interests that may depart from those of our other stockholders.</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directors and executive officers together beneficially own a significant percentage of our issued and outstanding common stock, which percentage may increase in the event that they exercise any options or warrants to purchase shares of our common stock that they may hold or in the future are granted to them. The interests of such persons may differ from the interests of other stockholders. Such persons will have significant influence over all corporate actions requiring stockholder approval, irrespective of how our other stockholders may vote, including the following actions:</w:t>
      </w:r>
    </w:p>
    <w:p>
      <w:pPr>
        <w:sectPr>
          <w:pgSz w:w="11900" w:h="16838" w:orient="portrait"/>
          <w:cols w:equalWidth="0" w:num="1">
            <w:col w:w="11420"/>
          </w:cols>
          <w:pgMar w:left="240" w:top="395"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23" w:name="page24"/>
    <w:bookmarkEnd w:id="23"/>
    <w:p>
      <w:pPr>
        <w:ind w:left="1540" w:hanging="357"/>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our directors;</w:t>
      </w:r>
    </w:p>
    <w:p>
      <w:pPr>
        <w:spacing w:after="0" w:line="36" w:lineRule="exact"/>
        <w:rPr>
          <w:rFonts w:ascii="Arial" w:cs="Arial" w:eastAsia="Arial" w:hAnsi="Arial"/>
          <w:sz w:val="18"/>
          <w:szCs w:val="18"/>
          <w:color w:val="auto"/>
        </w:rPr>
      </w:pPr>
    </w:p>
    <w:p>
      <w:pPr>
        <w:ind w:left="1540" w:hanging="357"/>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amendment of our Certificate of Incorporation or By-laws; and</w:t>
      </w:r>
    </w:p>
    <w:p>
      <w:pPr>
        <w:spacing w:after="0" w:line="63" w:lineRule="exact"/>
        <w:rPr>
          <w:rFonts w:ascii="Arial" w:cs="Arial" w:eastAsia="Arial" w:hAnsi="Arial"/>
          <w:sz w:val="18"/>
          <w:szCs w:val="18"/>
          <w:color w:val="auto"/>
        </w:rPr>
      </w:pPr>
    </w:p>
    <w:p>
      <w:pPr>
        <w:ind w:left="1540" w:hanging="357"/>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mergers, sales of assets or other corporate transactions.</w:t>
      </w:r>
    </w:p>
    <w:p>
      <w:pPr>
        <w:spacing w:after="0" w:line="33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Concentration of stock ownership among a few stockholders may discourage a potential acquirer from making a tender offer or otherwise attempting to obtain control of our company, which in turn could reduce our stock price or prevent our stockholders from realizing a premium over our stock price.</w:t>
      </w:r>
    </w:p>
    <w:p>
      <w:pPr>
        <w:spacing w:after="0" w:line="178"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collaboration and licensing arrangements may cause dilution to existing stockholders, restrict operations or require us to relinquish proprietary rights.</w:t>
      </w:r>
    </w:p>
    <w:p>
      <w:pPr>
        <w:spacing w:after="0" w:line="22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may raise additional funds through public or private equity offerings or corporate collaboration and licensing arrangements. To the extent that we raise additional capital by issuing equity securities, our existing stockholders’ ownership will be diluted. In addition, if we raise additional funds through collaboration and licensing arrangements, it may be necessary to relinquish potentially valuable rights to our potential products or proprietary technologies, or grant licenses on terms that are not favorable to us. Further, we may not be able to obtain additional funding, particularly if the volatile conditions in the stock and financial markets, and more particularly the market for pharmaceutical company stocks, persist. If we are unable to obtain additional funding, we may be required to delay, further reduce the scope of or discontinue one or more of our research and development projects, sell the company or certain of its assets or technologies, or dissolve and liquidate the company’s assets.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July 1, 2008, we have issued or agreed to issue the following shares of our common stock that have not been registered under the Securities Act of 1933, as amended:</w:t>
      </w:r>
    </w:p>
    <w:p>
      <w:pPr>
        <w:spacing w:after="0" w:line="2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27, 2008, we entered into an agreement with an investor relations firm (“IR FIRM”), pursuant to which the IR FIRM will provide certain investor relations and public relations services to us for a period of one year, beginning on November 1, 2008. In exchange for such services, we issued 82,568 registered shares of our common stock, a portion of which is forfeitable, to the IR FIRM as a prepayment of services to be received, and beginning on or about March 1, 2008, we have agreed to issue an additional 22,889 shares of unregistered common stock to the IR FIRM on a monthly basis thereafter for the term of the agreement. The offer, sale and issuance of these securities was made in reliance upon the exemption from registration requirements of the Securities Act provided for by Section 4(2) thereof for transactions not involving a public offering.</w:t>
      </w:r>
    </w:p>
    <w:p>
      <w:pPr>
        <w:spacing w:after="0" w:line="23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5, 2008, we granted a stock option to an employee, to purchase 10,000 shares of our common stock at an exercise price of $1.10 per share, which was the closing bid price of our common stock on the date of grant. The issuance of these securities is exempt from registration in reliance on Rule 701 of the under the Securities Act of 1933 pursuant to compensatory benefit plans approved by our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40" w:type="dxa"/>
            <w:vAlign w:val="bottom"/>
          </w:tcPr>
          <w:p>
            <w:pPr>
              <w:spacing w:after="0"/>
              <w:rPr>
                <w:sz w:val="18"/>
                <w:szCs w:val="18"/>
                <w:color w:val="auto"/>
              </w:rPr>
            </w:pPr>
          </w:p>
        </w:tc>
      </w:tr>
      <w:tr>
        <w:trPr>
          <w:trHeight w:val="234"/>
        </w:trPr>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9140" w:type="dxa"/>
            <w:vAlign w:val="bottom"/>
            <w:tcBorders>
              <w:bottom w:val="single" w:sz="8" w:color="auto"/>
            </w:tcBorders>
          </w:tcPr>
          <w:p>
            <w:pPr>
              <w:spacing w:after="0"/>
              <w:rPr>
                <w:sz w:val="20"/>
                <w:szCs w:val="20"/>
                <w:color w:val="auto"/>
              </w:rPr>
            </w:pPr>
          </w:p>
        </w:tc>
      </w:tr>
      <w:tr>
        <w:trPr>
          <w:trHeight w:val="480"/>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95"/>
              </w:rPr>
              <w:t>31.1*</w:t>
            </w: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2"/>
              </w:rPr>
              <w:t>Section 302</w:t>
            </w:r>
          </w:p>
        </w:tc>
        <w:tc>
          <w:tcPr>
            <w:tcW w:w="9140" w:type="dxa"/>
            <w:vAlign w:val="bottom"/>
          </w:tcPr>
          <w:p>
            <w:pPr>
              <w:spacing w:after="0"/>
              <w:rPr>
                <w:sz w:val="20"/>
                <w:szCs w:val="20"/>
                <w:color w:val="auto"/>
              </w:rPr>
            </w:pPr>
            <w:r>
              <w:rPr>
                <w:rFonts w:ascii="Arial" w:cs="Arial" w:eastAsia="Arial" w:hAnsi="Arial"/>
                <w:sz w:val="18"/>
                <w:szCs w:val="18"/>
                <w:color w:val="auto"/>
              </w:rPr>
              <w:t>Certification of Principal Executive Officer</w:t>
            </w:r>
          </w:p>
        </w:tc>
      </w:tr>
      <w:tr>
        <w:trPr>
          <w:trHeight w:val="270"/>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95"/>
              </w:rPr>
              <w:t>31.2*</w:t>
            </w:r>
          </w:p>
        </w:tc>
        <w:tc>
          <w:tcPr>
            <w:tcW w:w="2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2"/>
              </w:rPr>
              <w:t>Section 302</w:t>
            </w:r>
          </w:p>
        </w:tc>
        <w:tc>
          <w:tcPr>
            <w:tcW w:w="9140" w:type="dxa"/>
            <w:vAlign w:val="bottom"/>
          </w:tcPr>
          <w:p>
            <w:pPr>
              <w:spacing w:after="0"/>
              <w:rPr>
                <w:sz w:val="20"/>
                <w:szCs w:val="20"/>
                <w:color w:val="auto"/>
              </w:rPr>
            </w:pPr>
            <w:r>
              <w:rPr>
                <w:rFonts w:ascii="Arial" w:cs="Arial" w:eastAsia="Arial" w:hAnsi="Arial"/>
                <w:sz w:val="18"/>
                <w:szCs w:val="18"/>
                <w:color w:val="auto"/>
              </w:rPr>
              <w:t>Certification of Principal Financial Officer</w:t>
            </w:r>
          </w:p>
        </w:tc>
      </w:tr>
      <w:tr>
        <w:trPr>
          <w:trHeight w:val="270"/>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95"/>
              </w:rPr>
              <w:t>32.1*</w:t>
            </w:r>
          </w:p>
        </w:tc>
        <w:tc>
          <w:tcPr>
            <w:tcW w:w="2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2"/>
              </w:rPr>
              <w:t>Section 906</w:t>
            </w:r>
          </w:p>
        </w:tc>
        <w:tc>
          <w:tcPr>
            <w:tcW w:w="9140" w:type="dxa"/>
            <w:vAlign w:val="bottom"/>
          </w:tcPr>
          <w:p>
            <w:pPr>
              <w:spacing w:after="0"/>
              <w:rPr>
                <w:sz w:val="20"/>
                <w:szCs w:val="20"/>
                <w:color w:val="auto"/>
              </w:rPr>
            </w:pPr>
            <w:r>
              <w:rPr>
                <w:rFonts w:ascii="Arial" w:cs="Arial" w:eastAsia="Arial" w:hAnsi="Arial"/>
                <w:sz w:val="18"/>
                <w:szCs w:val="18"/>
                <w:color w:val="auto"/>
              </w:rPr>
              <w:t>Certification of Principal Executive Officer and Principal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1061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Transdel Pharmaceuticals,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November 14,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Juliet Singh</w:t>
      </w:r>
    </w:p>
    <w:p>
      <w:pPr>
        <w:spacing w:after="0" w:line="5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Juliet Singh,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542"/>
        </w:trPr>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000" w:type="dxa"/>
            <w:vAlign w:val="bottom"/>
          </w:tcPr>
          <w:p>
            <w:pPr>
              <w:spacing w:after="0"/>
              <w:rPr>
                <w:sz w:val="24"/>
                <w:szCs w:val="24"/>
                <w:color w:val="auto"/>
              </w:rPr>
            </w:pPr>
          </w:p>
        </w:tc>
      </w:tr>
      <w:tr>
        <w:trPr>
          <w:trHeight w:val="234"/>
        </w:trPr>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27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r>
      <w:tr>
        <w:trPr>
          <w:trHeight w:val="480"/>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95"/>
              </w:rPr>
              <w:t>31.1*</w:t>
            </w: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2"/>
              </w:rPr>
              <w:t>Section 302</w:t>
            </w:r>
          </w:p>
        </w:tc>
        <w:tc>
          <w:tcPr>
            <w:tcW w:w="9140" w:type="dxa"/>
            <w:vAlign w:val="bottom"/>
            <w:gridSpan w:val="3"/>
          </w:tcPr>
          <w:p>
            <w:pPr>
              <w:spacing w:after="0"/>
              <w:rPr>
                <w:sz w:val="20"/>
                <w:szCs w:val="20"/>
                <w:color w:val="auto"/>
              </w:rPr>
            </w:pPr>
            <w:r>
              <w:rPr>
                <w:rFonts w:ascii="Arial" w:cs="Arial" w:eastAsia="Arial" w:hAnsi="Arial"/>
                <w:sz w:val="18"/>
                <w:szCs w:val="18"/>
                <w:color w:val="auto"/>
              </w:rPr>
              <w:t>Certification of Principal Executive Officer</w:t>
            </w:r>
          </w:p>
        </w:tc>
      </w:tr>
      <w:tr>
        <w:trPr>
          <w:trHeight w:val="270"/>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95"/>
              </w:rPr>
              <w:t>31.2*</w:t>
            </w:r>
          </w:p>
        </w:tc>
        <w:tc>
          <w:tcPr>
            <w:tcW w:w="2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2"/>
              </w:rPr>
              <w:t>Section 302</w:t>
            </w:r>
          </w:p>
        </w:tc>
        <w:tc>
          <w:tcPr>
            <w:tcW w:w="9140" w:type="dxa"/>
            <w:vAlign w:val="bottom"/>
            <w:gridSpan w:val="3"/>
          </w:tcPr>
          <w:p>
            <w:pPr>
              <w:spacing w:after="0"/>
              <w:rPr>
                <w:sz w:val="20"/>
                <w:szCs w:val="20"/>
                <w:color w:val="auto"/>
              </w:rPr>
            </w:pPr>
            <w:r>
              <w:rPr>
                <w:rFonts w:ascii="Arial" w:cs="Arial" w:eastAsia="Arial" w:hAnsi="Arial"/>
                <w:sz w:val="18"/>
                <w:szCs w:val="18"/>
                <w:color w:val="auto"/>
              </w:rPr>
              <w:t>Certification of Principal Financial Officer</w:t>
            </w:r>
          </w:p>
        </w:tc>
      </w:tr>
      <w:tr>
        <w:trPr>
          <w:trHeight w:val="270"/>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95"/>
              </w:rPr>
              <w:t>32.1*</w:t>
            </w:r>
          </w:p>
        </w:tc>
        <w:tc>
          <w:tcPr>
            <w:tcW w:w="2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2"/>
              </w:rPr>
              <w:t>Section 906</w:t>
            </w:r>
          </w:p>
        </w:tc>
        <w:tc>
          <w:tcPr>
            <w:tcW w:w="9140" w:type="dxa"/>
            <w:vAlign w:val="bottom"/>
            <w:gridSpan w:val="3"/>
          </w:tcPr>
          <w:p>
            <w:pPr>
              <w:spacing w:after="0"/>
              <w:rPr>
                <w:sz w:val="20"/>
                <w:szCs w:val="20"/>
                <w:color w:val="auto"/>
              </w:rPr>
            </w:pPr>
            <w:r>
              <w:rPr>
                <w:rFonts w:ascii="Arial" w:cs="Arial" w:eastAsia="Arial" w:hAnsi="Arial"/>
                <w:sz w:val="18"/>
                <w:szCs w:val="18"/>
                <w:color w:val="auto"/>
              </w:rPr>
              <w:t>Certification of Principal Executive Officer and Principal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1061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Juliet Singh, Ph.D., certify that:</w:t>
      </w:r>
    </w:p>
    <w:p>
      <w:pPr>
        <w:spacing w:after="0" w:line="279" w:lineRule="exact"/>
        <w:rPr>
          <w:sz w:val="20"/>
          <w:szCs w:val="20"/>
          <w:color w:val="auto"/>
        </w:rPr>
      </w:pPr>
    </w:p>
    <w:p>
      <w:pPr>
        <w:ind w:left="720" w:hanging="361"/>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Transdel Pharmaceuticals, Inc.;</w:t>
      </w:r>
    </w:p>
    <w:p>
      <w:pPr>
        <w:spacing w:after="0" w:line="333" w:lineRule="exact"/>
        <w:rPr>
          <w:rFonts w:ascii="Arial" w:cs="Arial" w:eastAsia="Arial" w:hAnsi="Arial"/>
          <w:sz w:val="18"/>
          <w:szCs w:val="18"/>
          <w:color w:val="auto"/>
        </w:rPr>
      </w:pPr>
    </w:p>
    <w:p>
      <w:pPr>
        <w:jc w:val="both"/>
        <w:ind w:left="720" w:hanging="361"/>
        <w:spacing w:after="0" w:line="264"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720" w:hanging="361"/>
        <w:spacing w:after="0" w:line="308"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720" w:hanging="361"/>
        <w:spacing w:after="0" w:line="264"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jc w:val="both"/>
        <w:ind w:left="1060" w:hanging="350"/>
        <w:spacing w:after="0" w:line="264" w:lineRule="auto"/>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060" w:hanging="350"/>
        <w:spacing w:after="0" w:line="259" w:lineRule="auto"/>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2" w:lineRule="exact"/>
        <w:rPr>
          <w:rFonts w:ascii="Arial" w:cs="Arial" w:eastAsia="Arial" w:hAnsi="Arial"/>
          <w:sz w:val="18"/>
          <w:szCs w:val="18"/>
          <w:color w:val="auto"/>
        </w:rPr>
      </w:pPr>
    </w:p>
    <w:p>
      <w:pPr>
        <w:ind w:left="1060" w:hanging="350"/>
        <w:spacing w:after="0" w:line="308" w:lineRule="auto"/>
        <w:tabs>
          <w:tab w:leader="none" w:pos="10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1060" w:hanging="350"/>
        <w:spacing w:after="0" w:line="264" w:lineRule="auto"/>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p>
      <w:pPr>
        <w:spacing w:after="0" w:line="235" w:lineRule="exact"/>
        <w:rPr>
          <w:rFonts w:ascii="Arial" w:cs="Arial" w:eastAsia="Arial" w:hAnsi="Arial"/>
          <w:sz w:val="18"/>
          <w:szCs w:val="18"/>
          <w:color w:val="auto"/>
        </w:rPr>
      </w:pPr>
    </w:p>
    <w:p>
      <w:pPr>
        <w:ind w:left="720" w:hanging="361"/>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registrant’s board of directors (or persons performing the equivalent functions):</w:t>
      </w:r>
    </w:p>
    <w:p>
      <w:pPr>
        <w:spacing w:after="0" w:line="224" w:lineRule="exact"/>
        <w:rPr>
          <w:rFonts w:ascii="Arial" w:cs="Arial" w:eastAsia="Arial" w:hAnsi="Arial"/>
          <w:sz w:val="18"/>
          <w:szCs w:val="18"/>
          <w:color w:val="auto"/>
        </w:rPr>
      </w:pPr>
    </w:p>
    <w:p>
      <w:pPr>
        <w:ind w:left="1060" w:hanging="350"/>
        <w:spacing w:after="0" w:line="277" w:lineRule="auto"/>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1060" w:hanging="350"/>
        <w:spacing w:after="0" w:line="277" w:lineRule="auto"/>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November 14, 2008</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Juliet Singh</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Juliet Singh, Ph.D., Chief Executive Officer</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361"/>
        </w:trPr>
        <w:tc>
          <w:tcPr>
            <w:tcW w:w="628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John T. Lomoro, certify that:</w:t>
      </w:r>
    </w:p>
    <w:p>
      <w:pPr>
        <w:spacing w:after="0" w:line="279" w:lineRule="exact"/>
        <w:rPr>
          <w:sz w:val="20"/>
          <w:szCs w:val="20"/>
          <w:color w:val="auto"/>
        </w:rPr>
      </w:pPr>
    </w:p>
    <w:p>
      <w:pPr>
        <w:ind w:left="720" w:hanging="361"/>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Transdel Pharmaceuticals, Inc.;</w:t>
      </w:r>
    </w:p>
    <w:p>
      <w:pPr>
        <w:spacing w:after="0" w:line="333" w:lineRule="exact"/>
        <w:rPr>
          <w:rFonts w:ascii="Arial" w:cs="Arial" w:eastAsia="Arial" w:hAnsi="Arial"/>
          <w:sz w:val="18"/>
          <w:szCs w:val="18"/>
          <w:color w:val="auto"/>
        </w:rPr>
      </w:pPr>
    </w:p>
    <w:p>
      <w:pPr>
        <w:jc w:val="both"/>
        <w:ind w:left="720" w:hanging="361"/>
        <w:spacing w:after="0" w:line="26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720" w:hanging="361"/>
        <w:spacing w:after="0" w:line="308"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720" w:hanging="361"/>
        <w:spacing w:after="0" w:line="264"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jc w:val="both"/>
        <w:ind w:left="1060" w:hanging="350"/>
        <w:spacing w:after="0" w:line="264" w:lineRule="auto"/>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060" w:hanging="350"/>
        <w:spacing w:after="0" w:line="259" w:lineRule="auto"/>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2" w:lineRule="exact"/>
        <w:rPr>
          <w:rFonts w:ascii="Arial" w:cs="Arial" w:eastAsia="Arial" w:hAnsi="Arial"/>
          <w:sz w:val="18"/>
          <w:szCs w:val="18"/>
          <w:color w:val="auto"/>
        </w:rPr>
      </w:pPr>
    </w:p>
    <w:p>
      <w:pPr>
        <w:ind w:left="1060" w:hanging="350"/>
        <w:spacing w:after="0" w:line="308" w:lineRule="auto"/>
        <w:tabs>
          <w:tab w:leader="none" w:pos="10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1060" w:hanging="350"/>
        <w:spacing w:after="0" w:line="264" w:lineRule="auto"/>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p>
      <w:pPr>
        <w:spacing w:after="0" w:line="235" w:lineRule="exact"/>
        <w:rPr>
          <w:rFonts w:ascii="Arial" w:cs="Arial" w:eastAsia="Arial" w:hAnsi="Arial"/>
          <w:sz w:val="18"/>
          <w:szCs w:val="18"/>
          <w:color w:val="auto"/>
        </w:rPr>
      </w:pPr>
    </w:p>
    <w:p>
      <w:pPr>
        <w:ind w:left="720" w:hanging="361"/>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registrant’s board of directors (or persons performing the equivalent functions):</w:t>
      </w:r>
    </w:p>
    <w:p>
      <w:pPr>
        <w:spacing w:after="0" w:line="224" w:lineRule="exact"/>
        <w:rPr>
          <w:rFonts w:ascii="Arial" w:cs="Arial" w:eastAsia="Arial" w:hAnsi="Arial"/>
          <w:sz w:val="18"/>
          <w:szCs w:val="18"/>
          <w:color w:val="auto"/>
        </w:rPr>
      </w:pPr>
    </w:p>
    <w:p>
      <w:pPr>
        <w:ind w:left="1060" w:hanging="350"/>
        <w:spacing w:after="0" w:line="277" w:lineRule="auto"/>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1060" w:hanging="350"/>
        <w:spacing w:after="0" w:line="277" w:lineRule="auto"/>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November 14, 2008</w:t>
      </w:r>
      <w:r>
        <w:rPr>
          <w:sz w:val="20"/>
          <w:szCs w:val="20"/>
          <w:color w:val="auto"/>
        </w:rPr>
        <w:tab/>
      </w:r>
      <w:r>
        <w:rPr>
          <w:rFonts w:ascii="Arial" w:cs="Arial" w:eastAsia="Arial" w:hAnsi="Arial"/>
          <w:sz w:val="16"/>
          <w:szCs w:val="16"/>
          <w:color w:val="auto"/>
        </w:rPr>
        <w:t>/s/ John T. Lomoro</w:t>
      </w:r>
    </w:p>
    <w:p>
      <w:pPr>
        <w:spacing w:after="0" w:line="5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T. Lomoro,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Transdel Pharmaceuticals, Inc. (the “Company”) on Form 10-Q for the period ended September 30, 2008 as filed with the Securities and Exchange Commission on the date hereof (the “Report”) pursuant to 18 U.S.C. Section 1350, as adopted pursuant to Section 906 of the Sarbanes-Oxley Act of 2002, Juliet Singh, Ph.D., the Chief Executive Officer of Transdel Pharmaceuticals, Inc., and John T. Lomoro, the Chief Financial Officer of Transdel Pharmaceuticals, Inc., each certifies that:</w:t>
      </w:r>
    </w:p>
    <w:p>
      <w:pPr>
        <w:spacing w:after="0" w:line="241"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15(d) of the Securities Exchange Act of 1934; and</w:t>
      </w:r>
    </w:p>
    <w:p>
      <w:pPr>
        <w:spacing w:after="0" w:line="279" w:lineRule="exact"/>
        <w:rPr>
          <w:rFonts w:ascii="Arial" w:cs="Arial" w:eastAsia="Arial" w:hAnsi="Arial"/>
          <w:sz w:val="18"/>
          <w:szCs w:val="18"/>
          <w:color w:val="auto"/>
        </w:rPr>
      </w:pPr>
    </w:p>
    <w:p>
      <w:pPr>
        <w:ind w:right="440" w:firstLine="8"/>
        <w:spacing w:after="0" w:line="590" w:lineRule="auto"/>
        <w:tabs>
          <w:tab w:leader="none" w:pos="58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November 14, 2008</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Juliet Singh</w:t>
      </w:r>
    </w:p>
    <w:p>
      <w:pPr>
        <w:spacing w:after="0" w:line="10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Juliet Singh,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John T. Lomoro</w:t>
      </w:r>
    </w:p>
    <w:p>
      <w:pPr>
        <w:spacing w:after="0" w:line="10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T. Lomoro,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2020-02-01T05:35:30Z</dcterms:created>
  <dcterms:modified xsi:type="dcterms:W3CDTF">2020-02-01T05:35:30Z</dcterms:modified>
</cp:coreProperties>
</file>