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12264 El Camino Real, Suite 350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California 92130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January 26, 2017</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Chris Edwards</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ind w:left="1300"/>
              <w:spacing w:after="0"/>
              <w:rPr>
                <w:sz w:val="20"/>
                <w:szCs w:val="20"/>
                <w:color w:val="auto"/>
              </w:rPr>
            </w:pPr>
            <w:r>
              <w:rPr>
                <w:rFonts w:ascii="Arial" w:cs="Arial" w:eastAsia="Arial" w:hAnsi="Arial"/>
                <w:sz w:val="18"/>
                <w:szCs w:val="18"/>
                <w:color w:val="auto"/>
              </w:rPr>
              <w:t>Re:</w:t>
            </w:r>
          </w:p>
        </w:tc>
        <w:tc>
          <w:tcPr>
            <w:tcW w:w="2240" w:type="dxa"/>
            <w:vAlign w:val="bottom"/>
            <w:gridSpan w:val="2"/>
          </w:tcPr>
          <w:p>
            <w:pPr>
              <w:spacing w:after="0"/>
              <w:rPr>
                <w:sz w:val="20"/>
                <w:szCs w:val="20"/>
                <w:color w:val="auto"/>
              </w:rPr>
            </w:pPr>
            <w:r>
              <w:rPr>
                <w:rFonts w:ascii="Arial" w:cs="Arial" w:eastAsia="Arial" w:hAnsi="Arial"/>
                <w:sz w:val="18"/>
                <w:szCs w:val="18"/>
                <w:color w:val="auto"/>
                <w:w w:val="90"/>
              </w:rPr>
              <w:t>Imprimis Pharmaceuticals, Inc.</w:t>
            </w:r>
          </w:p>
        </w:tc>
      </w:tr>
      <w:tr>
        <w:trPr>
          <w:trHeight w:val="190"/>
        </w:trPr>
        <w:tc>
          <w:tcPr>
            <w:tcW w:w="1960" w:type="dxa"/>
            <w:vAlign w:val="bottom"/>
          </w:tcPr>
          <w:p>
            <w:pPr>
              <w:spacing w:after="0"/>
              <w:rPr>
                <w:sz w:val="16"/>
                <w:szCs w:val="16"/>
                <w:color w:val="auto"/>
              </w:rPr>
            </w:pPr>
          </w:p>
        </w:tc>
        <w:tc>
          <w:tcPr>
            <w:tcW w:w="2240" w:type="dxa"/>
            <w:vAlign w:val="bottom"/>
            <w:gridSpan w:val="2"/>
          </w:tcPr>
          <w:p>
            <w:pPr>
              <w:spacing w:after="0" w:line="190" w:lineRule="exact"/>
              <w:rPr>
                <w:sz w:val="20"/>
                <w:szCs w:val="20"/>
                <w:color w:val="auto"/>
              </w:rPr>
            </w:pPr>
            <w:r>
              <w:rPr>
                <w:rFonts w:ascii="Arial" w:cs="Arial" w:eastAsia="Arial" w:hAnsi="Arial"/>
                <w:sz w:val="18"/>
                <w:szCs w:val="18"/>
                <w:color w:val="auto"/>
              </w:rPr>
              <w:t>SEC File No: 333-215672</w:t>
            </w:r>
          </w:p>
        </w:tc>
      </w:tr>
      <w:tr>
        <w:trPr>
          <w:trHeight w:val="453"/>
        </w:trPr>
        <w:tc>
          <w:tcPr>
            <w:tcW w:w="1960" w:type="dxa"/>
            <w:vAlign w:val="bottom"/>
          </w:tcPr>
          <w:p>
            <w:pPr>
              <w:spacing w:after="0"/>
              <w:rPr>
                <w:sz w:val="20"/>
                <w:szCs w:val="20"/>
                <w:color w:val="auto"/>
              </w:rPr>
            </w:pPr>
            <w:r>
              <w:rPr>
                <w:rFonts w:ascii="Arial" w:cs="Arial" w:eastAsia="Arial" w:hAnsi="Arial"/>
                <w:sz w:val="18"/>
                <w:szCs w:val="18"/>
                <w:color w:val="auto"/>
              </w:rPr>
              <w:t>Ladies and Gentlemen:</w:t>
            </w:r>
          </w:p>
        </w:tc>
        <w:tc>
          <w:tcPr>
            <w:tcW w:w="18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r>
    </w:tbl>
    <w:p>
      <w:pPr>
        <w:spacing w:after="0" w:line="202" w:lineRule="exact"/>
        <w:rPr>
          <w:sz w:val="24"/>
          <w:szCs w:val="24"/>
          <w:color w:val="auto"/>
        </w:rPr>
      </w:pPr>
    </w:p>
    <w:p>
      <w:pPr>
        <w:jc w:val="both"/>
        <w:ind w:firstLine="1297"/>
        <w:spacing w:after="0" w:line="264" w:lineRule="auto"/>
        <w:rPr>
          <w:sz w:val="20"/>
          <w:szCs w:val="20"/>
          <w:color w:val="auto"/>
        </w:rPr>
      </w:pPr>
      <w:r>
        <w:rPr>
          <w:rFonts w:ascii="Arial" w:cs="Arial" w:eastAsia="Arial" w:hAnsi="Arial"/>
          <w:sz w:val="18"/>
          <w:szCs w:val="18"/>
          <w:color w:val="auto"/>
        </w:rPr>
        <w:t>In connection with the Registration Statement on Form S-3 (File No. 333-215672) of Imprimis Pharmaceuticals, Inc. (the “Company”), the undersigned hereby requests, pursuant to Rule 461 promulgated under the Securities Act of 1933, as amended, acceleration of the effective date of said Registration Statement to 4:30 p.m. on January 30, 2017, or as soon thereafter as practicable.</w:t>
      </w:r>
    </w:p>
    <w:p>
      <w:pPr>
        <w:spacing w:after="0" w:line="181"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In connection with the Registration Statement, the Company acknowledges that:</w:t>
      </w:r>
    </w:p>
    <w:p>
      <w:pPr>
        <w:spacing w:after="0" w:line="225" w:lineRule="exact"/>
        <w:rPr>
          <w:sz w:val="24"/>
          <w:szCs w:val="24"/>
          <w:color w:val="auto"/>
        </w:rPr>
      </w:pPr>
    </w:p>
    <w:p>
      <w:pPr>
        <w:ind w:firstLine="1305"/>
        <w:spacing w:after="0" w:line="277" w:lineRule="auto"/>
        <w:tabs>
          <w:tab w:leader="none" w:pos="1589"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Commission or the staff, acting pursuant to delegated authority, declare the filing effective, it does not foreclose the Commission from taking any action with respect to the filing;</w:t>
      </w:r>
    </w:p>
    <w:p>
      <w:pPr>
        <w:spacing w:after="0" w:line="170" w:lineRule="exact"/>
        <w:rPr>
          <w:rFonts w:ascii="Arial" w:cs="Arial" w:eastAsia="Arial" w:hAnsi="Arial"/>
          <w:sz w:val="18"/>
          <w:szCs w:val="18"/>
          <w:color w:val="auto"/>
        </w:rPr>
      </w:pPr>
    </w:p>
    <w:p>
      <w:pPr>
        <w:ind w:firstLine="1305"/>
        <w:spacing w:after="0" w:line="277" w:lineRule="auto"/>
        <w:tabs>
          <w:tab w:leader="none" w:pos="1566"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170" w:lineRule="exact"/>
        <w:rPr>
          <w:rFonts w:ascii="Arial" w:cs="Arial" w:eastAsia="Arial" w:hAnsi="Arial"/>
          <w:sz w:val="18"/>
          <w:szCs w:val="18"/>
          <w:color w:val="auto"/>
        </w:rPr>
      </w:pPr>
    </w:p>
    <w:p>
      <w:pPr>
        <w:ind w:firstLine="1305"/>
        <w:spacing w:after="0" w:line="277" w:lineRule="auto"/>
        <w:tabs>
          <w:tab w:leader="none" w:pos="1559"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the declaration of effectiveness as a defense in any proceeding initiated by the Commission or any person under the federal securities law of the United States.</w:t>
      </w:r>
    </w:p>
    <w:p>
      <w:pPr>
        <w:spacing w:after="0" w:line="170" w:lineRule="exact"/>
        <w:rPr>
          <w:sz w:val="24"/>
          <w:szCs w:val="24"/>
          <w:color w:val="auto"/>
        </w:rPr>
      </w:pPr>
    </w:p>
    <w:p>
      <w:pPr>
        <w:ind w:left="5620"/>
        <w:spacing w:after="0"/>
        <w:rPr>
          <w:sz w:val="20"/>
          <w:szCs w:val="20"/>
          <w:color w:val="auto"/>
        </w:rPr>
      </w:pPr>
      <w:r>
        <w:rPr>
          <w:rFonts w:ascii="Arial" w:cs="Arial" w:eastAsia="Arial" w:hAnsi="Arial"/>
          <w:sz w:val="18"/>
          <w:szCs w:val="18"/>
          <w:color w:val="auto"/>
        </w:rPr>
        <w:t>IMPRIMIS PHARMACEUTICALS, INC.</w:t>
      </w:r>
    </w:p>
    <w:p>
      <w:pPr>
        <w:spacing w:after="0" w:line="225" w:lineRule="exact"/>
        <w:rPr>
          <w:sz w:val="24"/>
          <w:szCs w:val="24"/>
          <w:color w:val="auto"/>
        </w:rPr>
      </w:pPr>
    </w:p>
    <w:p>
      <w:pPr>
        <w:ind w:left="5620"/>
        <w:spacing w:after="0"/>
        <w:tabs>
          <w:tab w:leader="none" w:pos="6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R. Boll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3872865</wp:posOffset>
            </wp:positionH>
            <wp:positionV relativeFrom="paragraph">
              <wp:posOffset>14605</wp:posOffset>
            </wp:positionV>
            <wp:extent cx="337883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78835" cy="17145"/>
                    </a:xfrm>
                    <a:prstGeom prst="rect">
                      <a:avLst/>
                    </a:prstGeom>
                    <a:noFill/>
                  </pic:spPr>
                </pic:pic>
              </a:graphicData>
            </a:graphic>
          </wp:anchor>
        </w:drawing>
      </w:r>
    </w:p>
    <w:p>
      <w:pPr>
        <w:spacing w:after="0" w:line="16" w:lineRule="exact"/>
        <w:rPr>
          <w:sz w:val="24"/>
          <w:szCs w:val="24"/>
          <w:color w:val="auto"/>
        </w:rPr>
      </w:pPr>
    </w:p>
    <w:p>
      <w:pPr>
        <w:ind w:left="5620"/>
        <w:spacing w:after="0"/>
        <w:rPr>
          <w:sz w:val="20"/>
          <w:szCs w:val="20"/>
          <w:color w:val="auto"/>
        </w:rPr>
      </w:pPr>
      <w:r>
        <w:rPr>
          <w:rFonts w:ascii="Arial" w:cs="Arial" w:eastAsia="Arial" w:hAnsi="Arial"/>
          <w:sz w:val="18"/>
          <w:szCs w:val="18"/>
          <w:color w:val="auto"/>
        </w:rPr>
        <w:t>Name:Andrew R. Boll</w:t>
      </w:r>
    </w:p>
    <w:p>
      <w:pPr>
        <w:spacing w:after="0" w:line="23" w:lineRule="exact"/>
        <w:rPr>
          <w:sz w:val="24"/>
          <w:szCs w:val="24"/>
          <w:color w:val="auto"/>
        </w:rPr>
      </w:pPr>
    </w:p>
    <w:p>
      <w:pPr>
        <w:ind w:left="562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2020-01-15T23:21:27Z</dcterms:created>
  <dcterms:modified xsi:type="dcterms:W3CDTF">2020-01-15T23:21:27Z</dcterms:modified>
</cp:coreProperties>
</file>