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rPr/>
      </w:pPr>
      <w:r>
        <w:rPr/>
      </w:r>
      <w:bookmarkStart w:id="0" w:name="f8k072412_8k.htm"/>
      <w:bookmarkStart w:id="1" w:name="ksf8k072412_8k"/>
      <w:bookmarkStart w:id="2" w:name="f8k072412_8k.htm"/>
      <w:bookmarkStart w:id="3" w:name="ksf8k072412_8k"/>
      <w:bookmarkEnd w:id="2"/>
      <w:bookmarkEnd w:id="3"/>
    </w:p>
    <w:p>
      <w:pPr>
        <w:pStyle w:val="TextBody"/>
        <w:spacing w:before="0" w:after="0"/>
        <w:ind w:left="0" w:right="0" w:hanging="0"/>
        <w:rPr/>
      </w:pPr>
      <w:r>
        <w:rPr/>
      </w:r>
    </w:p>
    <w:p>
      <w:pPr>
        <w:pStyle w:val="TextBody"/>
        <w:spacing w:before="0" w:after="0"/>
        <w:ind w:left="0" w:right="0" w:hanging="0"/>
        <w:jc w:val="center"/>
        <w:rPr>
          <w:b/>
          <w:sz w:val="23"/>
        </w:rPr>
      </w:pPr>
      <w:r>
        <w:rPr>
          <w:b/>
          <w:sz w:val="23"/>
        </w:rPr>
        <w:t>UNITED STATES</w:t>
      </w:r>
    </w:p>
    <w:p>
      <w:pPr>
        <w:pStyle w:val="TextBody"/>
        <w:spacing w:before="0" w:after="0"/>
        <w:ind w:left="0" w:right="0" w:hanging="0"/>
        <w:jc w:val="center"/>
        <w:rPr>
          <w:b/>
          <w:sz w:val="23"/>
        </w:rPr>
      </w:pPr>
      <w:r>
        <w:rPr>
          <w:b/>
          <w:sz w:val="23"/>
        </w:rPr>
        <w:t>SECURITIES AND EXCHANGE COMMISSION</w:t>
      </w:r>
    </w:p>
    <w:p>
      <w:pPr>
        <w:pStyle w:val="TextBody"/>
        <w:spacing w:before="0" w:after="0"/>
        <w:ind w:left="0" w:right="0" w:hanging="0"/>
        <w:jc w:val="center"/>
        <w:rPr>
          <w:b/>
          <w:sz w:val="20"/>
        </w:rPr>
      </w:pPr>
      <w:r>
        <w:rPr>
          <w:b/>
          <w:sz w:val="20"/>
        </w:rPr>
        <w:t>Washington, D.C. 20549</w:t>
      </w:r>
    </w:p>
    <w:p>
      <w:pPr>
        <w:pStyle w:val="TextBody"/>
        <w:spacing w:before="0" w:after="0"/>
        <w:ind w:left="0" w:right="0" w:hanging="0"/>
        <w:jc w:val="center"/>
        <w:rPr/>
      </w:pPr>
      <w:r>
        <w:rPr/>
      </w:r>
    </w:p>
    <w:p>
      <w:pPr>
        <w:pStyle w:val="TextBody"/>
        <w:spacing w:before="0" w:after="0"/>
        <w:ind w:left="0" w:right="0" w:hanging="0"/>
        <w:jc w:val="center"/>
        <w:rPr>
          <w:b/>
          <w:sz w:val="23"/>
        </w:rPr>
      </w:pPr>
      <w:r>
        <w:rPr>
          <w:b/>
          <w:sz w:val="23"/>
        </w:rPr>
        <w:t>FORM 8-K</w:t>
      </w:r>
    </w:p>
    <w:p>
      <w:pPr>
        <w:pStyle w:val="TextBody"/>
        <w:spacing w:before="0" w:after="0"/>
        <w:ind w:left="0" w:right="0" w:hanging="0"/>
        <w:jc w:val="center"/>
        <w:rPr/>
      </w:pPr>
      <w:r>
        <w:rPr/>
      </w:r>
    </w:p>
    <w:p>
      <w:pPr>
        <w:pStyle w:val="TextBody"/>
        <w:spacing w:before="0" w:after="0"/>
        <w:ind w:left="0" w:right="0" w:hanging="0"/>
        <w:jc w:val="center"/>
        <w:rPr>
          <w:b/>
          <w:sz w:val="20"/>
        </w:rPr>
      </w:pPr>
      <w:r>
        <w:rPr>
          <w:b/>
          <w:sz w:val="20"/>
        </w:rPr>
        <w:t>CURRENT REPORT</w:t>
      </w:r>
    </w:p>
    <w:p>
      <w:pPr>
        <w:pStyle w:val="TextBody"/>
        <w:spacing w:before="0" w:after="0"/>
        <w:ind w:left="0" w:right="0" w:hanging="0"/>
        <w:jc w:val="center"/>
        <w:rPr>
          <w:b/>
          <w:sz w:val="20"/>
        </w:rPr>
      </w:pPr>
      <w:r>
        <w:rPr>
          <w:b/>
          <w:sz w:val="20"/>
        </w:rPr>
        <w:t>Pursuant to Section 13 OR 15(d) of The Securities Exchange Act of 1934</w:t>
      </w:r>
    </w:p>
    <w:p>
      <w:pPr>
        <w:pStyle w:val="TextBody"/>
        <w:spacing w:before="0" w:after="0"/>
        <w:ind w:left="0" w:right="0" w:hanging="0"/>
        <w:jc w:val="center"/>
        <w:rPr/>
      </w:pPr>
      <w:r>
        <w:rPr/>
      </w:r>
    </w:p>
    <w:p>
      <w:pPr>
        <w:pStyle w:val="TextBody"/>
        <w:spacing w:before="0" w:after="0"/>
        <w:ind w:left="0" w:right="0" w:hanging="0"/>
        <w:jc w:val="center"/>
        <w:rPr/>
      </w:pPr>
      <w:r>
        <w:rPr>
          <w:b/>
        </w:rPr>
        <w:t>Date of Report (Date of earliest event reported):  July 18, 2012</w:t>
      </w:r>
      <w:r>
        <w:rPr/>
        <w:t xml:space="preserve"> </w:t>
      </w:r>
    </w:p>
    <w:p>
      <w:pPr>
        <w:pStyle w:val="TextBody"/>
        <w:spacing w:before="0" w:after="0"/>
        <w:ind w:left="0" w:right="0" w:hanging="0"/>
        <w:jc w:val="center"/>
        <w:rPr/>
      </w:pPr>
      <w:r>
        <w:rPr/>
      </w:r>
    </w:p>
    <w:p>
      <w:pPr>
        <w:pStyle w:val="TextBody"/>
        <w:spacing w:before="0" w:after="0"/>
        <w:ind w:left="0" w:right="0" w:hanging="0"/>
        <w:jc w:val="center"/>
        <w:rPr>
          <w:b/>
          <w:sz w:val="23"/>
        </w:rPr>
      </w:pPr>
      <w:r>
        <w:rPr>
          <w:b/>
          <w:sz w:val="23"/>
        </w:rPr>
        <w:t>IMPRIMIS PHARMACEUTICALS, INC.</w:t>
      </w:r>
    </w:p>
    <w:p>
      <w:pPr>
        <w:pStyle w:val="TextBody"/>
        <w:spacing w:before="0" w:after="0"/>
        <w:ind w:left="0" w:right="0" w:hanging="0"/>
        <w:jc w:val="center"/>
        <w:rPr/>
      </w:pPr>
      <w:r>
        <w:rPr/>
        <w:t>(Exact name of registrant as specified in its charter)</w:t>
      </w:r>
    </w:p>
    <w:p>
      <w:pPr>
        <w:pStyle w:val="TextBody"/>
        <w:spacing w:before="0" w:after="0"/>
        <w:ind w:left="0" w:right="0" w:hanging="0"/>
        <w:jc w:val="center"/>
        <w:rPr/>
      </w:pPr>
      <w:r>
        <w:rPr/>
      </w:r>
    </w:p>
    <w:tbl>
      <w:tblPr>
        <w:tblW w:w="10155" w:type="dxa"/>
        <w:jc w:val="left"/>
        <w:tblInd w:w="0" w:type="dxa"/>
        <w:tblCellMar>
          <w:top w:w="0" w:type="dxa"/>
          <w:left w:w="0" w:type="dxa"/>
          <w:bottom w:w="0" w:type="dxa"/>
          <w:right w:w="0" w:type="dxa"/>
        </w:tblCellMar>
      </w:tblPr>
      <w:tblGrid>
        <w:gridCol w:w="3240"/>
        <w:gridCol w:w="225"/>
        <w:gridCol w:w="3225"/>
        <w:gridCol w:w="225"/>
        <w:gridCol w:w="3240"/>
      </w:tblGrid>
      <w:tr>
        <w:trPr/>
        <w:tc>
          <w:tcPr>
            <w:tcW w:w="3240"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322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3240" w:type="dxa"/>
            <w:tcBorders/>
            <w:shd w:fill="auto" w:val="clear"/>
            <w:vAlign w:val="center"/>
          </w:tcPr>
          <w:p>
            <w:pPr>
              <w:pStyle w:val="TableContents"/>
              <w:spacing w:before="0" w:after="283"/>
              <w:rPr>
                <w:sz w:val="4"/>
                <w:szCs w:val="4"/>
              </w:rPr>
            </w:pPr>
            <w:r>
              <w:rPr>
                <w:sz w:val="4"/>
                <w:szCs w:val="4"/>
              </w:rPr>
            </w:r>
          </w:p>
        </w:tc>
      </w:tr>
      <w:tr>
        <w:trPr/>
        <w:tc>
          <w:tcPr>
            <w:tcW w:w="3240" w:type="dxa"/>
            <w:tcBorders/>
            <w:shd w:fill="auto" w:val="clear"/>
          </w:tcPr>
          <w:p>
            <w:pPr>
              <w:pStyle w:val="TableContents"/>
              <w:spacing w:before="0" w:after="0"/>
              <w:ind w:left="0" w:right="0" w:hanging="0"/>
              <w:rPr/>
            </w:pPr>
            <w:r>
              <w:rPr/>
              <w:t> </w:t>
            </w:r>
          </w:p>
        </w:tc>
        <w:tc>
          <w:tcPr>
            <w:tcW w:w="225" w:type="dxa"/>
            <w:tcBorders/>
            <w:shd w:fill="auto" w:val="clear"/>
          </w:tcPr>
          <w:p>
            <w:pPr>
              <w:pStyle w:val="TableContents"/>
              <w:spacing w:before="0" w:after="0"/>
              <w:ind w:left="0" w:right="0" w:hanging="0"/>
              <w:rPr/>
            </w:pPr>
            <w:r>
              <w:rPr/>
              <w:t> </w:t>
            </w:r>
          </w:p>
        </w:tc>
        <w:tc>
          <w:tcPr>
            <w:tcW w:w="3225" w:type="dxa"/>
            <w:tcBorders/>
            <w:shd w:fill="auto" w:val="clear"/>
          </w:tcPr>
          <w:p>
            <w:pPr>
              <w:pStyle w:val="TableContents"/>
              <w:spacing w:before="0" w:after="0"/>
              <w:ind w:left="0" w:right="0" w:hanging="0"/>
              <w:rPr/>
            </w:pPr>
            <w:r>
              <w:rPr/>
              <w:t> </w:t>
            </w:r>
          </w:p>
        </w:tc>
        <w:tc>
          <w:tcPr>
            <w:tcW w:w="225" w:type="dxa"/>
            <w:tcBorders/>
            <w:shd w:fill="auto" w:val="clear"/>
          </w:tcPr>
          <w:p>
            <w:pPr>
              <w:pStyle w:val="TableContents"/>
              <w:spacing w:before="0" w:after="0"/>
              <w:ind w:left="0" w:right="0" w:hanging="0"/>
              <w:rPr/>
            </w:pPr>
            <w:r>
              <w:rPr/>
              <w:t> </w:t>
            </w:r>
          </w:p>
        </w:tc>
        <w:tc>
          <w:tcPr>
            <w:tcW w:w="3240" w:type="dxa"/>
            <w:tcBorders/>
            <w:shd w:fill="auto" w:val="clear"/>
          </w:tcPr>
          <w:p>
            <w:pPr>
              <w:pStyle w:val="TableContents"/>
              <w:spacing w:before="0" w:after="0"/>
              <w:ind w:left="0" w:right="0" w:hanging="0"/>
              <w:rPr/>
            </w:pPr>
            <w:r>
              <w:rPr/>
              <w:t> </w:t>
            </w:r>
          </w:p>
        </w:tc>
      </w:tr>
      <w:tr>
        <w:trPr/>
        <w:tc>
          <w:tcPr>
            <w:tcW w:w="3240" w:type="dxa"/>
            <w:tcBorders/>
            <w:shd w:fill="auto" w:val="clear"/>
          </w:tcPr>
          <w:p>
            <w:pPr>
              <w:pStyle w:val="TableContents"/>
              <w:spacing w:before="0" w:after="0"/>
              <w:ind w:left="0" w:right="0" w:hanging="0"/>
              <w:jc w:val="center"/>
              <w:rPr>
                <w:b/>
              </w:rPr>
            </w:pPr>
            <w:r>
              <w:rPr>
                <w:b/>
              </w:rPr>
              <w:t>Delaware</w:t>
            </w:r>
          </w:p>
        </w:tc>
        <w:tc>
          <w:tcPr>
            <w:tcW w:w="225" w:type="dxa"/>
            <w:tcBorders/>
            <w:shd w:fill="auto" w:val="clear"/>
          </w:tcPr>
          <w:p>
            <w:pPr>
              <w:pStyle w:val="TableContents"/>
              <w:pBdr/>
              <w:spacing w:before="0" w:after="0"/>
              <w:ind w:left="0" w:right="0" w:hanging="0"/>
              <w:rPr/>
            </w:pPr>
            <w:r>
              <w:rPr/>
              <w:t> </w:t>
            </w:r>
          </w:p>
        </w:tc>
        <w:tc>
          <w:tcPr>
            <w:tcW w:w="3225" w:type="dxa"/>
            <w:tcBorders/>
            <w:shd w:fill="auto" w:val="clear"/>
          </w:tcPr>
          <w:p>
            <w:pPr>
              <w:pStyle w:val="TableContents"/>
              <w:spacing w:before="0" w:after="0"/>
              <w:ind w:left="0" w:right="0" w:hanging="0"/>
              <w:jc w:val="center"/>
              <w:rPr>
                <w:b/>
              </w:rPr>
            </w:pPr>
            <w:r>
              <w:rPr>
                <w:b/>
              </w:rPr>
              <w:t>000-52998</w:t>
            </w:r>
          </w:p>
        </w:tc>
        <w:tc>
          <w:tcPr>
            <w:tcW w:w="225" w:type="dxa"/>
            <w:tcBorders/>
            <w:shd w:fill="auto" w:val="clear"/>
          </w:tcPr>
          <w:p>
            <w:pPr>
              <w:pStyle w:val="TableContents"/>
              <w:pBdr/>
              <w:spacing w:before="0" w:after="0"/>
              <w:ind w:left="0" w:right="0" w:hanging="0"/>
              <w:rPr/>
            </w:pPr>
            <w:r>
              <w:rPr/>
              <w:t> </w:t>
            </w:r>
          </w:p>
        </w:tc>
        <w:tc>
          <w:tcPr>
            <w:tcW w:w="3240" w:type="dxa"/>
            <w:tcBorders/>
            <w:shd w:fill="auto" w:val="clear"/>
          </w:tcPr>
          <w:p>
            <w:pPr>
              <w:pStyle w:val="TableContents"/>
              <w:spacing w:before="0" w:after="0"/>
              <w:ind w:left="0" w:right="0" w:hanging="0"/>
              <w:jc w:val="center"/>
              <w:rPr>
                <w:b/>
              </w:rPr>
            </w:pPr>
            <w:r>
              <w:rPr>
                <w:b/>
              </w:rPr>
              <w:t>45-0567010</w:t>
            </w:r>
          </w:p>
        </w:tc>
      </w:tr>
      <w:tr>
        <w:trPr/>
        <w:tc>
          <w:tcPr>
            <w:tcW w:w="3240" w:type="dxa"/>
            <w:tcBorders/>
            <w:shd w:fill="auto" w:val="clear"/>
          </w:tcPr>
          <w:p>
            <w:pPr>
              <w:pStyle w:val="TableContents"/>
              <w:spacing w:before="0" w:after="0"/>
              <w:ind w:left="0" w:right="0" w:hanging="0"/>
              <w:rPr/>
            </w:pPr>
            <w:r>
              <w:rPr/>
              <w:t> </w:t>
            </w:r>
          </w:p>
        </w:tc>
        <w:tc>
          <w:tcPr>
            <w:tcW w:w="225" w:type="dxa"/>
            <w:tcBorders/>
            <w:shd w:fill="auto" w:val="clear"/>
          </w:tcPr>
          <w:p>
            <w:pPr>
              <w:pStyle w:val="TableContents"/>
              <w:spacing w:before="0" w:after="0"/>
              <w:ind w:left="0" w:right="0" w:hanging="0"/>
              <w:rPr/>
            </w:pPr>
            <w:r>
              <w:rPr/>
              <w:t> </w:t>
            </w:r>
          </w:p>
        </w:tc>
        <w:tc>
          <w:tcPr>
            <w:tcW w:w="3225" w:type="dxa"/>
            <w:tcBorders/>
            <w:shd w:fill="auto" w:val="clear"/>
          </w:tcPr>
          <w:p>
            <w:pPr>
              <w:pStyle w:val="TableContents"/>
              <w:spacing w:before="0" w:after="0"/>
              <w:ind w:left="0" w:right="0" w:hanging="0"/>
              <w:rPr/>
            </w:pPr>
            <w:r>
              <w:rPr/>
              <w:t> </w:t>
            </w:r>
          </w:p>
        </w:tc>
        <w:tc>
          <w:tcPr>
            <w:tcW w:w="225" w:type="dxa"/>
            <w:tcBorders/>
            <w:shd w:fill="auto" w:val="clear"/>
          </w:tcPr>
          <w:p>
            <w:pPr>
              <w:pStyle w:val="TableContents"/>
              <w:spacing w:before="0" w:after="0"/>
              <w:ind w:left="0" w:right="0" w:hanging="0"/>
              <w:rPr/>
            </w:pPr>
            <w:r>
              <w:rPr/>
              <w:t> </w:t>
            </w:r>
          </w:p>
        </w:tc>
        <w:tc>
          <w:tcPr>
            <w:tcW w:w="3240" w:type="dxa"/>
            <w:tcBorders/>
            <w:shd w:fill="auto" w:val="clear"/>
          </w:tcPr>
          <w:p>
            <w:pPr>
              <w:pStyle w:val="TableContents"/>
              <w:spacing w:before="0" w:after="0"/>
              <w:ind w:left="0" w:right="0" w:hanging="0"/>
              <w:rPr/>
            </w:pPr>
            <w:r>
              <w:rPr/>
              <w:t> </w:t>
            </w:r>
          </w:p>
        </w:tc>
      </w:tr>
      <w:tr>
        <w:trPr/>
        <w:tc>
          <w:tcPr>
            <w:tcW w:w="3240" w:type="dxa"/>
            <w:tcBorders/>
            <w:shd w:fill="auto" w:val="clear"/>
          </w:tcPr>
          <w:p>
            <w:pPr>
              <w:pStyle w:val="TableContents"/>
              <w:spacing w:before="0" w:after="0"/>
              <w:ind w:left="0" w:right="0" w:hanging="0"/>
              <w:jc w:val="center"/>
              <w:rPr/>
            </w:pPr>
            <w:r>
              <w:rPr/>
              <w:t>(State or other jurisdiction</w:t>
            </w:r>
          </w:p>
          <w:p>
            <w:pPr>
              <w:pStyle w:val="TableContents"/>
              <w:spacing w:before="0" w:after="0"/>
              <w:ind w:left="0" w:right="0" w:hanging="0"/>
              <w:jc w:val="center"/>
              <w:rPr/>
            </w:pPr>
            <w:r>
              <w:rPr/>
              <w:t>of incorporation)</w:t>
            </w:r>
          </w:p>
        </w:tc>
        <w:tc>
          <w:tcPr>
            <w:tcW w:w="225" w:type="dxa"/>
            <w:tcBorders/>
            <w:shd w:fill="auto" w:val="clear"/>
          </w:tcPr>
          <w:p>
            <w:pPr>
              <w:pStyle w:val="TableContents"/>
              <w:pBdr/>
              <w:spacing w:before="0" w:after="0"/>
              <w:ind w:left="0" w:right="0" w:hanging="0"/>
              <w:rPr/>
            </w:pPr>
            <w:r>
              <w:rPr/>
              <w:t> </w:t>
            </w:r>
          </w:p>
        </w:tc>
        <w:tc>
          <w:tcPr>
            <w:tcW w:w="3225" w:type="dxa"/>
            <w:tcBorders/>
            <w:shd w:fill="auto" w:val="clear"/>
          </w:tcPr>
          <w:p>
            <w:pPr>
              <w:pStyle w:val="TableContents"/>
              <w:spacing w:before="0" w:after="0"/>
              <w:ind w:left="0" w:right="0" w:hanging="0"/>
              <w:jc w:val="center"/>
              <w:rPr/>
            </w:pPr>
            <w:r>
              <w:rPr/>
              <w:t>(Commission File Number)</w:t>
            </w:r>
          </w:p>
        </w:tc>
        <w:tc>
          <w:tcPr>
            <w:tcW w:w="225" w:type="dxa"/>
            <w:tcBorders/>
            <w:shd w:fill="auto" w:val="clear"/>
          </w:tcPr>
          <w:p>
            <w:pPr>
              <w:pStyle w:val="TableContents"/>
              <w:pBdr/>
              <w:spacing w:before="0" w:after="0"/>
              <w:ind w:left="0" w:right="0" w:hanging="0"/>
              <w:rPr/>
            </w:pPr>
            <w:r>
              <w:rPr/>
              <w:t> </w:t>
            </w:r>
          </w:p>
        </w:tc>
        <w:tc>
          <w:tcPr>
            <w:tcW w:w="3240" w:type="dxa"/>
            <w:tcBorders/>
            <w:shd w:fill="auto" w:val="clear"/>
          </w:tcPr>
          <w:p>
            <w:pPr>
              <w:pStyle w:val="TableContents"/>
              <w:spacing w:before="0" w:after="0"/>
              <w:ind w:left="0" w:right="0" w:hanging="0"/>
              <w:jc w:val="center"/>
              <w:rPr/>
            </w:pPr>
            <w:r>
              <w:rPr/>
              <w:t>(IRS Employer Identification No.)</w:t>
            </w:r>
          </w:p>
        </w:tc>
      </w:tr>
    </w:tbl>
    <w:p>
      <w:pPr>
        <w:pStyle w:val="TextBody"/>
        <w:spacing w:before="0" w:after="0"/>
        <w:ind w:left="0" w:right="0" w:hanging="0"/>
        <w:rPr/>
      </w:pPr>
      <w:r>
        <w:rPr/>
      </w:r>
    </w:p>
    <w:tbl>
      <w:tblPr>
        <w:tblW w:w="10155" w:type="dxa"/>
        <w:jc w:val="left"/>
        <w:tblInd w:w="0" w:type="dxa"/>
        <w:tblCellMar>
          <w:top w:w="0" w:type="dxa"/>
          <w:left w:w="0" w:type="dxa"/>
          <w:bottom w:w="0" w:type="dxa"/>
          <w:right w:w="0" w:type="dxa"/>
        </w:tblCellMar>
      </w:tblPr>
      <w:tblGrid>
        <w:gridCol w:w="4965"/>
        <w:gridCol w:w="225"/>
        <w:gridCol w:w="4965"/>
      </w:tblGrid>
      <w:tr>
        <w:trPr/>
        <w:tc>
          <w:tcPr>
            <w:tcW w:w="496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4965" w:type="dxa"/>
            <w:tcBorders/>
            <w:shd w:fill="auto" w:val="clear"/>
            <w:vAlign w:val="center"/>
          </w:tcPr>
          <w:p>
            <w:pPr>
              <w:pStyle w:val="TableContents"/>
              <w:spacing w:before="0" w:after="283"/>
              <w:rPr>
                <w:sz w:val="4"/>
                <w:szCs w:val="4"/>
              </w:rPr>
            </w:pPr>
            <w:r>
              <w:rPr>
                <w:sz w:val="4"/>
                <w:szCs w:val="4"/>
              </w:rPr>
            </w:r>
          </w:p>
        </w:tc>
      </w:tr>
      <w:tr>
        <w:trPr/>
        <w:tc>
          <w:tcPr>
            <w:tcW w:w="4965" w:type="dxa"/>
            <w:tcBorders/>
            <w:shd w:fill="auto" w:val="clear"/>
          </w:tcPr>
          <w:p>
            <w:pPr>
              <w:pStyle w:val="TableContents"/>
              <w:spacing w:before="0" w:after="0"/>
              <w:ind w:left="0" w:right="0" w:hanging="0"/>
              <w:rPr/>
            </w:pPr>
            <w:r>
              <w:rPr/>
              <w:t> </w:t>
            </w:r>
          </w:p>
        </w:tc>
        <w:tc>
          <w:tcPr>
            <w:tcW w:w="225" w:type="dxa"/>
            <w:tcBorders/>
            <w:shd w:fill="auto" w:val="clear"/>
          </w:tcPr>
          <w:p>
            <w:pPr>
              <w:pStyle w:val="TableContents"/>
              <w:spacing w:before="0" w:after="0"/>
              <w:ind w:left="0" w:right="0" w:hanging="0"/>
              <w:rPr/>
            </w:pPr>
            <w:r>
              <w:rPr/>
              <w:t> </w:t>
            </w:r>
          </w:p>
        </w:tc>
        <w:tc>
          <w:tcPr>
            <w:tcW w:w="4965" w:type="dxa"/>
            <w:tcBorders/>
            <w:shd w:fill="auto" w:val="clear"/>
          </w:tcPr>
          <w:p>
            <w:pPr>
              <w:pStyle w:val="TableContents"/>
              <w:spacing w:before="0" w:after="0"/>
              <w:ind w:left="0" w:right="0" w:hanging="0"/>
              <w:rPr/>
            </w:pPr>
            <w:r>
              <w:rPr/>
              <w:t> </w:t>
            </w:r>
          </w:p>
        </w:tc>
      </w:tr>
      <w:tr>
        <w:trPr/>
        <w:tc>
          <w:tcPr>
            <w:tcW w:w="4965" w:type="dxa"/>
            <w:tcBorders/>
            <w:shd w:fill="auto" w:val="clear"/>
          </w:tcPr>
          <w:p>
            <w:pPr>
              <w:pStyle w:val="TableContents"/>
              <w:spacing w:before="0" w:after="0"/>
              <w:ind w:left="0" w:right="0" w:hanging="0"/>
              <w:jc w:val="center"/>
              <w:rPr>
                <w:b/>
              </w:rPr>
            </w:pPr>
            <w:r>
              <w:rPr>
                <w:b/>
              </w:rPr>
              <w:t>437 South Hwy 101, Suite 209</w:t>
            </w:r>
          </w:p>
        </w:tc>
        <w:tc>
          <w:tcPr>
            <w:tcW w:w="225" w:type="dxa"/>
            <w:tcBorders/>
            <w:shd w:fill="auto" w:val="clear"/>
          </w:tcPr>
          <w:p>
            <w:pPr>
              <w:pStyle w:val="TableContents"/>
              <w:pBdr/>
              <w:spacing w:before="0" w:after="0"/>
              <w:ind w:left="0" w:right="0" w:hanging="0"/>
              <w:rPr/>
            </w:pPr>
            <w:r>
              <w:rPr/>
              <w:t> </w:t>
            </w:r>
          </w:p>
        </w:tc>
        <w:tc>
          <w:tcPr>
            <w:tcW w:w="4965" w:type="dxa"/>
            <w:tcBorders/>
            <w:shd w:fill="auto" w:val="clear"/>
          </w:tcPr>
          <w:p>
            <w:pPr>
              <w:pStyle w:val="TableContents"/>
              <w:spacing w:before="0" w:after="0"/>
              <w:ind w:left="0" w:right="0" w:hanging="0"/>
              <w:jc w:val="center"/>
              <w:rPr>
                <w:b/>
              </w:rPr>
            </w:pPr>
            <w:r>
              <w:rPr>
                <w:b/>
              </w:rPr>
              <w:t>92075</w:t>
            </w:r>
          </w:p>
        </w:tc>
      </w:tr>
      <w:tr>
        <w:trPr/>
        <w:tc>
          <w:tcPr>
            <w:tcW w:w="4965" w:type="dxa"/>
            <w:tcBorders/>
            <w:shd w:fill="auto" w:val="clear"/>
          </w:tcPr>
          <w:p>
            <w:pPr>
              <w:pStyle w:val="TableContents"/>
              <w:spacing w:before="0" w:after="0"/>
              <w:ind w:left="0" w:right="0" w:hanging="0"/>
              <w:jc w:val="center"/>
              <w:rPr>
                <w:b/>
              </w:rPr>
            </w:pPr>
            <w:r>
              <w:rPr>
                <w:b/>
              </w:rPr>
              <w:t>Solana Beach, CA  </w:t>
            </w:r>
          </w:p>
        </w:tc>
        <w:tc>
          <w:tcPr>
            <w:tcW w:w="225" w:type="dxa"/>
            <w:tcBorders/>
            <w:shd w:fill="auto" w:val="clear"/>
          </w:tcPr>
          <w:p>
            <w:pPr>
              <w:pStyle w:val="TableContents"/>
              <w:pBdr/>
              <w:spacing w:before="0" w:after="0"/>
              <w:ind w:left="0" w:right="0" w:hanging="0"/>
              <w:rPr/>
            </w:pPr>
            <w:r>
              <w:rPr/>
              <w:t> </w:t>
            </w:r>
          </w:p>
        </w:tc>
        <w:tc>
          <w:tcPr>
            <w:tcW w:w="4965" w:type="dxa"/>
            <w:tcBorders/>
            <w:shd w:fill="auto" w:val="clear"/>
          </w:tcPr>
          <w:p>
            <w:pPr>
              <w:pStyle w:val="TableContents"/>
              <w:pBdr/>
              <w:spacing w:before="0" w:after="0"/>
              <w:ind w:left="0" w:right="0" w:hanging="0"/>
              <w:rPr/>
            </w:pPr>
            <w:r>
              <w:rPr/>
              <w:t> </w:t>
            </w:r>
          </w:p>
        </w:tc>
      </w:tr>
      <w:tr>
        <w:trPr/>
        <w:tc>
          <w:tcPr>
            <w:tcW w:w="4965" w:type="dxa"/>
            <w:tcBorders/>
            <w:shd w:fill="auto" w:val="clear"/>
          </w:tcPr>
          <w:p>
            <w:pPr>
              <w:pStyle w:val="TableContents"/>
              <w:spacing w:before="0" w:after="0"/>
              <w:ind w:left="0" w:right="0" w:hanging="0"/>
              <w:jc w:val="center"/>
              <w:rPr/>
            </w:pPr>
            <w:r>
              <w:rPr/>
              <w:t>(Address of principal executive offices)</w:t>
            </w:r>
          </w:p>
        </w:tc>
        <w:tc>
          <w:tcPr>
            <w:tcW w:w="225" w:type="dxa"/>
            <w:tcBorders/>
            <w:shd w:fill="auto" w:val="clear"/>
          </w:tcPr>
          <w:p>
            <w:pPr>
              <w:pStyle w:val="TableContents"/>
              <w:pBdr/>
              <w:spacing w:before="0" w:after="0"/>
              <w:ind w:left="0" w:right="0" w:hanging="0"/>
              <w:rPr/>
            </w:pPr>
            <w:r>
              <w:rPr/>
              <w:t> </w:t>
            </w:r>
          </w:p>
        </w:tc>
        <w:tc>
          <w:tcPr>
            <w:tcW w:w="4965" w:type="dxa"/>
            <w:tcBorders/>
            <w:shd w:fill="auto" w:val="clear"/>
          </w:tcPr>
          <w:p>
            <w:pPr>
              <w:pStyle w:val="TableContents"/>
              <w:spacing w:before="0" w:after="0"/>
              <w:ind w:left="0" w:right="0" w:hanging="0"/>
              <w:jc w:val="center"/>
              <w:rPr/>
            </w:pPr>
            <w:r>
              <w:rPr/>
              <w:t>(Zip Code)</w:t>
            </w:r>
          </w:p>
        </w:tc>
      </w:tr>
    </w:tbl>
    <w:p>
      <w:pPr>
        <w:pStyle w:val="TextBody"/>
        <w:spacing w:before="0" w:after="0"/>
        <w:ind w:left="0" w:right="0" w:hanging="0"/>
        <w:jc w:val="center"/>
        <w:rPr/>
      </w:pPr>
      <w:r>
        <w:rPr/>
      </w:r>
    </w:p>
    <w:p>
      <w:pPr>
        <w:pStyle w:val="TextBody"/>
        <w:spacing w:before="0" w:after="0"/>
        <w:ind w:left="0" w:right="0" w:hanging="0"/>
        <w:jc w:val="center"/>
        <w:rPr/>
      </w:pPr>
      <w:r>
        <w:rPr/>
        <w:t xml:space="preserve">Registrants telephone number, including area code: </w:t>
      </w:r>
      <w:r>
        <w:rPr>
          <w:b/>
        </w:rPr>
        <w:t>(858) 433-2800</w:t>
      </w:r>
    </w:p>
    <w:p>
      <w:pPr>
        <w:pStyle w:val="TextBody"/>
        <w:spacing w:before="0" w:after="0"/>
        <w:ind w:left="0" w:right="0" w:hanging="0"/>
        <w:jc w:val="center"/>
        <w:rPr/>
      </w:pPr>
      <w:r>
        <w:rPr/>
      </w:r>
    </w:p>
    <w:tbl>
      <w:tblPr>
        <w:tblW w:w="4950" w:type="dxa"/>
        <w:jc w:val="center"/>
        <w:tblInd w:w="0" w:type="dxa"/>
        <w:tblCellMar>
          <w:top w:w="0" w:type="dxa"/>
          <w:left w:w="0" w:type="dxa"/>
          <w:bottom w:w="0" w:type="dxa"/>
          <w:right w:w="0" w:type="dxa"/>
        </w:tblCellMar>
      </w:tblPr>
      <w:tblGrid>
        <w:gridCol w:w="4950"/>
      </w:tblGrid>
      <w:tr>
        <w:trPr/>
        <w:tc>
          <w:tcPr>
            <w:tcW w:w="4950" w:type="dxa"/>
            <w:tcBorders/>
            <w:shd w:fill="auto" w:val="clear"/>
            <w:vAlign w:val="center"/>
          </w:tcPr>
          <w:p>
            <w:pPr>
              <w:pStyle w:val="TableContents"/>
              <w:spacing w:before="0" w:after="283"/>
              <w:rPr>
                <w:sz w:val="4"/>
                <w:szCs w:val="4"/>
              </w:rPr>
            </w:pPr>
            <w:r>
              <w:rPr>
                <w:sz w:val="4"/>
                <w:szCs w:val="4"/>
              </w:rPr>
            </w:r>
          </w:p>
        </w:tc>
      </w:tr>
      <w:tr>
        <w:trPr/>
        <w:tc>
          <w:tcPr>
            <w:tcW w:w="4950" w:type="dxa"/>
            <w:tcBorders>
              <w:bottom w:val="single" w:sz="2" w:space="0" w:color="000000"/>
            </w:tcBorders>
            <w:shd w:fill="auto" w:val="clear"/>
            <w:tcMar>
              <w:bottom w:w="28" w:type="dxa"/>
            </w:tcMar>
            <w:vAlign w:val="center"/>
          </w:tcPr>
          <w:p>
            <w:pPr>
              <w:pStyle w:val="TableContents"/>
              <w:spacing w:before="0" w:after="0"/>
              <w:ind w:left="0" w:right="0" w:hanging="0"/>
              <w:jc w:val="center"/>
              <w:rPr>
                <w:b/>
              </w:rPr>
            </w:pPr>
            <w:r>
              <w:rPr>
                <w:b/>
              </w:rPr>
              <w:t>N/A</w:t>
            </w:r>
          </w:p>
        </w:tc>
      </w:tr>
      <w:tr>
        <w:trPr/>
        <w:tc>
          <w:tcPr>
            <w:tcW w:w="4950" w:type="dxa"/>
            <w:tcBorders/>
            <w:shd w:fill="auto" w:val="clear"/>
            <w:vAlign w:val="center"/>
          </w:tcPr>
          <w:p>
            <w:pPr>
              <w:pStyle w:val="TableContents"/>
              <w:spacing w:before="0" w:after="0"/>
              <w:ind w:left="0" w:right="0" w:hanging="0"/>
              <w:jc w:val="center"/>
              <w:rPr/>
            </w:pPr>
            <w:r>
              <w:rPr/>
              <w:t>(Former name or former address if changed since last report.)</w:t>
            </w:r>
          </w:p>
        </w:tc>
      </w:tr>
    </w:tbl>
    <w:p>
      <w:pPr>
        <w:pStyle w:val="TextBody"/>
        <w:spacing w:before="0" w:after="0"/>
        <w:ind w:left="0" w:right="0" w:hanging="0"/>
        <w:jc w:val="center"/>
        <w:rPr/>
      </w:pPr>
      <w:r>
        <w:rPr/>
      </w:r>
    </w:p>
    <w:p>
      <w:pPr>
        <w:pStyle w:val="TextBody"/>
        <w:spacing w:before="0" w:after="0"/>
        <w:ind w:left="0" w:right="0" w:hanging="0"/>
        <w:rPr/>
      </w:pPr>
      <w:r>
        <w:rPr/>
        <w:t xml:space="preserve">Check the appropriate box below if the Form 8-K filing is intended to simultaneously satisfy the filing obligation of the registrant under any of the following provisions: </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424"/>
        <w:gridCol w:w="86"/>
        <w:gridCol w:w="9695"/>
      </w:tblGrid>
      <w:tr>
        <w:trPr/>
        <w:tc>
          <w:tcPr>
            <w:tcW w:w="424" w:type="dxa"/>
            <w:tcBorders/>
            <w:shd w:fill="auto" w:val="clear"/>
            <w:vAlign w:val="center"/>
          </w:tcPr>
          <w:p>
            <w:pPr>
              <w:pStyle w:val="TableContents"/>
              <w:spacing w:before="0" w:after="283"/>
              <w:rPr>
                <w:sz w:val="4"/>
                <w:szCs w:val="4"/>
              </w:rPr>
            </w:pPr>
            <w:r>
              <w:rPr>
                <w:sz w:val="4"/>
                <w:szCs w:val="4"/>
              </w:rPr>
            </w:r>
          </w:p>
        </w:tc>
        <w:tc>
          <w:tcPr>
            <w:tcW w:w="86" w:type="dxa"/>
            <w:tcBorders/>
            <w:shd w:fill="auto" w:val="clear"/>
            <w:vAlign w:val="center"/>
          </w:tcPr>
          <w:p>
            <w:pPr>
              <w:pStyle w:val="TableContents"/>
              <w:spacing w:before="0" w:after="283"/>
              <w:rPr>
                <w:sz w:val="4"/>
                <w:szCs w:val="4"/>
              </w:rPr>
            </w:pPr>
            <w:r>
              <w:rPr>
                <w:sz w:val="4"/>
                <w:szCs w:val="4"/>
              </w:rPr>
            </w:r>
          </w:p>
        </w:tc>
        <w:tc>
          <w:tcPr>
            <w:tcW w:w="9695" w:type="dxa"/>
            <w:tcBorders/>
            <w:shd w:fill="auto" w:val="clear"/>
            <w:vAlign w:val="center"/>
          </w:tcPr>
          <w:p>
            <w:pPr>
              <w:pStyle w:val="TableContents"/>
              <w:spacing w:before="0" w:after="283"/>
              <w:rPr>
                <w:sz w:val="4"/>
                <w:szCs w:val="4"/>
              </w:rPr>
            </w:pPr>
            <w:r>
              <w:rPr>
                <w:sz w:val="4"/>
                <w:szCs w:val="4"/>
              </w:rPr>
            </w:r>
          </w:p>
        </w:tc>
      </w:tr>
      <w:tr>
        <w:trPr/>
        <w:tc>
          <w:tcPr>
            <w:tcW w:w="424" w:type="dxa"/>
            <w:tcBorders/>
            <w:shd w:fill="auto" w:val="clear"/>
          </w:tcPr>
          <w:p>
            <w:pPr>
              <w:pStyle w:val="TableContents"/>
              <w:spacing w:before="0" w:after="15"/>
              <w:ind w:left="0" w:right="0" w:hanging="0"/>
              <w:rPr/>
            </w:pPr>
            <w:r>
              <w:rPr/>
              <w:t> </w:t>
            </w:r>
            <w:r>
              <w:rPr>
                <w:bdr w:val="single" w:sz="2" w:space="1" w:color="000000"/>
              </w:rPr>
              <w:t>     </w:t>
            </w:r>
            <w:r>
              <w:rPr>
                <w:color w:val="FFFFFF"/>
                <w:sz w:val="10"/>
              </w:rPr>
              <w:t>.</w:t>
            </w:r>
          </w:p>
        </w:tc>
        <w:tc>
          <w:tcPr>
            <w:tcW w:w="86" w:type="dxa"/>
            <w:tcBorders/>
            <w:shd w:fill="auto" w:val="clear"/>
          </w:tcPr>
          <w:p>
            <w:pPr>
              <w:pStyle w:val="TableContents"/>
              <w:spacing w:before="0" w:after="0"/>
              <w:ind w:left="0" w:right="0" w:hanging="0"/>
              <w:rPr/>
            </w:pPr>
            <w:r>
              <w:rPr/>
              <w:t> </w:t>
            </w:r>
          </w:p>
        </w:tc>
        <w:tc>
          <w:tcPr>
            <w:tcW w:w="9695" w:type="dxa"/>
            <w:tcBorders/>
            <w:shd w:fill="auto" w:val="clear"/>
          </w:tcPr>
          <w:p>
            <w:pPr>
              <w:pStyle w:val="TableContents"/>
              <w:spacing w:before="0" w:after="0"/>
              <w:ind w:left="0" w:right="0" w:hanging="0"/>
              <w:rPr/>
            </w:pPr>
            <w:r>
              <w:rPr/>
              <w:t>Written communications pursuant to Rule 425 under the Securities Act (17 CFR 230.425)</w:t>
            </w:r>
          </w:p>
        </w:tc>
      </w:tr>
      <w:tr>
        <w:trPr/>
        <w:tc>
          <w:tcPr>
            <w:tcW w:w="424" w:type="dxa"/>
            <w:tcBorders/>
            <w:shd w:fill="auto" w:val="clear"/>
            <w:vAlign w:val="center"/>
          </w:tcPr>
          <w:p>
            <w:pPr>
              <w:pStyle w:val="TableContents"/>
              <w:spacing w:before="0" w:after="0"/>
              <w:ind w:left="0" w:right="0" w:hanging="0"/>
              <w:rPr/>
            </w:pPr>
            <w:r>
              <w:rPr/>
              <w:t> </w:t>
            </w:r>
          </w:p>
        </w:tc>
        <w:tc>
          <w:tcPr>
            <w:tcW w:w="86" w:type="dxa"/>
            <w:tcBorders/>
            <w:shd w:fill="auto" w:val="clear"/>
            <w:vAlign w:val="center"/>
          </w:tcPr>
          <w:p>
            <w:pPr>
              <w:pStyle w:val="TableContents"/>
              <w:pBdr/>
              <w:spacing w:before="0" w:after="0"/>
              <w:ind w:left="0" w:right="0" w:hanging="0"/>
              <w:rPr/>
            </w:pPr>
            <w:r>
              <w:rPr/>
              <w:t> </w:t>
            </w:r>
          </w:p>
        </w:tc>
        <w:tc>
          <w:tcPr>
            <w:tcW w:w="9695" w:type="dxa"/>
            <w:tcBorders/>
            <w:shd w:fill="auto" w:val="clear"/>
            <w:vAlign w:val="center"/>
          </w:tcPr>
          <w:p>
            <w:pPr>
              <w:pStyle w:val="TableContents"/>
              <w:pBdr/>
              <w:spacing w:before="0" w:after="0"/>
              <w:ind w:left="0" w:right="0" w:hanging="0"/>
              <w:rPr/>
            </w:pPr>
            <w:r>
              <w:rPr/>
              <w:t> </w:t>
            </w:r>
          </w:p>
        </w:tc>
      </w:tr>
      <w:tr>
        <w:trPr/>
        <w:tc>
          <w:tcPr>
            <w:tcW w:w="424" w:type="dxa"/>
            <w:tcBorders/>
            <w:shd w:fill="auto" w:val="clear"/>
          </w:tcPr>
          <w:p>
            <w:pPr>
              <w:pStyle w:val="TableContents"/>
              <w:spacing w:before="0" w:after="15"/>
              <w:ind w:left="0" w:right="0" w:hanging="0"/>
              <w:rPr/>
            </w:pPr>
            <w:r>
              <w:rPr/>
              <w:t> </w:t>
            </w:r>
            <w:r>
              <w:rPr>
                <w:bdr w:val="single" w:sz="2" w:space="1" w:color="000000"/>
              </w:rPr>
              <w:t>     </w:t>
            </w:r>
            <w:r>
              <w:rPr>
                <w:color w:val="FFFFFF"/>
                <w:sz w:val="10"/>
              </w:rPr>
              <w:t>.</w:t>
            </w:r>
          </w:p>
        </w:tc>
        <w:tc>
          <w:tcPr>
            <w:tcW w:w="86" w:type="dxa"/>
            <w:tcBorders/>
            <w:shd w:fill="auto" w:val="clear"/>
          </w:tcPr>
          <w:p>
            <w:pPr>
              <w:pStyle w:val="TableContents"/>
              <w:spacing w:before="0" w:after="0"/>
              <w:ind w:left="0" w:right="0" w:hanging="0"/>
              <w:rPr/>
            </w:pPr>
            <w:r>
              <w:rPr/>
              <w:t> </w:t>
            </w:r>
          </w:p>
        </w:tc>
        <w:tc>
          <w:tcPr>
            <w:tcW w:w="9695" w:type="dxa"/>
            <w:tcBorders/>
            <w:shd w:fill="auto" w:val="clear"/>
          </w:tcPr>
          <w:p>
            <w:pPr>
              <w:pStyle w:val="TableContents"/>
              <w:spacing w:before="0" w:after="0"/>
              <w:ind w:left="0" w:right="0" w:hanging="0"/>
              <w:rPr/>
            </w:pPr>
            <w:r>
              <w:rPr/>
              <w:t>Soliciting material pursuant to Rule 14a-12 under the Exchange Act (17 CFR 240.14a-12)</w:t>
            </w:r>
          </w:p>
        </w:tc>
      </w:tr>
      <w:tr>
        <w:trPr/>
        <w:tc>
          <w:tcPr>
            <w:tcW w:w="424" w:type="dxa"/>
            <w:tcBorders/>
            <w:shd w:fill="auto" w:val="clear"/>
            <w:vAlign w:val="center"/>
          </w:tcPr>
          <w:p>
            <w:pPr>
              <w:pStyle w:val="TableContents"/>
              <w:spacing w:before="0" w:after="0"/>
              <w:ind w:left="0" w:right="0" w:hanging="0"/>
              <w:rPr/>
            </w:pPr>
            <w:r>
              <w:rPr/>
              <w:t> </w:t>
            </w:r>
          </w:p>
        </w:tc>
        <w:tc>
          <w:tcPr>
            <w:tcW w:w="86" w:type="dxa"/>
            <w:tcBorders/>
            <w:shd w:fill="auto" w:val="clear"/>
            <w:vAlign w:val="center"/>
          </w:tcPr>
          <w:p>
            <w:pPr>
              <w:pStyle w:val="TableContents"/>
              <w:pBdr/>
              <w:spacing w:before="0" w:after="0"/>
              <w:ind w:left="0" w:right="0" w:hanging="0"/>
              <w:rPr/>
            </w:pPr>
            <w:r>
              <w:rPr/>
              <w:t> </w:t>
            </w:r>
          </w:p>
        </w:tc>
        <w:tc>
          <w:tcPr>
            <w:tcW w:w="9695" w:type="dxa"/>
            <w:tcBorders/>
            <w:shd w:fill="auto" w:val="clear"/>
            <w:vAlign w:val="center"/>
          </w:tcPr>
          <w:p>
            <w:pPr>
              <w:pStyle w:val="TableContents"/>
              <w:pBdr/>
              <w:spacing w:before="0" w:after="0"/>
              <w:ind w:left="0" w:right="0" w:hanging="0"/>
              <w:rPr/>
            </w:pPr>
            <w:r>
              <w:rPr/>
              <w:t> </w:t>
            </w:r>
          </w:p>
        </w:tc>
      </w:tr>
      <w:tr>
        <w:trPr/>
        <w:tc>
          <w:tcPr>
            <w:tcW w:w="424" w:type="dxa"/>
            <w:tcBorders/>
            <w:shd w:fill="auto" w:val="clear"/>
          </w:tcPr>
          <w:p>
            <w:pPr>
              <w:pStyle w:val="TableContents"/>
              <w:spacing w:before="0" w:after="15"/>
              <w:ind w:left="0" w:right="0" w:hanging="0"/>
              <w:rPr/>
            </w:pPr>
            <w:r>
              <w:rPr/>
              <w:t> </w:t>
            </w:r>
            <w:r>
              <w:rPr>
                <w:bdr w:val="single" w:sz="2" w:space="1" w:color="000000"/>
              </w:rPr>
              <w:t>     </w:t>
            </w:r>
            <w:r>
              <w:rPr>
                <w:color w:val="FFFFFF"/>
                <w:sz w:val="10"/>
              </w:rPr>
              <w:t>.</w:t>
            </w:r>
          </w:p>
        </w:tc>
        <w:tc>
          <w:tcPr>
            <w:tcW w:w="86" w:type="dxa"/>
            <w:tcBorders/>
            <w:shd w:fill="auto" w:val="clear"/>
          </w:tcPr>
          <w:p>
            <w:pPr>
              <w:pStyle w:val="TableContents"/>
              <w:spacing w:before="0" w:after="0"/>
              <w:ind w:left="0" w:right="0" w:hanging="0"/>
              <w:rPr/>
            </w:pPr>
            <w:r>
              <w:rPr/>
              <w:t> </w:t>
            </w:r>
          </w:p>
        </w:tc>
        <w:tc>
          <w:tcPr>
            <w:tcW w:w="9695" w:type="dxa"/>
            <w:tcBorders/>
            <w:shd w:fill="auto" w:val="clear"/>
          </w:tcPr>
          <w:p>
            <w:pPr>
              <w:pStyle w:val="TableContents"/>
              <w:spacing w:before="0" w:after="0"/>
              <w:ind w:left="0" w:right="0" w:hanging="0"/>
              <w:rPr/>
            </w:pPr>
            <w:r>
              <w:rPr/>
              <w:t>Pre-commencement communications pursuant to Rule 14d-2(b) under the Exchange Act (17 CFR 240.14d-2(b))</w:t>
            </w:r>
          </w:p>
        </w:tc>
      </w:tr>
      <w:tr>
        <w:trPr/>
        <w:tc>
          <w:tcPr>
            <w:tcW w:w="424" w:type="dxa"/>
            <w:tcBorders/>
            <w:shd w:fill="auto" w:val="clear"/>
            <w:vAlign w:val="center"/>
          </w:tcPr>
          <w:p>
            <w:pPr>
              <w:pStyle w:val="TableContents"/>
              <w:spacing w:before="0" w:after="0"/>
              <w:ind w:left="0" w:right="0" w:hanging="0"/>
              <w:rPr/>
            </w:pPr>
            <w:r>
              <w:rPr/>
              <w:t> </w:t>
            </w:r>
          </w:p>
        </w:tc>
        <w:tc>
          <w:tcPr>
            <w:tcW w:w="86" w:type="dxa"/>
            <w:tcBorders/>
            <w:shd w:fill="auto" w:val="clear"/>
            <w:vAlign w:val="center"/>
          </w:tcPr>
          <w:p>
            <w:pPr>
              <w:pStyle w:val="TableContents"/>
              <w:pBdr/>
              <w:spacing w:before="0" w:after="0"/>
              <w:ind w:left="0" w:right="0" w:hanging="0"/>
              <w:rPr/>
            </w:pPr>
            <w:r>
              <w:rPr/>
              <w:t> </w:t>
            </w:r>
          </w:p>
        </w:tc>
        <w:tc>
          <w:tcPr>
            <w:tcW w:w="9695" w:type="dxa"/>
            <w:tcBorders/>
            <w:shd w:fill="auto" w:val="clear"/>
            <w:vAlign w:val="center"/>
          </w:tcPr>
          <w:p>
            <w:pPr>
              <w:pStyle w:val="TableContents"/>
              <w:pBdr/>
              <w:spacing w:before="0" w:after="0"/>
              <w:ind w:left="0" w:right="0" w:hanging="0"/>
              <w:rPr/>
            </w:pPr>
            <w:r>
              <w:rPr/>
              <w:t> </w:t>
            </w:r>
          </w:p>
        </w:tc>
      </w:tr>
      <w:tr>
        <w:trPr/>
        <w:tc>
          <w:tcPr>
            <w:tcW w:w="424" w:type="dxa"/>
            <w:tcBorders/>
            <w:shd w:fill="auto" w:val="clear"/>
          </w:tcPr>
          <w:p>
            <w:pPr>
              <w:pStyle w:val="TableContents"/>
              <w:spacing w:before="0" w:after="15"/>
              <w:ind w:left="0" w:right="0" w:hanging="0"/>
              <w:rPr/>
            </w:pPr>
            <w:r>
              <w:rPr/>
              <w:t> </w:t>
            </w:r>
            <w:r>
              <w:rPr>
                <w:bdr w:val="single" w:sz="2" w:space="1" w:color="000000"/>
              </w:rPr>
              <w:t>     </w:t>
            </w:r>
            <w:r>
              <w:rPr>
                <w:color w:val="FFFFFF"/>
                <w:sz w:val="10"/>
              </w:rPr>
              <w:t>.</w:t>
            </w:r>
          </w:p>
        </w:tc>
        <w:tc>
          <w:tcPr>
            <w:tcW w:w="86" w:type="dxa"/>
            <w:tcBorders/>
            <w:shd w:fill="auto" w:val="clear"/>
          </w:tcPr>
          <w:p>
            <w:pPr>
              <w:pStyle w:val="TableContents"/>
              <w:spacing w:before="0" w:after="0"/>
              <w:ind w:left="0" w:right="0" w:hanging="0"/>
              <w:rPr/>
            </w:pPr>
            <w:r>
              <w:rPr/>
              <w:t> </w:t>
            </w:r>
          </w:p>
        </w:tc>
        <w:tc>
          <w:tcPr>
            <w:tcW w:w="9695" w:type="dxa"/>
            <w:tcBorders/>
            <w:shd w:fill="auto" w:val="clear"/>
          </w:tcPr>
          <w:p>
            <w:pPr>
              <w:pStyle w:val="TableContents"/>
              <w:spacing w:before="0" w:after="0"/>
              <w:ind w:left="0" w:right="0" w:hanging="0"/>
              <w:rPr/>
            </w:pPr>
            <w:r>
              <w:rPr/>
              <w:t>Pre-commencement communications pursuant to Rule 13e-4(c) under the Exchange Act (17 CFR 240.13e-4(c))</w:t>
            </w:r>
          </w:p>
        </w:tc>
      </w:tr>
    </w:tbl>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hanging="0"/>
        <w:rPr/>
      </w:pPr>
      <w:r>
        <w:rPr/>
      </w:r>
    </w:p>
    <w:p>
      <w:pPr>
        <w:pStyle w:val="TextBody"/>
        <w:spacing w:before="0" w:after="0"/>
        <w:ind w:left="0" w:right="0" w:hanging="0"/>
        <w:rPr/>
      </w:pPr>
      <w:r>
        <w:rPr/>
      </w:r>
    </w:p>
    <w:p>
      <w:pPr>
        <w:pStyle w:val="HorizontalLine"/>
        <w:pBdr>
          <w:bottom w:val="single" w:sz="6" w:space="0" w:color="808080"/>
        </w:pBdr>
        <w:rPr/>
      </w:pPr>
      <w:r>
        <w:rPr/>
      </w:r>
      <w:r>
        <w:br w:type="page"/>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both"/>
        <w:rPr>
          <w:b/>
        </w:rPr>
      </w:pPr>
      <w:r>
        <w:rPr>
          <w:b/>
        </w:rPr>
        <w:t>Item 1.01.  Entry Into a Material Definitive Agreement.</w:t>
      </w:r>
    </w:p>
    <w:p>
      <w:pPr>
        <w:pStyle w:val="TextBody"/>
        <w:spacing w:before="0" w:after="0"/>
        <w:ind w:left="0" w:right="0" w:hanging="0"/>
        <w:jc w:val="both"/>
        <w:rPr/>
      </w:pPr>
      <w:r>
        <w:rPr/>
      </w:r>
    </w:p>
    <w:p>
      <w:pPr>
        <w:pStyle w:val="TextBody"/>
        <w:spacing w:before="0" w:after="0"/>
        <w:ind w:left="0" w:right="0" w:hanging="0"/>
        <w:jc w:val="both"/>
        <w:rPr>
          <w:u w:val="single"/>
        </w:rPr>
      </w:pPr>
      <w:r>
        <w:rPr>
          <w:u w:val="single"/>
        </w:rPr>
        <w:t>Agreement with Chief Executive Officer</w:t>
      </w:r>
    </w:p>
    <w:p>
      <w:pPr>
        <w:pStyle w:val="TextBody"/>
        <w:spacing w:before="0" w:after="0"/>
        <w:ind w:left="0" w:right="0" w:hanging="0"/>
        <w:jc w:val="both"/>
        <w:rPr/>
      </w:pPr>
      <w:r>
        <w:rPr/>
      </w:r>
    </w:p>
    <w:p>
      <w:pPr>
        <w:pStyle w:val="TextBody"/>
        <w:spacing w:before="0" w:after="0"/>
        <w:ind w:left="0" w:right="0" w:hanging="0"/>
        <w:jc w:val="both"/>
        <w:rPr/>
      </w:pPr>
      <w:r>
        <w:rPr/>
        <w:t xml:space="preserve">On July 18, 2012, the Board of Directors (the Board) of Imprimis Pharmaceuticals, Inc. (the Company) granted to Mr. Mark L. Baum, in connection with his services as the Chief Executive Officer, 800,000 restricted stock units (RSUs) outside of the Companys 2007 Incentive Stock and Awards Plan, pursuant to a Stand-alone Restricted Stock Unit Agreement.  The RSUs are subject to certain performance-based vesting criteria, such that 200,000 RSUs will vest upon the satisfaction of each of the following events:  (i) successful completion of a financing that results in aggregate cash proceeds to the Company of at least $5,000,000 at any time following the effective date of the grant; (ii) the Company meets the primary endpoints of its Phase III clinical studies for its drug candidate, Impracor; (iii) the Company submits a New Drug Application for Impracor to the U.S. Food and Drug Administration; and (iv) the Company enters into a definitive license, collaboration or similar agreement for Impracor that would reasonably be expected to generate cash flow for the Company.  The RSUs vest in full upon a change in control of the Company. </w:t>
      </w:r>
    </w:p>
    <w:p>
      <w:pPr>
        <w:pStyle w:val="TextBody"/>
        <w:spacing w:before="0" w:after="0"/>
        <w:ind w:left="0" w:right="0" w:hanging="0"/>
        <w:jc w:val="both"/>
        <w:rPr/>
      </w:pPr>
      <w:r>
        <w:rPr/>
      </w:r>
    </w:p>
    <w:p>
      <w:pPr>
        <w:pStyle w:val="TextBody"/>
        <w:spacing w:before="0" w:after="0"/>
        <w:ind w:left="0" w:right="0" w:hanging="0"/>
        <w:jc w:val="both"/>
        <w:rPr>
          <w:u w:val="single"/>
        </w:rPr>
      </w:pPr>
      <w:r>
        <w:rPr>
          <w:u w:val="single"/>
        </w:rPr>
        <w:t>Agreement with Consultant</w:t>
      </w:r>
    </w:p>
    <w:p>
      <w:pPr>
        <w:pStyle w:val="TextBody"/>
        <w:spacing w:before="0" w:after="0"/>
        <w:ind w:left="0" w:right="0" w:hanging="0"/>
        <w:jc w:val="both"/>
        <w:rPr/>
      </w:pPr>
      <w:r>
        <w:rPr/>
      </w:r>
    </w:p>
    <w:p>
      <w:pPr>
        <w:pStyle w:val="TextBody"/>
        <w:spacing w:before="0" w:after="0"/>
        <w:ind w:left="0" w:right="0" w:hanging="0"/>
        <w:jc w:val="both"/>
        <w:rPr/>
      </w:pPr>
      <w:r>
        <w:rPr/>
        <w:t>On July 18, 2012, the Board granted to Dr. Robert J. Kammer, in connection with his services as a consultant and advisor to the Company, 200,000 RSUs outside of the Companys 2007 Incentive Stock and Awards Plan, pursuant to a Stand-alone Restricted Stock Unit Agreement.  The RSUs are subject to certain performance-based vesting criteria, such that all 200,000 RSUs will vest when the Company meets the primary endpoints of its Phase III clinical studies for its drug candidate, Impracor.  The RSUs vest in full upon a change in control of the Company.</w:t>
      </w:r>
    </w:p>
    <w:p>
      <w:pPr>
        <w:pStyle w:val="TextBody"/>
        <w:spacing w:before="0" w:after="0"/>
        <w:ind w:left="0" w:right="0" w:hanging="0"/>
        <w:rPr/>
      </w:pPr>
      <w:r>
        <w:rPr/>
      </w:r>
    </w:p>
    <w:p>
      <w:pPr>
        <w:pStyle w:val="TextBody"/>
        <w:spacing w:before="0" w:after="0"/>
        <w:ind w:left="0" w:right="0" w:hanging="0"/>
        <w:rPr>
          <w:b/>
        </w:rPr>
      </w:pPr>
      <w:r>
        <w:rPr>
          <w:b/>
        </w:rPr>
        <w:t>Item 5.02.  Departure of Directors or Certain Officers; Election of Directors; Appointment of Certain Officers; Compensatory Arrangements of Certain Officers.</w:t>
      </w:r>
    </w:p>
    <w:p>
      <w:pPr>
        <w:pStyle w:val="TextBody"/>
        <w:spacing w:before="0" w:after="0"/>
        <w:ind w:left="0" w:right="0" w:hanging="0"/>
        <w:rPr/>
      </w:pPr>
      <w:r>
        <w:rPr/>
      </w:r>
    </w:p>
    <w:p>
      <w:pPr>
        <w:pStyle w:val="TextBody"/>
        <w:spacing w:before="0" w:after="0"/>
        <w:ind w:left="0" w:right="0" w:hanging="0"/>
        <w:rPr>
          <w:b/>
        </w:rPr>
      </w:pPr>
      <w:r>
        <w:rPr>
          <w:b/>
        </w:rPr>
        <w:t>(e)</w:t>
      </w:r>
    </w:p>
    <w:p>
      <w:pPr>
        <w:pStyle w:val="TextBody"/>
        <w:spacing w:before="0" w:after="0"/>
        <w:ind w:left="0" w:right="0" w:hanging="0"/>
        <w:rPr/>
      </w:pPr>
      <w:r>
        <w:rPr/>
      </w:r>
    </w:p>
    <w:p>
      <w:pPr>
        <w:pStyle w:val="TextBody"/>
        <w:spacing w:before="0" w:after="0"/>
        <w:ind w:left="0" w:right="0" w:hanging="0"/>
        <w:jc w:val="both"/>
        <w:rPr/>
      </w:pPr>
      <w:r>
        <w:rPr/>
        <w:t>The information set forth under the heading Agreement with Chief Executive Officer in Item 1.01 above is incorporated in this Item 5.02(e) by reference.</w:t>
      </w:r>
    </w:p>
    <w:p>
      <w:pPr>
        <w:pStyle w:val="TextBody"/>
        <w:spacing w:before="0" w:after="0"/>
        <w:ind w:left="0" w:right="0" w:hanging="0"/>
        <w:jc w:val="both"/>
        <w:rPr/>
      </w:pPr>
      <w:r>
        <w:rPr/>
      </w:r>
    </w:p>
    <w:p>
      <w:pPr>
        <w:pStyle w:val="TextBody"/>
        <w:spacing w:before="0" w:after="0"/>
        <w:ind w:left="0" w:right="0" w:hanging="0"/>
        <w:rPr/>
      </w:pPr>
      <w:r>
        <w:rPr/>
      </w:r>
    </w:p>
    <w:p>
      <w:pPr>
        <w:pStyle w:val="TextBody"/>
        <w:spacing w:before="0" w:after="0"/>
        <w:ind w:left="0" w:right="0" w:hanging="0"/>
        <w:jc w:val="center"/>
        <w:rPr/>
      </w:pPr>
      <w:r>
        <w:rPr/>
      </w:r>
    </w:p>
    <w:p>
      <w:pPr>
        <w:pStyle w:val="TextBody"/>
        <w:spacing w:lineRule="atLeast" w:line="200" w:before="0" w:after="0"/>
        <w:ind w:left="0" w:right="0" w:firstLine="4830"/>
        <w:rPr/>
      </w:pPr>
      <w:r>
        <w:rPr/>
        <w:t>2</w:t>
      </w:r>
    </w:p>
    <w:p>
      <w:pPr>
        <w:pStyle w:val="TextBody"/>
        <w:spacing w:lineRule="atLeast" w:line="200" w:before="0" w:after="0"/>
        <w:ind w:left="0" w:right="0" w:hanging="0"/>
        <w:rPr/>
      </w:pPr>
      <w:r>
        <w:rPr/>
      </w:r>
    </w:p>
    <w:p>
      <w:pPr>
        <w:pStyle w:val="HorizontalLine"/>
        <w:pBdr>
          <w:bottom w:val="single" w:sz="6" w:space="0" w:color="808080"/>
        </w:pBdr>
        <w:rPr/>
      </w:pPr>
      <w:r>
        <w:rPr/>
      </w:r>
      <w:r>
        <w:br w:type="page"/>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b/>
        </w:rPr>
      </w:pPr>
      <w:r>
        <w:rPr>
          <w:b/>
        </w:rPr>
        <w:t>SIGNATURES</w:t>
      </w:r>
    </w:p>
    <w:p>
      <w:pPr>
        <w:pStyle w:val="TextBody"/>
        <w:spacing w:before="0" w:after="0"/>
        <w:ind w:left="0" w:right="0" w:hanging="0"/>
        <w:rPr/>
      </w:pPr>
      <w:r>
        <w:rPr/>
      </w:r>
    </w:p>
    <w:p>
      <w:pPr>
        <w:pStyle w:val="TextBody"/>
        <w:spacing w:before="0" w:after="0"/>
        <w:ind w:left="0" w:right="0" w:hanging="0"/>
        <w:jc w:val="both"/>
        <w:rPr/>
      </w:pPr>
      <w:r>
        <w:rPr/>
        <w:t xml:space="preserve">Pursuant to the requirements of the Securities Exchange Act of 1934, the registrant has duly caused this report to be signed on its behalf by the undersigned hereunto duly authorized. </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195"/>
        <w:ind w:left="0" w:right="0" w:firstLine="4680"/>
        <w:rPr>
          <w:b/>
        </w:rPr>
      </w:pPr>
      <w:r>
        <w:rPr>
          <w:b/>
        </w:rPr>
        <w:t>IMPRIMIS PHARMACEUTICALS, INC.</w:t>
      </w:r>
    </w:p>
    <w:p>
      <w:pPr>
        <w:pStyle w:val="TextBody"/>
        <w:spacing w:before="0" w:after="195"/>
        <w:rPr/>
      </w:pPr>
      <w:r>
        <w:rPr/>
      </w:r>
    </w:p>
    <w:p>
      <w:pPr>
        <w:pStyle w:val="TextBody"/>
        <w:spacing w:before="0" w:after="0"/>
        <w:ind w:left="0" w:right="0" w:hanging="30"/>
        <w:rPr/>
      </w:pPr>
      <w:r>
        <w:rPr>
          <w:u w:val="single"/>
        </w:rPr>
        <w:t>       </w:t>
      </w:r>
      <w:r>
        <w:rPr>
          <w:i/>
          <w:u w:val="single"/>
        </w:rPr>
        <w:t>/s/ Andrew Boll                       </w:t>
      </w:r>
      <w:r>
        <w:rPr>
          <w:u w:val="single"/>
        </w:rPr>
        <w:t>    </w:t>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3028950" cy="175260"/>
                <wp:effectExtent l="0" t="0" r="0" b="0"/>
                <wp:wrapSquare wrapText="largest"/>
                <wp:docPr id="1" name="Frame1"/>
                <a:graphic xmlns:a="http://schemas.openxmlformats.org/drawingml/2006/main">
                  <a:graphicData uri="http://schemas.microsoft.com/office/word/2010/wordprocessingShape">
                    <wps:wsp>
                      <wps:cNvSpPr txBox="1"/>
                      <wps:spPr>
                        <a:xfrm>
                          <a:off x="0" y="0"/>
                          <a:ext cx="3028950" cy="175260"/>
                        </a:xfrm>
                        <a:prstGeom prst="rect"/>
                      </wps:spPr>
                      <wps:txbx>
                        <w:txbxContent>
                          <w:p>
                            <w:pPr>
                              <w:pStyle w:val="TextBody"/>
                              <w:spacing w:before="0" w:after="283"/>
                              <w:rPr/>
                            </w:pPr>
                            <w:r>
                              <w:rPr/>
                              <w:t>Dated:  July 24, 2012</w:t>
                            </w:r>
                          </w:p>
                        </w:txbxContent>
                      </wps:txbx>
                      <wps:bodyPr anchor="t" lIns="0" tIns="0" rIns="0" bIns="0">
                        <a:noAutofit/>
                      </wps:bodyPr>
                    </wps:wsp>
                  </a:graphicData>
                </a:graphic>
              </wp:anchor>
            </w:drawing>
          </mc:Choice>
          <mc:Fallback>
            <w:pict>
              <v:rect style="position:absolute;rotation:0;width:2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Dated:  July 24, 2012</w:t>
                      </w:r>
                    </w:p>
                  </w:txbxContent>
                </v:textbox>
                <w10:wrap type="square" side="right"/>
              </v:rect>
            </w:pict>
          </mc:Fallback>
        </mc:AlternateConten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400050" cy="175260"/>
                <wp:effectExtent l="0" t="0" r="0" b="0"/>
                <wp:wrapSquare wrapText="largest"/>
                <wp:docPr id="2" name="Frame2"/>
                <a:graphic xmlns:a="http://schemas.openxmlformats.org/drawingml/2006/main">
                  <a:graphicData uri="http://schemas.microsoft.com/office/word/2010/wordprocessingShape">
                    <wps:wsp>
                      <wps:cNvSpPr txBox="1"/>
                      <wps:spPr>
                        <a:xfrm>
                          <a:off x="0" y="0"/>
                          <a:ext cx="400050" cy="175260"/>
                        </a:xfrm>
                        <a:prstGeom prst="rect"/>
                      </wps:spPr>
                      <wps:txbx>
                        <w:txbxContent>
                          <w:p>
                            <w:pPr>
                              <w:pStyle w:val="TextBody"/>
                              <w:spacing w:before="0" w:after="283"/>
                              <w:rPr/>
                            </w:pPr>
                            <w:r>
                              <w:rPr/>
                              <w:t>By:</w:t>
                            </w:r>
                          </w:p>
                        </w:txbxContent>
                      </wps:txbx>
                      <wps:bodyPr anchor="t" lIns="0" tIns="0" rIns="0" bIns="0">
                        <a:noAutofit/>
                      </wps:bodyPr>
                    </wps:wsp>
                  </a:graphicData>
                </a:graphic>
              </wp:anchor>
            </w:drawing>
          </mc:Choice>
          <mc:Fallback>
            <w:pict>
              <v:rect style="position:absolute;rotation:0;width:31.5pt;height:13.8pt;mso-wrap-distance-left:0pt;mso-wrap-distance-right:0pt;mso-wrap-distance-top:0pt;mso-wrap-distance-bottom:0pt;margin-top:0pt;mso-position-vertical:top;mso-position-vertical-relative:text;margin-left:238.5pt;mso-position-horizontal:left;mso-position-horizontal-relative:text">
                <v:textbox>
                  <w:txbxContent>
                    <w:p>
                      <w:pPr>
                        <w:pStyle w:val="TextBody"/>
                        <w:spacing w:before="0" w:after="283"/>
                        <w:rPr/>
                      </w:pPr>
                      <w:r>
                        <w:rPr/>
                        <w:t>By:</w:t>
                      </w:r>
                    </w:p>
                  </w:txbxContent>
                </v:textbox>
                <w10:wrap type="square" side="right"/>
              </v:rect>
            </w:pict>
          </mc:Fallback>
        </mc:AlternateContent>
      </w:r>
    </w:p>
    <w:p>
      <w:pPr>
        <w:pStyle w:val="TextBody"/>
        <w:spacing w:before="0" w:after="0"/>
        <w:ind w:left="0" w:right="0" w:firstLine="270"/>
        <w:rPr/>
      </w:pPr>
      <w:r>
        <w:rPr/>
        <w:t>Name: Andrew Boll</w:t>
      </w:r>
    </w:p>
    <w:p>
      <w:pPr>
        <w:pStyle w:val="TextBody"/>
        <w:spacing w:before="0" w:after="0"/>
        <w:ind w:left="0" w:right="0" w:firstLine="270"/>
        <w:rPr/>
      </w:pPr>
      <w:r>
        <w:rPr/>
        <w:t xml:space="preserve">Title: Vice-President, Accounting and Public Reporting </w:t>
      </w:r>
    </w:p>
    <w:p>
      <w:pPr>
        <w:pStyle w:val="TextBody"/>
        <w:spacing w:before="0" w:after="0"/>
        <w:ind w:left="0" w:right="0" w:hanging="0"/>
        <w:jc w:val="center"/>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lineRule="atLeast" w:line="200" w:before="0" w:after="0"/>
        <w:ind w:left="0" w:right="0" w:firstLine="4830"/>
        <w:rPr/>
      </w:pPr>
      <w:r>
        <w:rPr/>
        <w:t>3</w:t>
      </w:r>
    </w:p>
    <w:p>
      <w:pPr>
        <w:pStyle w:val="TextBody"/>
        <w:spacing w:lineRule="atLeast" w:line="200" w:before="0" w:after="0"/>
        <w:ind w:left="0" w:right="0" w:hanging="0"/>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590</Words>
  <CharactersWithSpaces>3786</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8-K Current Report</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ate">
    <vt:lpwstr>07/24/2012</vt:lpwstr>
  </property>
</Properties>
</file>