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80" w:right="1960" w:hanging="3972"/>
        <w:spacing w:after="0" w:line="501" w:lineRule="auto"/>
        <w:tabs>
          <w:tab w:leader="none" w:pos="30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ind w:left="360" w:right="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10" w:lineRule="exact"/>
        <w:rPr>
          <w:sz w:val="24"/>
          <w:szCs w:val="24"/>
          <w:color w:val="auto"/>
        </w:rPr>
      </w:pPr>
    </w:p>
    <w:p>
      <w:pPr>
        <w:sectPr>
          <w:pgSz w:w="11900" w:h="16838" w:orient="portrait"/>
          <w:cols w:equalWidth="0" w:num="4">
            <w:col w:w="2020" w:space="720"/>
            <w:col w:w="3920" w:space="720"/>
            <w:col w:w="2420" w:space="720"/>
            <w:col w:w="900"/>
          </w:cols>
          <w:pgMar w:left="240" w:top="747"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filed all documents and reports required to be filed by Section 12, 13, or 15(d) of the Exchange Act of 1934 subsequent to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11, 2015, 9,594,507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00" w:type="dxa"/>
            <w:vAlign w:val="bottom"/>
            <w:gridSpan w:val="5"/>
          </w:tcPr>
          <w:p>
            <w:pPr>
              <w:jc w:val="center"/>
              <w:ind w:right="284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5"/>
          </w:tcPr>
          <w:p>
            <w:pPr>
              <w:jc w:val="center"/>
              <w:ind w:right="282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32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Part I</w:t>
            </w:r>
          </w:p>
        </w:tc>
        <w:tc>
          <w:tcPr>
            <w:tcW w:w="9680" w:type="dxa"/>
            <w:vAlign w:val="bottom"/>
            <w:gridSpan w:val="15"/>
            <w:shd w:val="clear" w:color="auto" w:fill="CCEEFF"/>
          </w:tcPr>
          <w:p>
            <w:pPr>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1A.</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5.</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6.</w:t>
            </w: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80" w:type="dxa"/>
            <w:vAlign w:val="bottom"/>
            <w:gridSpan w:val="15"/>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500" w:type="dxa"/>
            <w:vAlign w:val="bottom"/>
            <w:tcBorders>
              <w:top w:val="single" w:sz="8" w:color="CCEEFF"/>
              <w:bottom w:val="single" w:sz="8" w:color="auto"/>
            </w:tcBorders>
            <w:gridSpan w:val="11"/>
          </w:tcPr>
          <w:p>
            <w:pPr>
              <w:jc w:val="center"/>
              <w:ind w:left="3110"/>
              <w:spacing w:after="0"/>
              <w:rPr>
                <w:sz w:val="20"/>
                <w:szCs w:val="20"/>
                <w:color w:val="auto"/>
              </w:rPr>
            </w:pPr>
            <w:r>
              <w:rPr>
                <w:rFonts w:ascii="Arial" w:cs="Arial" w:eastAsia="Arial" w:hAnsi="Arial"/>
                <w:sz w:val="18"/>
                <w:szCs w:val="18"/>
                <w:color w:val="auto"/>
                <w:w w:val="99"/>
              </w:rPr>
              <w:t>2</w:t>
            </w:r>
          </w:p>
        </w:tc>
        <w:tc>
          <w:tcPr>
            <w:tcW w:w="1200" w:type="dxa"/>
            <w:vAlign w:val="bottom"/>
            <w:tcBorders>
              <w:top w:val="single" w:sz="8" w:color="CCEEFF"/>
              <w:bottom w:val="single" w:sz="8" w:color="auto"/>
            </w:tcBorders>
          </w:tcPr>
          <w:p>
            <w:pPr>
              <w:spacing w:after="0"/>
              <w:rPr>
                <w:sz w:val="24"/>
                <w:szCs w:val="24"/>
                <w:color w:val="auto"/>
              </w:rPr>
            </w:pPr>
          </w:p>
        </w:tc>
        <w:tc>
          <w:tcPr>
            <w:tcW w:w="32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760"/>
              <w:spacing w:after="0"/>
              <w:rPr>
                <w:sz w:val="20"/>
                <w:szCs w:val="20"/>
                <w:color w:val="auto"/>
              </w:rPr>
            </w:pPr>
            <w:r>
              <w:rPr>
                <w:rFonts w:ascii="Arial" w:cs="Arial" w:eastAsia="Arial" w:hAnsi="Arial"/>
                <w:sz w:val="18"/>
                <w:szCs w:val="18"/>
                <w:color w:val="auto"/>
              </w:rPr>
              <w:t>June 30, 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December 31, 2014</w:t>
            </w:r>
          </w:p>
        </w:tc>
      </w:tr>
      <w:tr>
        <w:trPr>
          <w:trHeight w:val="216"/>
        </w:trPr>
        <w:tc>
          <w:tcPr>
            <w:tcW w:w="7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10,051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Restricted short-term investments</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20"/>
                <w:szCs w:val="20"/>
                <w:color w:val="auto"/>
              </w:rPr>
            </w:pPr>
          </w:p>
        </w:tc>
      </w:tr>
      <w:tr>
        <w:trPr>
          <w:trHeight w:val="203"/>
        </w:trPr>
        <w:tc>
          <w:tcPr>
            <w:tcW w:w="73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12,009</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9,056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1,180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2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0"/>
                <w:szCs w:val="20"/>
                <w:color w:val="auto"/>
              </w:rPr>
            </w:pPr>
          </w:p>
        </w:tc>
      </w:tr>
      <w:tr>
        <w:trPr>
          <w:trHeight w:val="243"/>
        </w:trPr>
        <w:tc>
          <w:tcPr>
            <w:tcW w:w="73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16,854</w:t>
            </w:r>
          </w:p>
        </w:tc>
        <w:tc>
          <w:tcPr>
            <w:tcW w:w="34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10,242</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197"/>
        </w:trPr>
        <w:tc>
          <w:tcPr>
            <w:tcW w:w="7320" w:type="dxa"/>
            <w:vAlign w:val="bottom"/>
            <w:shd w:val="clear" w:color="auto" w:fill="CCEEFF"/>
          </w:tcPr>
          <w:p>
            <w:pPr>
              <w:ind w:left="1700"/>
              <w:spacing w:after="0" w:line="19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acquisition obligation</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r>
      <w:tr>
        <w:trPr>
          <w:trHeight w:val="216"/>
        </w:trPr>
        <w:tc>
          <w:tcPr>
            <w:tcW w:w="7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obligation</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2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w w:val="99"/>
              </w:rPr>
              <w:t>Note payable and paid-in-kind interest, net of unamortized debt discount and issuance costs</w:t>
            </w:r>
          </w:p>
        </w:tc>
        <w:tc>
          <w:tcPr>
            <w:tcW w:w="24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8,061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6"/>
        </w:trPr>
        <w:tc>
          <w:tcPr>
            <w:tcW w:w="7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320" w:type="dxa"/>
            <w:vAlign w:val="bottom"/>
          </w:tcPr>
          <w:p>
            <w:pPr>
              <w:ind w:left="180"/>
              <w:spacing w:after="0" w:line="201" w:lineRule="exact"/>
              <w:rPr>
                <w:sz w:val="20"/>
                <w:szCs w:val="20"/>
                <w:color w:val="auto"/>
              </w:rPr>
            </w:pPr>
            <w:r>
              <w:rPr>
                <w:rFonts w:ascii="Arial" w:cs="Arial" w:eastAsia="Arial" w:hAnsi="Arial"/>
                <w:sz w:val="18"/>
                <w:szCs w:val="18"/>
                <w:color w:val="auto"/>
                <w:w w:val="98"/>
              </w:rPr>
              <w:t>Common stock, $0.001 par value, 90,000,000 shares authorized, 9,551,189 and 9,258,231</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shares issued and outstanding at June 30, 2015 and December 31, 2014, respectively</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53,918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50,006</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(48,688)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(41,865)</w:t>
            </w:r>
          </w:p>
        </w:tc>
      </w:tr>
      <w:tr>
        <w:trPr>
          <w:trHeight w:val="236"/>
        </w:trPr>
        <w:tc>
          <w:tcPr>
            <w:tcW w:w="7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ind w:left="360"/>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16,854</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For the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For the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Six Months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Six Months Ended</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June 30, 2014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8"/>
                <w:szCs w:val="18"/>
                <w:color w:val="auto"/>
              </w:rPr>
              <w:t>June 30, 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216"/>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3,479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1,967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667</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3,530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191</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1,473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23"/>
        </w:trPr>
        <w:tc>
          <w:tcPr>
            <w:tcW w:w="2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6"/>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(3,481)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(2,603)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(6,598)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(4,938)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(expenses), net</w:t>
            </w: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line="195" w:lineRule="exact"/>
              <w:rPr>
                <w:sz w:val="20"/>
                <w:szCs w:val="20"/>
                <w:color w:val="auto"/>
              </w:rPr>
            </w:pPr>
            <w:r>
              <w:rPr>
                <w:rFonts w:ascii="Arial" w:cs="Arial" w:eastAsia="Arial" w:hAnsi="Arial"/>
                <w:sz w:val="18"/>
                <w:szCs w:val="18"/>
                <w:color w:val="auto"/>
                <w:w w:val="96"/>
              </w:rPr>
              <w:t>Basic and diluted net loss per share of</w:t>
            </w: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(0.72)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155"/>
        </w:trPr>
        <w:tc>
          <w:tcPr>
            <w:tcW w:w="29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shares</w:t>
            </w:r>
          </w:p>
        </w:tc>
        <w:tc>
          <w:tcPr>
            <w:tcW w:w="1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of common stock outstanding, basic</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9,501,730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9,109,842</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9,419,956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9,060,496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For the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Six Months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30, 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30,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Depreciation and amortization of furniture and equipment</w:t>
            </w:r>
          </w:p>
        </w:tc>
        <w:tc>
          <w:tcPr>
            <w:tcW w:w="16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Paid-in-kind added to principal of note payable</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Non-cash gain on contingent acquisition obligations</w:t>
            </w:r>
          </w:p>
        </w:tc>
        <w:tc>
          <w:tcPr>
            <w:tcW w:w="1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Park Compounding, net of cash</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Purchase of restricted short-term investment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Pharmacy Creations, LLC, net of cash and advances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Purchases of furniture and equipment</w:t>
            </w:r>
          </w:p>
        </w:tc>
        <w:tc>
          <w:tcPr>
            <w:tcW w:w="1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capital lease obligation</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note payable, net of issuance costs and fees</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Net proceeds from exercise of warrants and stock options</w:t>
            </w:r>
          </w:p>
        </w:tc>
        <w:tc>
          <w:tcPr>
            <w:tcW w:w="16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1,248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1,840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(3,477)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10,051</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12,102</w:t>
            </w: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38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60"/>
              <w:spacing w:after="0" w:line="201" w:lineRule="exact"/>
              <w:rPr>
                <w:sz w:val="20"/>
                <w:szCs w:val="20"/>
                <w:color w:val="auto"/>
              </w:rPr>
            </w:pPr>
            <w:r>
              <w:rPr>
                <w:rFonts w:ascii="Arial" w:cs="Arial" w:eastAsia="Arial" w:hAnsi="Arial"/>
                <w:sz w:val="18"/>
                <w:szCs w:val="18"/>
                <w:color w:val="auto"/>
              </w:rPr>
              <w:t>SUPPLEMENTAL DISCLOSURES OF NON-CASH INVESTING AND FINANCING</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Issuance of stock options for consulting services included in accounts payable and accrued</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w w:val="99"/>
              </w:rPr>
              <w:t>Issuance of common stock and deferred obligations in the purchase of Park Compounding</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Estimated relative fair value of warrants issued in connection with note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Final fee on note payable recorded as debt discount and included in accrued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Imprimis Pharmaceuticals, Inc. (together with its subsidiaries, unless the context indicates or otherwise requires, the “Company” or “Imprimis”) is a pharmaceutical company focused on developing and commercializing innovative and high quality proprietary compounded drug therapies and making these therapies available to physicians and patients at accessible prices. The Company owns, markets and sells a portfolio of proprietary combination formulations in ophthalmology and urology that it believes may offer competitive advantages and serve unmet needs in the marketplace. The Company’s ophthalmology formulation portfolio, led by its Dropless Therapy™ injectable and LessDrops™ topical formulations, serves the multi-billion dollar eye drop market and is designed to address patient compliance issues and provide other medical and economic benefits to physicians and patients. The Company recently launched its urology business, headed by its Defeat IC™ campaign, which includes a patented compounded formulation for patients suffering from interstitial cystitis, and the ED Free™ campaign, which includes lyophilized compounded formulations for men with erectile dysfunction. The Company is also developing additional complementary proprietary compounded formulations to add to its ophthalmology and urology formulation portfolios. Imprimis makes, dispenses and sells its proprietary compounded formulations, as well as other non-proprietary products, through its wholly-owned compounding pharmacies.</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 2014, the Company acquired Pharmacy Creations, LLC (“PC”), a New Jersey based compounding pharmacy, on January 1, 2015, the Company acquired South Coast Specialty Compounding, Inc. D/B/A Park Compounding (“Park”), a California based compounding pharmacy and on August 4, 2015, the Company acquired JT Pharmacy, Inc. D/B/A Central Allen Pharmacy (“CAP”), a Texas based compounding pharmacy. Effective with the acquisition of PC, the Company commenced sales and marketing efforts for Imprimis’ portfolio of proprietary and non-proprietary compounded drug formulations.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2015 are not necessarily indicative of the results that may be expected for the year ending December 31, 2015 or for any other period. For further information, refer to the Company’s audited consolidated financial statements and footnotes thereto included in the Company’s Annual Report on Form 10-K for the year ended December 31, 2014.</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The Company incurred net losses of approximately $6,823 and $4,921 for the six months ended June 30, 2015 and 2014, respectively, and had an accumulated deficit of approximately $48,688 and $41,865 as of June 30, 2015 and December 31, 2014, respectively. In addition, the Company used cash in operating activities of approximately $5,447 and $3,209 for the six months ended June 30, 2015 and 2014,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there is no assurance, we believe that cash and cash equivalents and restricted investments of approximately $10,201 at June 30, 2015 will be sufficient to sustain our planned level of operations for at least the next twelve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six months ended June 30, 2015 to the significant accounting policies described in the Company’s Annual Report on Form 10-K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 per owner. At June 30, 2015, the Company had approximately $9,801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Contractual adjustments are determined by the amount expected to be collected from third-party providers. Accounts receivable are presented net of allowances for doubtful accounts and contractual adjustments in the amount of $183 and $4 as of June 30, 2015 and December 31, 2014,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 began generating revenues upon the acquisition of PC in the second quarter of 2014, which include sales of certain of the Company’s proprietary compounded drug formulations and non-proprietary formulations and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account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71" w:lineRule="exact"/>
        <w:rPr>
          <w:sz w:val="20"/>
          <w:szCs w:val="20"/>
          <w:color w:val="auto"/>
        </w:rPr>
      </w:pPr>
    </w:p>
    <w:p>
      <w:pPr>
        <w:ind w:left="720" w:hanging="334"/>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development technologies and patents; and</w:t>
      </w:r>
    </w:p>
    <w:p>
      <w:pPr>
        <w:spacing w:after="0" w:line="170"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statements of operations, financial position and cash flows in the period of the change in the estimate.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680" w:hanging="33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such as furniture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condensed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condensed consolidated balance sheet, if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2015 and 2014, the Company did not recognize any impairment of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and the debt discount are recorded net of note payable in the condensed consolidated balance sheet. Amortization expense of debt issuance costs and the debt discount is calculated using the interest method over the term of the debt and is recorded in interest expense in the accompanying condensed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June 30, 2015 and December 31, 2014, the Company did not have any financial assets or liabilities that are measured on a recurring basis. At June 30, 2015 and December 31, 2014, the Company’s financial instruments included cash and cash equivalents, restricted short-term investments, accounts receivable, accounts payable and accrued expenses, accrued payroll and related liabilities, customer deposits, deferred acquisition obligations, note payable and capital leases. The carrying amount of these financial instruments, except for deferred acquisition obligations, note payable, and the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note payable, and capital leases approximate their respective fair values.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its acquisition of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condensed consolidated balance sheet. Total billing and collection management expense under this agreement for the three and six months ended June 30, 2015 was $15 and $21, and is included in selling and marketing expenses in the accompanying condensed consolidated statement of operations. The amount due under the agreement as of June 30, 2015 was $54.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condensed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of the equity instruments.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income taxes under the provisions of FASB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or ASC 740. As of June 30, 2015, there were no unrecognized tax benefits included in the condensed consolidated balance sheet that would, if recognized, affect the effective tax rate. The Company’s practice is to recognize interest and/or penalties related to income tax matters in income tax expense. The Company had no accrual for interest or penalties in its condensed consolidated balance sheets at June 30, 2015 or December 31, 2014, and has not recognized interest and/or penalties in the condensed consolidated statements of operations for the periods ended June 30, 2015 and 2014. The Company is subject to taxation in the United States, New Jersey, and California. The Company’s tax years since 2000 are subject to examination by the federal and state tax authorities due to the carryforward of unutilized net operating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and diluted net loss per share is computed using the weighted average number of shares of common stock outstanding during the period. Common stock equivalents (using the treasury stock or “if converted” method) from deferred acquisition obligations, stock options, RSUs and warrants were 3,014,919 and 3,419,149 at June 30, 2015 and 2014, respectively, and are excluded from the calculation of diluted net loss per share for all periods presented because the effect is anti-dilutive. Common stock equivalents at June 30, 2015 included 28,633 shares of common stock underlying RSUs awarded to directors that had vested, but the issuance and delivery of these shares are deferred until the director resigns.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The following table shows the computation of basic and diluted net loss per share of common stock for the three and six months ended June 30,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Three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Six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June 30, 2015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June 30, 2014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8"/>
                <w:szCs w:val="18"/>
                <w:color w:val="auto"/>
              </w:rPr>
              <w:t>June 30, 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Denominator – weighted average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number of shares outstanding, basic</w:t>
            </w:r>
          </w:p>
        </w:tc>
        <w:tc>
          <w:tcPr>
            <w:tcW w:w="120" w:type="dxa"/>
            <w:vAlign w:val="bottom"/>
          </w:tcPr>
          <w:p>
            <w:pPr>
              <w:spacing w:after="0"/>
              <w:rPr>
                <w:sz w:val="18"/>
                <w:szCs w:val="18"/>
                <w:color w:val="auto"/>
              </w:rPr>
            </w:pPr>
          </w:p>
        </w:tc>
        <w:tc>
          <w:tcPr>
            <w:tcW w:w="1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9,501,730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9,109,842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9,419,956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9,060,496</w:t>
            </w:r>
          </w:p>
        </w:tc>
        <w:tc>
          <w:tcPr>
            <w:tcW w:w="0" w:type="dxa"/>
            <w:vAlign w:val="bottom"/>
          </w:tcPr>
          <w:p>
            <w:pPr>
              <w:spacing w:after="0"/>
              <w:rPr>
                <w:sz w:val="1"/>
                <w:szCs w:val="1"/>
                <w:color w:val="auto"/>
              </w:rPr>
            </w:pPr>
          </w:p>
        </w:tc>
      </w:tr>
      <w:tr>
        <w:trPr>
          <w:trHeight w:val="224"/>
        </w:trPr>
        <w:tc>
          <w:tcPr>
            <w:tcW w:w="298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12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96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loss per share, basic and</w:t>
            </w:r>
          </w:p>
        </w:tc>
        <w:tc>
          <w:tcPr>
            <w:tcW w:w="12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realizability of inventories, valuation of deferred taxes, goodwill and intangible assets, recoverability of long-lived assets and goodwill, valuation of contingent acquisition obligations and deferred acquisition obligations, valuation of note payable, and valuation of stock-based compensation issued to employees and non-employees.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FASB issued Accounting Standard Update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This update requires capitalized debt issuance costs to be classified as a reduction to the carrying value of debt rather than a deferred charge, as is currently required. This update will be effective for the Company for all annual and interim periods beginning after December 15, 2015 and is required to be adopted retroactively for all periods presented, and early adoption is permitted. The Company has elected early adoption of this policy for the periods presented, and the Company is currently presenting debt issuance costs as a reduction in the carrying value of the note payable in accordance with this ASU.</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the expected impact of the updated guidance, but does not believe the adoption of the updated guidance will have a significant impact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Park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2015, the Company acquired all of the outstanding membership interests of Park (the “Park Acquisition”) from its previous owners (the “Sellers”), such that Park became a wholly owned subsidiary of the Company. The acquisition of Park permits the Company to further make and distribute its patent-pending proprietary drug formulations and other novel pharmaceutical solutions and introduces the Company to new geographic and compounded formulation markets.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 has been accounted for as a business combination and the financial results of Park have been included in the Company’s condensed consolidated financial statements for the period subsequent to the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Park are presented below and represent the Company’s best estimates.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closing of the Park Acquisition, the Company paid to the Sellers an aggregate cash purchase price of $3,000, net of fees and expenses, and a $100 payment for cash remaining in a Park bank account, and we issued to the Sellers 63,525 shares of the Company’s restricted common stock, valued at $500 based on the average closing price of the Company’s common stock for the 10 trading days preceding the closing. In addition, the Company is obligated to make 12 quarterly cash payments to the Sellers collectively of $53 each over the three years following the closing of the Park Acquisition, totaling $638; provided that the Sellers will have the option to receive the last six of such payments, totaling up to an aggregate of $319, in the form of 6,749 shares of the Company’s common stock for each such payment. The convertible features of the deferred consideration provide for a rate of conversion that is at market value, and as a result no value was attributed to the conversion feature.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applied a discount rate of 15% to the restricted common stock issued at the closing of the Park Acquisition due to a lack of marketability of such shares as a result of certain restrictions on their transfer. The total acquisition date fair value of the consideration transferred and to be transferred is estimated at approximately $4,116.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$591 liability was recognized for the estimated acquisition date fair value of the deferred consideration and is included in the deferred acquisition obligations in the accompanying condensed consolidated balance sheet at June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acquisition date fair value of consideration transferred and to be transferred is estimated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 at closing</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Restricted common stock issuance to Sellers at closing</w:t>
            </w:r>
          </w:p>
        </w:tc>
        <w:tc>
          <w:tcPr>
            <w:tcW w:w="6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18"/>
                <w:szCs w:val="18"/>
                <w:color w:val="auto"/>
              </w:rPr>
            </w:pPr>
          </w:p>
        </w:tc>
      </w:tr>
      <w:tr>
        <w:trPr>
          <w:trHeight w:val="23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Deferred consideration to Sellers</w:t>
            </w:r>
          </w:p>
        </w:tc>
        <w:tc>
          <w:tcPr>
            <w:tcW w:w="6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40" w:type="dxa"/>
            <w:vAlign w:val="bottom"/>
            <w:shd w:val="clear" w:color="auto" w:fill="CCEEFF"/>
          </w:tcPr>
          <w:p>
            <w:pPr>
              <w:spacing w:after="0"/>
              <w:rPr>
                <w:sz w:val="20"/>
                <w:szCs w:val="20"/>
                <w:color w:val="auto"/>
              </w:rPr>
            </w:pPr>
          </w:p>
        </w:tc>
      </w:tr>
      <w:tr>
        <w:trPr>
          <w:trHeight w:val="203"/>
        </w:trPr>
        <w:tc>
          <w:tcPr>
            <w:tcW w:w="6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acquisition date fair value</w:t>
            </w: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4,116</w:t>
            </w:r>
          </w:p>
        </w:tc>
        <w:tc>
          <w:tcPr>
            <w:tcW w:w="20" w:type="dxa"/>
            <w:vAlign w:val="bottom"/>
            <w:tcBorders>
              <w:top w:val="single" w:sz="8" w:color="CCEEFF"/>
              <w:bottom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Consideration Transferred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January 1, 2015, the acquisition date. The excess of the acquisition date fair value of consideration transferred over the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Accounts receivable</w:t>
            </w:r>
          </w:p>
        </w:tc>
        <w:tc>
          <w:tcPr>
            <w:tcW w:w="6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6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8"/>
                <w:szCs w:val="18"/>
                <w:color w:val="auto"/>
              </w:rPr>
            </w:pPr>
          </w:p>
        </w:tc>
      </w:tr>
      <w:tr>
        <w:trPr>
          <w:trHeight w:val="23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6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2,629</w:t>
            </w:r>
          </w:p>
        </w:tc>
        <w:tc>
          <w:tcPr>
            <w:tcW w:w="40" w:type="dxa"/>
            <w:vAlign w:val="bottom"/>
            <w:shd w:val="clear" w:color="auto" w:fill="CCEEFF"/>
          </w:tcPr>
          <w:p>
            <w:pPr>
              <w:spacing w:after="0"/>
              <w:rPr>
                <w:sz w:val="20"/>
                <w:szCs w:val="20"/>
                <w:color w:val="auto"/>
              </w:rPr>
            </w:pPr>
          </w:p>
        </w:tc>
      </w:tr>
      <w:tr>
        <w:trPr>
          <w:trHeight w:val="203"/>
        </w:trPr>
        <w:tc>
          <w:tcPr>
            <w:tcW w:w="62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identifiable assets acquired</w:t>
            </w:r>
          </w:p>
        </w:tc>
        <w:tc>
          <w:tcPr>
            <w:tcW w:w="6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3,607</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4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liabilities</w:t>
            </w:r>
          </w:p>
        </w:tc>
        <w:tc>
          <w:tcPr>
            <w:tcW w:w="6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r>
      <w:tr>
        <w:trPr>
          <w:trHeight w:val="236"/>
        </w:trPr>
        <w:tc>
          <w:tcPr>
            <w:tcW w:w="6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240" w:type="dxa"/>
            <w:vAlign w:val="bottom"/>
          </w:tcPr>
          <w:p>
            <w:pPr>
              <w:ind w:left="180"/>
              <w:spacing w:after="0" w:line="203" w:lineRule="exact"/>
              <w:rPr>
                <w:sz w:val="20"/>
                <w:szCs w:val="20"/>
                <w:color w:val="auto"/>
              </w:rPr>
            </w:pPr>
            <w:r>
              <w:rPr>
                <w:rFonts w:ascii="Arial" w:cs="Arial" w:eastAsia="Arial" w:hAnsi="Arial"/>
                <w:sz w:val="18"/>
                <w:szCs w:val="18"/>
                <w:color w:val="auto"/>
              </w:rPr>
              <w:t>Total identifiable assets less liabilities assumed</w:t>
            </w:r>
          </w:p>
        </w:tc>
        <w:tc>
          <w:tcPr>
            <w:tcW w:w="6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3,268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40" w:type="dxa"/>
            <w:vAlign w:val="bottom"/>
            <w:shd w:val="clear" w:color="auto" w:fill="CCEEFF"/>
          </w:tcPr>
          <w:p>
            <w:pPr>
              <w:spacing w:after="0"/>
              <w:rPr>
                <w:sz w:val="20"/>
                <w:szCs w:val="20"/>
                <w:color w:val="auto"/>
              </w:rPr>
            </w:pPr>
          </w:p>
        </w:tc>
      </w:tr>
      <w:tr>
        <w:trPr>
          <w:trHeight w:val="203"/>
        </w:trPr>
        <w:tc>
          <w:tcPr>
            <w:tcW w:w="62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assets acquired</w:t>
            </w: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4,116</w:t>
            </w:r>
          </w:p>
        </w:tc>
        <w:tc>
          <w:tcPr>
            <w:tcW w:w="20" w:type="dxa"/>
            <w:vAlign w:val="bottom"/>
            <w:tcBorders>
              <w:top w:val="single" w:sz="8" w:color="CCEEFF"/>
              <w:bottom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adjustments made herein and the allocation of purchase price is preliminary. During the three months ended June 30, 2015 the discount rate of the common stock issued at the time of the Park Acquisition was adjusted from 25% to 15% which resulted in an increase of $46 and $4 in goodwill and intangible assets, respectively, compared to the initial allocation of the purchase price. The final allocation will be based on estimates and appraisals that will be finalized within one year of the closing of the Park Acquisition and based on the Company’s final evaluation of Park’s assets and liabilities, including both tangible and intangible assets. The final allocation of purchase price and the resulting effect on net income (loss) may differ from the amounts included herein. If the Company’s final purchase price allocation differs from the allocation used in preparing these condensed consolidated financial statements, the Company’s tangible and intangible assets and net loss could be higher or lower than the amounts presented in these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revenues and net income of Park included in the Company’s condensed consolidated statement of operations from the acquisition date through the period ended June 30, 2015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4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engaged a third-party valuation firm to assist in the determination of the fair value of the acquired intangible assets of Park. In determining the fair value of the intangible assets, the Company considered, among other factors, the best use of the acquired assets, analyses of historical financial performance of Park and estimates of future performance of Park. The fair values of the identified intangible assets related to Park’s customer relationships, trade name, non-competition clause, and state pharmacy licenses. Customer relationships and the non-competition clause were calculated using the income approach. Trade name and state pharmacy licenses were calculated using the cost approach. The following table sets forth the components of identified intangible assets associated with the Park Acquisition and their estimated useful lives.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Fair Value</w:t>
            </w:r>
          </w:p>
        </w:tc>
        <w:tc>
          <w:tcPr>
            <w:tcW w:w="1240" w:type="dxa"/>
            <w:vAlign w:val="bottom"/>
          </w:tcPr>
          <w:p>
            <w:pPr>
              <w:ind w:left="220"/>
              <w:spacing w:after="0"/>
              <w:rPr>
                <w:sz w:val="20"/>
                <w:szCs w:val="20"/>
                <w:color w:val="auto"/>
              </w:rPr>
            </w:pPr>
            <w:r>
              <w:rPr>
                <w:rFonts w:ascii="Arial" w:cs="Arial" w:eastAsia="Arial" w:hAnsi="Arial"/>
                <w:sz w:val="18"/>
                <w:szCs w:val="18"/>
                <w:color w:val="auto"/>
              </w:rPr>
              <w:t>Useful Life</w:t>
            </w:r>
          </w:p>
        </w:tc>
      </w:tr>
      <w:tr>
        <w:trPr>
          <w:trHeight w:val="216"/>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3 - 15 years</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20"/>
                <w:szCs w:val="20"/>
                <w:color w:val="auto"/>
              </w:rPr>
            </w:pPr>
            <w:r>
              <w:rPr>
                <w:rFonts w:ascii="Arial" w:cs="Arial" w:eastAsia="Arial" w:hAnsi="Arial"/>
                <w:sz w:val="18"/>
                <w:szCs w:val="18"/>
                <w:color w:val="auto"/>
              </w:rPr>
              <w:t>5 years</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 years</w:t>
            </w: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State pharmacy licenses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40" w:type="dxa"/>
            <w:vAlign w:val="bottom"/>
          </w:tcPr>
          <w:p>
            <w:pPr>
              <w:spacing w:after="0"/>
              <w:rPr>
                <w:sz w:val="20"/>
                <w:szCs w:val="20"/>
                <w:color w:val="auto"/>
              </w:rPr>
            </w:pPr>
            <w:r>
              <w:rPr>
                <w:rFonts w:ascii="Arial" w:cs="Arial" w:eastAsia="Arial" w:hAnsi="Arial"/>
                <w:sz w:val="18"/>
                <w:szCs w:val="18"/>
                <w:color w:val="auto"/>
              </w:rPr>
              <w:t>25 years</w:t>
            </w:r>
          </w:p>
        </w:tc>
      </w:tr>
      <w:tr>
        <w:trPr>
          <w:trHeight w:val="216"/>
        </w:trPr>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determined the useful lives of intangible assets based on the expected future cash flows and contractual life associated with the respective assets. Trade names represent the fair value of the brand and name recognition associated with the marketing of Park’s formulations and services. Customer relationships represent the expected future benefit from contracts and relationships which, at the date of acquisition, were reasonably anticipated to continue given the history and operating practices of Park. The non-competition clause represents the contractual period and expected degree of adverse economic impact that would exist in its absence. Licenses represent twelve state pharmacy licenses Park held at the date of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total estimated purchase price for the Park Acquisition, $848 was allocated to goodwill and is attributable to expected synergies between the combined companies, including access for the Company to fulfill prescriptions with its patent-pending proprietary drug formulations through Park’s market channels and assembled workforce. Goodwill represents the excess of the purchase price of the acquired business over the fair value of the underlying net tangible and intangible assets acquired. Goodwill resulting from the business will be tested for impairment at least annually and more frequently if certain indicators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 of PC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2014, the Company completed the acquisition of PC. The Company has included the financial results of PC in its condensed consolidated financial statements from the date of acquisition. The total purchase price for PC was approximately $1,115, which consisted of approximately $600 in cash payments and $515 in contingent consideration. The Company has recorded $124 of net tangible assets less liabilities, $659 of identifiable intangible assets, and $332 of goodwill in connection with such acquisition.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 presents the Company’s unaudited pro forma results (including Park and PC) for the three and six months ended June 30, 2014, as though the companies had been combined as of the beginning of each of the periods presented. The pro forma information is presented for informational purposes only and is not indicative of the results of operations that would have been achieved if the acquisitions had taken place at the beginning of each period presented, nor is it indicative of results of operations which may occur in the future. The unaudited pro forma results presented include amortization charges for intangible assets, interest charges, acquisition costs, and eliminations of intercompany transactions.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For the</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Six Months Ended</w:t>
            </w:r>
          </w:p>
        </w:tc>
      </w:tr>
      <w:tr>
        <w:trPr>
          <w:trHeight w:val="237"/>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June 30, 2014</w:t>
            </w:r>
          </w:p>
        </w:tc>
      </w:tr>
      <w:tr>
        <w:trPr>
          <w:trHeight w:val="236"/>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20" w:type="dxa"/>
            <w:vAlign w:val="bottom"/>
          </w:tcPr>
          <w:p>
            <w:pPr>
              <w:spacing w:after="0" w:line="203"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(2,669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(4,846</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approximately $201 in acquisition expenses related to the Park Acquisition, and did not incur material acquisition expenses related to the PC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SHORT-TERM INVESTMENTS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restricted short-term investments at June 30, 2015 and December 31, 2014 consist of certificates of deposit, which are classified as held-to-maturity. At June 30, 2015 and December 31, 2014, the restricted short-term investments were recorded at amortized cost, which approximates fair value.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2015 and December 31, 2014, the certificates of deposit of $150 were classified as a current asset. These certificates of deposit are required as collateral under the Company’s corporate credit card agreement and additional security for the Company’s office space lease, and they automatically renew every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June 30, 2015 and December 31, 2014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June 30, 2015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2014</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40" w:type="dxa"/>
            <w:vAlign w:val="bottom"/>
            <w:tcBorders>
              <w:top w:val="single" w:sz="8" w:color="auto"/>
            </w:tcBorders>
            <w:shd w:val="clear" w:color="auto" w:fill="CCEEFF"/>
          </w:tcPr>
          <w:p>
            <w:pPr>
              <w:jc w:val="right"/>
              <w:ind w:right="12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Work in progress</w:t>
            </w:r>
          </w:p>
        </w:tc>
        <w:tc>
          <w:tcPr>
            <w:tcW w:w="1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20"/>
                <w:szCs w:val="20"/>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inventories</w:t>
            </w:r>
          </w:p>
        </w:tc>
        <w:tc>
          <w:tcPr>
            <w:tcW w:w="1440" w:type="dxa"/>
            <w:vAlign w:val="bottom"/>
            <w:tcBorders>
              <w:top w:val="single" w:sz="8" w:color="auto"/>
              <w:bottom w:val="single" w:sz="8" w:color="auto"/>
            </w:tcBorders>
          </w:tcPr>
          <w:p>
            <w:pPr>
              <w:jc w:val="right"/>
              <w:ind w:right="12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793</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373</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PREPAID EXPENSES AND OTHER CURRENT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5"/>
              </w:rPr>
              <w:t>Prepaid expenses and other current assets consisted of the following:</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53"/>
        </w:trPr>
        <w:tc>
          <w:tcPr>
            <w:tcW w:w="5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June 30, 2015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2014</w:t>
            </w:r>
          </w:p>
        </w:tc>
        <w:tc>
          <w:tcPr>
            <w:tcW w:w="2280" w:type="dxa"/>
            <w:vAlign w:val="bottom"/>
          </w:tcPr>
          <w:p>
            <w:pPr>
              <w:spacing w:after="0"/>
              <w:rPr>
                <w:sz w:val="24"/>
                <w:szCs w:val="24"/>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440" w:type="dxa"/>
            <w:vAlign w:val="bottom"/>
            <w:tcBorders>
              <w:top w:val="single" w:sz="8" w:color="auto"/>
            </w:tcBorders>
            <w:shd w:val="clear" w:color="auto" w:fill="CCEEFF"/>
          </w:tcPr>
          <w:p>
            <w:pPr>
              <w:jc w:val="right"/>
              <w:ind w:right="127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4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2280" w:type="dxa"/>
            <w:vAlign w:val="bottom"/>
          </w:tcPr>
          <w:p>
            <w:pPr>
              <w:spacing w:after="0"/>
              <w:rPr>
                <w:sz w:val="18"/>
                <w:szCs w:val="18"/>
                <w:color w:val="auto"/>
              </w:rPr>
            </w:pP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2280" w:type="dxa"/>
            <w:vAlign w:val="bottom"/>
          </w:tcPr>
          <w:p>
            <w:pPr>
              <w:spacing w:after="0"/>
              <w:rPr>
                <w:sz w:val="20"/>
                <w:szCs w:val="20"/>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prepaid expenses and other current assets</w:t>
            </w:r>
          </w:p>
        </w:tc>
        <w:tc>
          <w:tcPr>
            <w:tcW w:w="1440" w:type="dxa"/>
            <w:vAlign w:val="bottom"/>
            <w:tcBorders>
              <w:top w:val="single" w:sz="8" w:color="auto"/>
              <w:bottom w:val="single" w:sz="8" w:color="auto"/>
            </w:tcBorders>
          </w:tcPr>
          <w:p>
            <w:pPr>
              <w:jc w:val="right"/>
              <w:ind w:right="127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436</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80" w:type="dxa"/>
            <w:vAlign w:val="bottom"/>
            <w:tcBorders>
              <w:top w:val="single" w:sz="8" w:color="CCEEFF"/>
            </w:tcBorders>
          </w:tcPr>
          <w:p>
            <w:pPr>
              <w:spacing w:after="0"/>
              <w:rPr>
                <w:sz w:val="17"/>
                <w:szCs w:val="17"/>
                <w:color w:val="auto"/>
              </w:rPr>
            </w:pPr>
          </w:p>
        </w:tc>
        <w:tc>
          <w:tcPr>
            <w:tcW w:w="228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0"/>
        </w:trPr>
        <w:tc>
          <w:tcPr>
            <w:tcW w:w="5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877"/>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NOTE 7. INTANGIBLE ASSETS AND GOODWILL</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80" w:type="dxa"/>
            <w:vAlign w:val="bottom"/>
            <w:gridSpan w:val="6"/>
          </w:tcPr>
          <w:p>
            <w:pPr>
              <w:spacing w:after="0"/>
              <w:rPr>
                <w:sz w:val="20"/>
                <w:szCs w:val="20"/>
                <w:color w:val="auto"/>
              </w:rPr>
            </w:pPr>
            <w:r>
              <w:rPr>
                <w:rFonts w:ascii="Arial" w:cs="Arial" w:eastAsia="Arial" w:hAnsi="Arial"/>
                <w:sz w:val="18"/>
                <w:szCs w:val="18"/>
                <w:color w:val="auto"/>
                <w:w w:val="98"/>
              </w:rPr>
              <w:t>The Company’s intangible assets at June 30, 2015 consisted of the following:</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294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Amortization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periods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Accumulated</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Net</w:t>
            </w:r>
          </w:p>
        </w:tc>
      </w:tr>
      <w:tr>
        <w:trPr>
          <w:trHeight w:val="237"/>
        </w:trPr>
        <w:tc>
          <w:tcPr>
            <w:tcW w:w="29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 years)</w:t>
            </w:r>
          </w:p>
        </w:tc>
        <w:tc>
          <w:tcPr>
            <w:tcW w:w="300" w:type="dxa"/>
            <w:vAlign w:val="bottom"/>
          </w:tcPr>
          <w:p>
            <w:pPr>
              <w:spacing w:after="0"/>
              <w:rPr>
                <w:sz w:val="20"/>
                <w:szCs w:val="20"/>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amortization</w:t>
            </w:r>
          </w:p>
        </w:tc>
        <w:tc>
          <w:tcPr>
            <w:tcW w:w="10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Carrying value</w:t>
            </w:r>
          </w:p>
        </w:tc>
      </w:tr>
      <w:tr>
        <w:trPr>
          <w:trHeight w:val="216"/>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3-15 years</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Trade name</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5 years</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3-4 years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25 years</w:t>
            </w: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30"/>
        </w:trPr>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and six months ended June 30, 2015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For the</w:t>
            </w:r>
          </w:p>
        </w:tc>
      </w:tr>
      <w:tr>
        <w:trPr>
          <w:trHeight w:val="230"/>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Six Months Ended</w:t>
            </w:r>
          </w:p>
        </w:tc>
      </w:tr>
      <w:tr>
        <w:trPr>
          <w:trHeight w:val="237"/>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June 30, 2015</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Trade name</w:t>
            </w:r>
          </w:p>
        </w:tc>
        <w:tc>
          <w:tcPr>
            <w:tcW w:w="1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5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June 30,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ending December 31,</w:t>
            </w: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96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1,779</w:t>
            </w:r>
          </w:p>
        </w:tc>
      </w:tr>
      <w:tr>
        <w:trPr>
          <w:trHeight w:val="216"/>
        </w:trPr>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Company’s goodwill during the six months ended June 30, 2015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7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4560" w:type="dxa"/>
            <w:vAlign w:val="bottom"/>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Acquisition of Park (see Note 3)</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848</w:t>
            </w:r>
          </w:p>
        </w:tc>
        <w:tc>
          <w:tcPr>
            <w:tcW w:w="4560" w:type="dxa"/>
            <w:vAlign w:val="bottom"/>
          </w:tcPr>
          <w:p>
            <w:pPr>
              <w:spacing w:after="0"/>
              <w:rPr>
                <w:sz w:val="19"/>
                <w:szCs w:val="19"/>
                <w:color w:val="auto"/>
              </w:rPr>
            </w:pPr>
          </w:p>
        </w:tc>
      </w:tr>
      <w:tr>
        <w:trPr>
          <w:trHeight w:val="216"/>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20"/>
        </w:trPr>
        <w:tc>
          <w:tcPr>
            <w:tcW w:w="3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w w:val="98"/>
              </w:rPr>
              <w:t>NOTE 8. ACCOUNTS PAYABLE AND ACCRUED EXPENSES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w w:val="93"/>
              </w:rPr>
              <w:t>Accounts payable and accrued expenses consisted of the following:</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June 30, 2015</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December 31, 2014</w:t>
            </w:r>
          </w:p>
        </w:tc>
      </w:tr>
      <w:tr>
        <w:trPr>
          <w:trHeight w:val="216"/>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9)</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Accrued exit fee for note payable (see Note 9)</w:t>
            </w: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6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39(2)</w:t>
            </w:r>
          </w:p>
        </w:tc>
      </w:tr>
      <w:tr>
        <w:trPr>
          <w:trHeight w:val="216"/>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Borders>
              <w:top w:val="single" w:sz="8" w:color="CCEEFF"/>
            </w:tcBorders>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(1,181)</w:t>
            </w:r>
          </w:p>
        </w:tc>
        <w:tc>
          <w:tcPr>
            <w:tcW w:w="6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(787)</w:t>
            </w:r>
          </w:p>
        </w:tc>
      </w:tr>
      <w:tr>
        <w:trPr>
          <w:trHeight w:val="216"/>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20" w:hanging="334"/>
        <w:spacing w:after="0" w:line="25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2014, the Company relocated its primary operations to a 7,565 square foot office facility in San Diego, California. In February 2015, the Company entered into a sublease agreement to sublet 3,874 square feet of its previously occupied offices through the remaining term of the lease at a monthly rent amount of $8. The Company recognized a loss of approximately $117 during the year ended December 31, 2014 related to the estimated remaining lease liability, net of expected sublease income, of the previously occupied offices. The obligations were discounted based on current prevailing market rates.</w:t>
      </w:r>
    </w:p>
    <w:p>
      <w:pPr>
        <w:spacing w:after="0" w:line="188" w:lineRule="exact"/>
        <w:rPr>
          <w:rFonts w:ascii="Arial" w:cs="Arial" w:eastAsia="Arial" w:hAnsi="Arial"/>
          <w:sz w:val="18"/>
          <w:szCs w:val="18"/>
          <w:color w:val="auto"/>
        </w:rPr>
      </w:pPr>
    </w:p>
    <w:p>
      <w:pPr>
        <w:ind w:left="720" w:hanging="334"/>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 consists of a $39 stock-based compensation accrual at December 31, 2014 related to stock options granted for consulting services provided. The stock options were granted during the six months ended June 30, 2015 and the $39 was recorded to additional paid-in-capital.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11, 2015, the Company entered into a loan and security agreement (the “Loan Agreement”) with IMMY Funding LLC, an affiliate of Life Sciences Alternative Funding LLC (the “Lender”), as lender and collateral agent. Pursuant to the terms of the Loan Agreement, the Lender made available to the Company term loans in the aggregate principal amount of up to $15,000, $10,000 of which was drawn on May 11, 2015 and the remaining $5,000 of which will be available to be drawn, at the Company’s option, upon the Company’s achievement of at least $15,000 in trailing 12-month revenue during any consecutive 12-month period through May 11, 2016. The term loans bear interest at a fixed per-annum rate of 12.5% and allows for 2% of the interest to be paid-in-kind until either February 2017 or May 2017, such date dependent upon the Company’s ability to meet certain revenue or cash balance measures. The Company is permitted to pay interest only for the first three years and after the end of the interest-only period, we will be required to pay interest, plus repayments of the principal amount of the term loans, in 36 equal monthly installments. The interest-only period may be reduced to 20 months if the Company does not meet certain minimum revenue or cash balance requirements and the Company would be required to pay interest, plus repayments of the principal amount of the term loans, in 24 equal monthly installments. All amounts owed under the loan agreement, including a final fee of 5% of the aggregate principal amount of the term loans, will be due on the earlier of May 11, 2021, or 24 months after the end of the interest-only period. The Company incurred expenses of approximately $697 in connection with the Loan Agreement. The final fee and expenses are being amortized as interest expense over the term of the debt using the interest method and the related liability of $500 for the final fee is included in accrued expenses (see Note 8) in the accompanying condensed consolidated balance sheet.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the Lender’s consent,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the Lender.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Each of the Company and its subsidiaries has granted the Lender a security interest in substantially all of its personal property, rights and assets, including intellectual property rights and equity ownership, to secure the payment of all amounts owed under the Loan Agreement.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Loan Agreement, the Company has issued to the Lender a warrant to purchase up to 125,000 shares of the Company’s common stock, which is exercisable immediately, has an exercise price of $7.85 per share and has a term of 10 years. The relative fair value of the warrants was approximately $840 and was estimated using the Black-Scholes-Merton model with the following assumptions: fair value of the Company’s common stock at issuance of $7.97 per share; ten-year contractual term; 109% volatility; 0% dividend rate; and a risk-free interest rate of 1.25%. The relative fair value of the warrants was recorded as a debt discount, decreasing notes payable and increasing additional paid-in capital on the accompanying condensed consolidated balance sheet. The debt discount is being amortized to interest expense over the term of the debt using the interest method. For the three and six months ended June 30, 2015, debt discount and issuance costs amortization was approximately $70.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Notes payable at June 30, 2015 was as follows: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June 30, 2015</w:t>
            </w:r>
          </w:p>
        </w:tc>
      </w:tr>
      <w:tr>
        <w:trPr>
          <w:trHeight w:val="216"/>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12.5% note payable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Add: Interest paid-in-kind</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Discount on note for issuance costs and relative fair value of warrants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Long-term portion</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Future minimum payments as of June 30, 2015 are as follows: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60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26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Amount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6,275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15,998</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0" w:type="dxa"/>
            <w:vAlign w:val="bottom"/>
            <w:gridSpan w:val="2"/>
          </w:tcPr>
          <w:p>
            <w:pPr>
              <w:spacing w:after="0"/>
              <w:rPr>
                <w:sz w:val="20"/>
                <w:szCs w:val="20"/>
                <w:color w:val="auto"/>
              </w:rPr>
            </w:pPr>
            <w:r>
              <w:rPr>
                <w:rFonts w:ascii="Arial" w:cs="Arial" w:eastAsia="Arial" w:hAnsi="Arial"/>
                <w:sz w:val="18"/>
                <w:szCs w:val="18"/>
                <w:color w:val="auto"/>
              </w:rPr>
              <w:t>Less: amount representing interest and interest paid-in-kind</w:t>
            </w:r>
          </w:p>
        </w:tc>
        <w:tc>
          <w:tcPr>
            <w:tcW w:w="26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(5,998)</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payable, gross</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Add: interest paid-in-kind</w:t>
            </w:r>
          </w:p>
        </w:tc>
        <w:tc>
          <w:tcPr>
            <w:tcW w:w="2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discount and issuance costs</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(1,967)</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Note payable and interest paid-in-kind, net of unamortized debt discount and issuance costs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8,061</w:t>
            </w:r>
          </w:p>
        </w:tc>
        <w:tc>
          <w:tcPr>
            <w:tcW w:w="80" w:type="dxa"/>
            <w:vAlign w:val="bottom"/>
            <w:tcBorders>
              <w:top w:val="single" w:sz="8" w:color="CCEEFF"/>
            </w:tcBorders>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4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During January 2015, the Company issued 63,525 shares of restricted common stock, valued at $425, in connection with the Park Acquisition (see Note 3).</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Company issued 8,521 shares of its common stock in connection with RSUs that had been awarded to a non-employee director and had vested, but were not issued and settled until the resignation of the director on January 1, 2015.</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2015, 9,936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2015, the Company issued a total of 220,912 shares of common stock as a result of warrant exercises. Of these, the Company received cash proceeds of $1,248 for the issuance of 209,980 shares of common stock upon the exercise on a cash basis of warrants to purchase the same number of shares of common stock with an exercise price of $5.925, and the Company received no cash proceeds for the issuance of 10,932 shares of common stock upon the exercise pursuant to cashless exercise provisions of warrants to purchase 30,457 shares of common stock with an exercise price of $5.25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June 30, 2015, the Company had 5,000,000 shares of preferred stock, $0.001 par value, authorized and no shares of preferred stock issued and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June 30, 2015, the Plan provides for the issuance of a maximum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 for the six months ended June 30,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1,029,240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187,673</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7.68</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(15,103)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9.06</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June 30, 2015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1,201,810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5.99</w:t>
            </w:r>
          </w:p>
        </w:tc>
        <w:tc>
          <w:tcPr>
            <w:tcW w:w="16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5.44</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4.96</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822,593</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30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1,163,888</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5.96</w:t>
            </w:r>
          </w:p>
        </w:tc>
        <w:tc>
          <w:tcPr>
            <w:tcW w:w="164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6.11</w:t>
            </w:r>
          </w:p>
        </w:tc>
        <w:tc>
          <w:tcPr>
            <w:tcW w:w="300" w:type="dxa"/>
            <w:vAlign w:val="bottom"/>
            <w:tcBorders>
              <w:bottom w:val="single" w:sz="8" w:color="CCEEFF"/>
            </w:tcBorders>
            <w:gridSpan w:val="2"/>
            <w:shd w:val="clear" w:color="auto" w:fill="CCEEFF"/>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30, 2015, based on the closing price of the Company’s common stock of $8.13 on that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7"/>
          <w:szCs w:val="17"/>
          <w:color w:val="auto"/>
        </w:rPr>
        <w:t>During the six months ended June 30, 2015, the Company granted stock options to certain employees and consultants.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six months ended June 30, 2015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quarterly vesting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20"/>
                <w:szCs w:val="20"/>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106 - 121%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1.47 - 1.64%</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20"/>
                <w:szCs w:val="20"/>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ind w:left="100"/>
              <w:spacing w:after="0"/>
              <w:rPr>
                <w:sz w:val="20"/>
                <w:szCs w:val="20"/>
                <w:color w:val="auto"/>
              </w:rPr>
            </w:pPr>
            <w:r>
              <w:rPr>
                <w:rFonts w:ascii="Arial" w:cs="Arial" w:eastAsia="Arial" w:hAnsi="Arial"/>
                <w:sz w:val="18"/>
                <w:szCs w:val="18"/>
                <w:color w:val="auto"/>
              </w:rPr>
              <w:t>Options Outstanding</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6"/>
          </w:tcPr>
          <w:p>
            <w:pPr>
              <w:ind w:left="84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jc w:val="center"/>
              <w:ind w:right="200"/>
              <w:spacing w:after="0" w:line="201" w:lineRule="exact"/>
              <w:rPr>
                <w:sz w:val="20"/>
                <w:szCs w:val="20"/>
                <w:color w:val="auto"/>
              </w:rPr>
            </w:pPr>
            <w:r>
              <w:rPr>
                <w:rFonts w:ascii="Arial" w:cs="Arial" w:eastAsia="Arial" w:hAnsi="Arial"/>
                <w:sz w:val="18"/>
                <w:szCs w:val="18"/>
                <w:color w:val="auto"/>
                <w:w w:val="89"/>
              </w:rPr>
              <w:t>Weighted</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Weighted</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9"/>
                <w:szCs w:val="19"/>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240" w:type="dxa"/>
            <w:vAlign w:val="bottom"/>
          </w:tcPr>
          <w:p>
            <w:pPr>
              <w:spacing w:after="0"/>
              <w:rPr>
                <w:sz w:val="19"/>
                <w:szCs w:val="19"/>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3000" w:type="dxa"/>
            <w:vAlign w:val="bottom"/>
            <w:gridSpan w:val="2"/>
          </w:tcPr>
          <w:p>
            <w:pPr>
              <w:ind w:left="480"/>
              <w:spacing w:after="0"/>
              <w:rPr>
                <w:sz w:val="20"/>
                <w:szCs w:val="20"/>
                <w:color w:val="auto"/>
              </w:rPr>
            </w:pPr>
            <w:r>
              <w:rPr>
                <w:rFonts w:ascii="Arial" w:cs="Arial" w:eastAsia="Arial" w:hAnsi="Arial"/>
                <w:sz w:val="18"/>
                <w:szCs w:val="18"/>
                <w:color w:val="auto"/>
              </w:rPr>
              <w:t>Range of Exercise Prices</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Life in Years</w:t>
            </w:r>
          </w:p>
        </w:tc>
        <w:tc>
          <w:tcPr>
            <w:tcW w:w="24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Price</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Exercisable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$ 2.40 - $3.20</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79"/>
              </w:rPr>
              <w:t>4.07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$ 3.60 - $4.51</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337,723</w:t>
            </w:r>
          </w:p>
        </w:tc>
        <w:tc>
          <w:tcPr>
            <w:tcW w:w="1840" w:type="dxa"/>
            <w:vAlign w:val="bottom"/>
            <w:gridSpan w:val="3"/>
          </w:tcPr>
          <w:p>
            <w:pPr>
              <w:ind w:left="1320"/>
              <w:spacing w:after="0"/>
              <w:rPr>
                <w:sz w:val="20"/>
                <w:szCs w:val="20"/>
                <w:color w:val="auto"/>
              </w:rPr>
            </w:pPr>
            <w:r>
              <w:rPr>
                <w:rFonts w:ascii="Arial" w:cs="Arial" w:eastAsia="Arial" w:hAnsi="Arial"/>
                <w:sz w:val="18"/>
                <w:szCs w:val="18"/>
                <w:color w:val="auto"/>
              </w:rPr>
              <w:t>4.46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283,350</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$ 5.49 - $7.99</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353,730</w:t>
            </w:r>
          </w:p>
        </w:tc>
        <w:tc>
          <w:tcPr>
            <w:tcW w:w="184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115,262</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$ 8.06 - $8.75</w:t>
            </w:r>
          </w:p>
        </w:tc>
        <w:tc>
          <w:tcPr>
            <w:tcW w:w="2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253,557</w:t>
            </w:r>
          </w:p>
        </w:tc>
        <w:tc>
          <w:tcPr>
            <w:tcW w:w="1840" w:type="dxa"/>
            <w:vAlign w:val="bottom"/>
            <w:gridSpan w:val="3"/>
          </w:tcPr>
          <w:p>
            <w:pPr>
              <w:ind w:left="1320"/>
              <w:spacing w:after="0"/>
              <w:rPr>
                <w:sz w:val="20"/>
                <w:szCs w:val="20"/>
                <w:color w:val="auto"/>
              </w:rPr>
            </w:pPr>
            <w:r>
              <w:rPr>
                <w:rFonts w:ascii="Arial" w:cs="Arial" w:eastAsia="Arial" w:hAnsi="Arial"/>
                <w:sz w:val="18"/>
                <w:szCs w:val="18"/>
                <w:color w:val="auto"/>
              </w:rPr>
              <w:t>6.88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167,181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5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$ 28.00 - $80.00</w:t>
            </w:r>
          </w:p>
        </w:tc>
        <w:tc>
          <w:tcPr>
            <w:tcW w:w="2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6,800</w:t>
            </w:r>
          </w:p>
        </w:tc>
        <w:tc>
          <w:tcPr>
            <w:tcW w:w="184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17"/>
        </w:trPr>
        <w:tc>
          <w:tcPr>
            <w:tcW w:w="2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1,201,810</w:t>
            </w: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gridSpan w:val="3"/>
          </w:tcPr>
          <w:p>
            <w:pPr>
              <w:ind w:left="1320"/>
              <w:spacing w:after="0"/>
              <w:rPr>
                <w:sz w:val="20"/>
                <w:szCs w:val="20"/>
                <w:color w:val="auto"/>
              </w:rPr>
            </w:pPr>
            <w:r>
              <w:rPr>
                <w:rFonts w:ascii="Arial" w:cs="Arial" w:eastAsia="Arial" w:hAnsi="Arial"/>
                <w:sz w:val="18"/>
                <w:szCs w:val="18"/>
                <w:color w:val="auto"/>
              </w:rPr>
              <w:t>6.19</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5.99</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822,593</w:t>
            </w: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As of June 30, 2015, there was approximately $1,975 of total unrecognized compensation expense related to unvested stock options granted under the Plan. That expense is expected to be recognized over the weighted-average remaining vesting period of 2.5 years. The stock-based compensation for all stock options was $240 and $569 during the three and six months ended June 30,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unit, or 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February 2015, the Company granted 30,000 RSUs to its Chief Financial Officer, Andrew R. Boll and 30,000 RSUs to its Chief Commercial Officer, John P. Saharek, valued at $442 in the aggregate. The RSUs were granted pursuant to the Plan and will vest on the third anniversary of the RSU grant date, subject to the applicable employee’s continued employment with the Company on such date and accelerated vesting of all unvested shares thereunder upon the occurrence of a change in control (as defined in the Plan).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February 2015, the Company granted 157,500 RSUs to Mr. Boll, which are subject to the satisfaction of certain market-based and continued service conditions (the “Boll Performance Equity Award”). The market-based vesting criteria are separated into five tranches and require that the Company achieve and maintain certain stock price targets ranging from $10 per share to $30 per share during the three-year period following the grant date. With certain limited exceptions, Mr. Boll must be employed with the Company on the third anniversary of the grant date in order for the Boll Performance Equity Award to vest. The initial fair value of the Boll Performance Equity Award was $228 using a Monte Carlo Simulation with a three-year life, 60% volatility and a risk free interest rate of 0.77%.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market-based vesting conditions applicable to the Boll Performance Equity Award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Number of Shares</w:t>
            </w: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Target Share Price</w:t>
            </w:r>
          </w:p>
        </w:tc>
      </w:tr>
      <w:tr>
        <w:trPr>
          <w:trHeight w:val="216"/>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48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30,000 shares</w:t>
            </w:r>
          </w:p>
        </w:tc>
        <w:tc>
          <w:tcPr>
            <w:tcW w:w="34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 or greater</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30,000 shares</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$15.00 or greater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38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5"/>
              </w:rPr>
              <w:t>30,000 shares</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$20.00 or greater</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30,000 shares</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$25.00 or greater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38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5"/>
              </w:rPr>
              <w:t>37,500 shares</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$30.00 or greater</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continuous service with the Company through the third anniversary of the grant date. Any unvested RSUs under the Boll Performance Equity Award will be forfeited on the third anniversary of the grant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six months ended June 30,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Average</w:t>
            </w:r>
          </w:p>
        </w:tc>
      </w:tr>
      <w:tr>
        <w:trPr>
          <w:trHeight w:val="216"/>
        </w:trPr>
        <w:tc>
          <w:tcPr>
            <w:tcW w:w="8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 Fair</w:t>
            </w:r>
          </w:p>
        </w:tc>
      </w:tr>
      <w:tr>
        <w:trPr>
          <w:trHeight w:val="237"/>
        </w:trPr>
        <w:tc>
          <w:tcPr>
            <w:tcW w:w="80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Number of RSUs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1,276,815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RSUs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242,624</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RSUs cancelled/forfeited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(6,209)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June 30, 2015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1,503,294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r>
      <w:tr>
        <w:trPr>
          <w:trHeight w:val="20"/>
        </w:trPr>
        <w:tc>
          <w:tcPr>
            <w:tcW w:w="8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2015, the total unrecognized compensation expense related to unvested RSUs was approximately $2,002, which is expected to be recognized over a weighted-average period of 1.1 years, based on the vesting schedules of the applicable RSUs. The stock-based compensation for RSU’s during the three and six months ended June 30, 2015 was $413 and $792,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9), underwriters and other non-employees for services rendered or to be rendered in the future.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April 2015, warrants to purchase 334,819 shares of the Company’s common stock with an exercise price of $5.925 were cancelled following the expiration of their contractual term.</w:t>
      </w:r>
    </w:p>
    <w:p>
      <w:pPr>
        <w:sectPr>
          <w:pgSz w:w="11900" w:h="16838" w:orient="portrait"/>
          <w:cols w:equalWidth="0" w:num="1">
            <w:col w:w="11420"/>
          </w:cols>
          <w:pgMar w:left="240" w:top="66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six months ended June 30, 2015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Expired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and exercisable -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remaining contractual life of the outstanding warrants in years - June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Number of Shares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Subject to Warrants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w w:val="99"/>
              </w:rPr>
              <w:t>Weighted Avg.</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2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Exercise Price</w:t>
            </w:r>
          </w:p>
        </w:tc>
        <w:tc>
          <w:tcPr>
            <w:tcW w:w="0" w:type="dxa"/>
            <w:vAlign w:val="bottom"/>
          </w:tcPr>
          <w:p>
            <w:pPr>
              <w:spacing w:after="0"/>
              <w:rPr>
                <w:sz w:val="1"/>
                <w:szCs w:val="1"/>
                <w:color w:val="auto"/>
              </w:rPr>
            </w:pPr>
          </w:p>
        </w:tc>
      </w:tr>
      <w:tr>
        <w:trPr>
          <w:trHeight w:val="418"/>
        </w:trPr>
        <w:tc>
          <w:tcPr>
            <w:tcW w:w="1740" w:type="dxa"/>
            <w:vAlign w:val="bottom"/>
          </w:tcPr>
          <w:p>
            <w:pPr>
              <w:jc w:val="right"/>
              <w:spacing w:after="0"/>
              <w:rPr>
                <w:sz w:val="20"/>
                <w:szCs w:val="20"/>
                <w:color w:val="auto"/>
              </w:rPr>
            </w:pPr>
            <w:r>
              <w:rPr>
                <w:rFonts w:ascii="Arial" w:cs="Arial" w:eastAsia="Arial" w:hAnsi="Arial"/>
                <w:sz w:val="18"/>
                <w:szCs w:val="18"/>
                <w:color w:val="auto"/>
              </w:rPr>
              <w:t>690,944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1940" w:type="dxa"/>
            <w:vAlign w:val="bottom"/>
            <w:gridSpan w:val="3"/>
          </w:tcPr>
          <w:p>
            <w:pPr>
              <w:jc w:val="right"/>
              <w:ind w:right="140"/>
              <w:spacing w:after="0"/>
              <w:rPr>
                <w:sz w:val="20"/>
                <w:szCs w:val="20"/>
                <w:color w:val="auto"/>
              </w:rPr>
            </w:pPr>
            <w:r>
              <w:rPr>
                <w:rFonts w:ascii="Arial" w:cs="Arial" w:eastAsia="Arial" w:hAnsi="Arial"/>
                <w:sz w:val="18"/>
                <w:szCs w:val="18"/>
                <w:color w:val="auto"/>
              </w:rPr>
              <w:t>(240,437)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1"/>
        </w:trPr>
        <w:tc>
          <w:tcPr>
            <w:tcW w:w="1940" w:type="dxa"/>
            <w:vAlign w:val="bottom"/>
            <w:gridSpan w:val="3"/>
          </w:tcPr>
          <w:p>
            <w:pPr>
              <w:jc w:val="right"/>
              <w:ind w:right="140"/>
              <w:spacing w:after="0"/>
              <w:rPr>
                <w:sz w:val="20"/>
                <w:szCs w:val="20"/>
                <w:color w:val="auto"/>
              </w:rPr>
            </w:pPr>
            <w:r>
              <w:rPr>
                <w:rFonts w:ascii="Arial" w:cs="Arial" w:eastAsia="Arial" w:hAnsi="Arial"/>
                <w:sz w:val="18"/>
                <w:szCs w:val="18"/>
                <w:color w:val="auto"/>
              </w:rPr>
              <w:t>(334,819)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0"/>
        </w:trPr>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6.49</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80" w:space="560"/>
            <w:col w:w="3880"/>
          </w:cols>
          <w:pgMar w:left="240" w:top="661"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 The intrinsic value of warrants exercised during the six months ended June 30, 2015 was approximately $528.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June 30, 2015 is included in the following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Warrants Outstanding</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5"/>
          </w:tcPr>
          <w:p>
            <w:pPr>
              <w:ind w:left="540"/>
              <w:spacing w:after="0"/>
              <w:rPr>
                <w:sz w:val="20"/>
                <w:szCs w:val="20"/>
                <w:color w:val="auto"/>
              </w:rPr>
            </w:pPr>
            <w:r>
              <w:rPr>
                <w:rFonts w:ascii="Arial" w:cs="Arial" w:eastAsia="Arial" w:hAnsi="Arial"/>
                <w:sz w:val="18"/>
                <w:szCs w:val="18"/>
                <w:color w:val="auto"/>
              </w:rPr>
              <w:t>Warrants Exercisable</w:t>
            </w:r>
          </w:p>
        </w:tc>
      </w:tr>
      <w:tr>
        <w:trPr>
          <w:trHeight w:val="202"/>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0"/>
              </w:rPr>
              <w:t>Warrants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89"/>
              </w:rPr>
              <w:t>Exercise</w:t>
            </w:r>
          </w:p>
        </w:tc>
        <w:tc>
          <w:tcPr>
            <w:tcW w:w="320" w:type="dxa"/>
            <w:vAlign w:val="bottom"/>
          </w:tcPr>
          <w:p>
            <w:pPr>
              <w:spacing w:after="0"/>
              <w:rPr>
                <w:sz w:val="17"/>
                <w:szCs w:val="17"/>
                <w:color w:val="auto"/>
              </w:rPr>
            </w:pPr>
          </w:p>
        </w:tc>
        <w:tc>
          <w:tcPr>
            <w:tcW w:w="1460" w:type="dxa"/>
            <w:vAlign w:val="bottom"/>
            <w:tcBorders>
              <w:top w:val="single" w:sz="8" w:color="auto"/>
            </w:tcBorders>
            <w:gridSpan w:val="3"/>
          </w:tcPr>
          <w:p>
            <w:pPr>
              <w:jc w:val="center"/>
              <w:ind w:right="340"/>
              <w:spacing w:after="0" w:line="201" w:lineRule="exact"/>
              <w:rPr>
                <w:sz w:val="20"/>
                <w:szCs w:val="20"/>
                <w:color w:val="auto"/>
              </w:rPr>
            </w:pPr>
            <w:r>
              <w:rPr>
                <w:rFonts w:ascii="Arial" w:cs="Arial" w:eastAsia="Arial" w:hAnsi="Arial"/>
                <w:sz w:val="18"/>
                <w:szCs w:val="18"/>
                <w:color w:val="auto"/>
                <w:w w:val="87"/>
              </w:rPr>
              <w:t>Warrants</w:t>
            </w: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7"/>
                <w:szCs w:val="17"/>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160" w:type="dxa"/>
            <w:vAlign w:val="bottom"/>
          </w:tcPr>
          <w:p>
            <w:pPr>
              <w:ind w:left="200"/>
              <w:spacing w:after="0"/>
              <w:rPr>
                <w:sz w:val="20"/>
                <w:szCs w:val="20"/>
                <w:color w:val="auto"/>
              </w:rPr>
            </w:pPr>
            <w:r>
              <w:rPr>
                <w:rFonts w:ascii="Arial" w:cs="Arial" w:eastAsia="Arial" w:hAnsi="Arial"/>
                <w:sz w:val="18"/>
                <w:szCs w:val="18"/>
                <w:color w:val="auto"/>
              </w:rPr>
              <w:t>Issue Date</w:t>
            </w:r>
          </w:p>
        </w:tc>
        <w:tc>
          <w:tcPr>
            <w:tcW w:w="34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Price</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Exercisable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 (see Note 9)</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5/11/2015</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5/11/2025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91"/>
              </w:rPr>
              <w:t>2/7/2013</w:t>
            </w: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auto"/>
              </w:rPr>
              <w:t>55,688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55,688</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2/7/2018</w:t>
            </w:r>
          </w:p>
        </w:tc>
        <w:tc>
          <w:tcPr>
            <w:tcW w:w="100" w:type="dxa"/>
            <w:vAlign w:val="bottom"/>
          </w:tcPr>
          <w:p>
            <w:pPr>
              <w:spacing w:after="0"/>
              <w:rPr>
                <w:sz w:val="18"/>
                <w:szCs w:val="18"/>
                <w:color w:val="auto"/>
              </w:rPr>
            </w:pPr>
          </w:p>
        </w:tc>
      </w:tr>
      <w:tr>
        <w:trPr>
          <w:trHeight w:val="25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 to investor relations consultant</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7/19/2013</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8.50</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60,000</w:t>
            </w: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7/19/2018</w:t>
            </w:r>
          </w:p>
        </w:tc>
        <w:tc>
          <w:tcPr>
            <w:tcW w:w="100" w:type="dxa"/>
            <w:vAlign w:val="bottom"/>
            <w:shd w:val="clear" w:color="auto" w:fill="CCEEFF"/>
          </w:tcPr>
          <w:p>
            <w:pPr>
              <w:spacing w:after="0"/>
              <w:rPr>
                <w:sz w:val="21"/>
                <w:szCs w:val="21"/>
                <w:color w:val="auto"/>
              </w:rPr>
            </w:pPr>
          </w:p>
        </w:tc>
      </w:tr>
      <w:tr>
        <w:trPr>
          <w:trHeight w:val="217"/>
        </w:trPr>
        <w:tc>
          <w:tcPr>
            <w:tcW w:w="4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240,688</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7.41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240,688</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the amortization of stock-based prepaid consulting fees)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r>
      <w:tr>
        <w:trPr>
          <w:trHeight w:val="230"/>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Six Months Ended</w:t>
            </w:r>
          </w:p>
        </w:tc>
        <w:tc>
          <w:tcPr>
            <w:tcW w:w="100" w:type="dxa"/>
            <w:vAlign w:val="bottom"/>
          </w:tcPr>
          <w:p>
            <w:pPr>
              <w:spacing w:after="0"/>
              <w:rPr>
                <w:sz w:val="19"/>
                <w:szCs w:val="19"/>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Six Months Ended</w:t>
            </w: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June 30, 2015</w:t>
            </w:r>
          </w:p>
        </w:tc>
        <w:tc>
          <w:tcPr>
            <w:tcW w:w="14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June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2014</w:t>
            </w: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4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Consultants - general and administrative</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Consultants - research and development</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3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equipment under capital leases with an interest rate of 4.25% per annum. At June 30, 2015, future payments under the Company’s capital leases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4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r>
      <w:tr>
        <w:trPr>
          <w:trHeight w:val="25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r>
      <w:tr>
        <w:trPr>
          <w:trHeight w:val="203"/>
        </w:trPr>
        <w:tc>
          <w:tcPr>
            <w:tcW w:w="71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3"/>
        </w:trPr>
        <w:tc>
          <w:tcPr>
            <w:tcW w:w="71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17"/>
        </w:trPr>
        <w:tc>
          <w:tcPr>
            <w:tcW w:w="7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Capital lease obligation, net of current portion</w:t>
            </w:r>
          </w:p>
        </w:tc>
        <w:tc>
          <w:tcPr>
            <w:tcW w:w="20" w:type="dxa"/>
            <w:vAlign w:val="bottom"/>
            <w:tcBorders>
              <w:top w:val="single" w:sz="8" w:color="CCEEFF"/>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equipment under capital leases as of June 30, 2015 was $60, with related accumulated depreciation of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Company entered into a lease agreement for approximately 8,602 square feet of lab, warehouse and office space in Roxbury, New Jersey. The current lease term expires on July 31, 2022. The monthly rent amount is $10 and includes annual increases of approximately 3.75%, and the lease allows for the first five months of rent amounts to be abated. This facility is currently undergoing construction to serve as an outsourcing facility and pharmacy.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Company entered into a commercial lease agreement, for the lease of certain premises to Park of approximately 4,500 square feet of lab and office space. The monthly rent amount is $10 and includes annual increases of approximately 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the Company entered into a lease agreement for 7,565 square feet of office space that commenced on September 1, 2014 and continues until October 31, 2018. Monthly rent began on September 1, 2014 in the amount of $20, with a 3% increase in the base rent amount on an annual basis. The lease agreement allows for the monthly rent amount to be abated for two months at various times during the lease agreement. This space serves as our corporate headquarters.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2013, the Company entered into a lease agreement for 3,874 square feet of office space that commenced on May 1, 2013 and continues until September 30, 2016. Monthly rent began on May 1, 2013 in the amount of $10 with a 3% increase in the base rent amount on an annual basis. The lease agreement allows for the monthly rent amount to be abated for five months at various times during the lease agreement. In February 2015, the Company entered into a sublease agreement to sublet this space through the remaining term of the lease at a monthly rent amount of $8.</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2010, PC entered into a lease agreement for 3,137 square feet of office and laboratory space that commenced on January 1, 2010 and continues until December 31, 2015. Monthly rent began on January 1, 2010 in the amount of $4.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Urigen License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24, 2014 (the “Urigen Effective Date”), the Company entered into a license agreement (the “Urigen License”) with Urigen Pharmaceuticals, Inc. (“Urigen”), pursuant to which Urigen granted to the Company a license under certain U.S. patents and patent applications to develop and sell in the U.S. Urigen’s URG101 product (“HLA”), a heparin and alkalinized lidocaine compounded formulation, for the prevention or treatment of disorders of the lower urinary tract.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consideration for the license granted under the Urigen License, the Company agreed to pay Urigen annual tiered royalties based on sales of HLA, subject to certain minimum annual royalty payments. The annual tiered royalties consist of the greater of (i) $0.50 per dose (dollar amount not presented in thousands), and (ii) 15%-20% of the Company’s net sales of HLA, with the royalty amount within such range depending on the Company’s aggregate sales of HLA during the period to which the royalty payment applies. The minimum annual royalty payment consists of (a) for the 2015 calendar year, the greater of</w:t>
      </w:r>
    </w:p>
    <w:p>
      <w:pPr>
        <w:spacing w:after="0" w:line="2" w:lineRule="exact"/>
        <w:rPr>
          <w:sz w:val="20"/>
          <w:szCs w:val="20"/>
          <w:color w:val="auto"/>
        </w:rPr>
      </w:pPr>
    </w:p>
    <w:p>
      <w:pPr>
        <w:jc w:val="both"/>
        <w:ind w:firstLine="8"/>
        <w:spacing w:after="0" w:line="288"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110% of the aggregate royalties paid to Urigen under the Existing Sublicenses during the preceding 12 months, on a prorated basis, and (ii) $800, less the aggregate royalties paid to Urigen under the Existing Sublicenses during the 2015 calendar year, and (b) for each calendar year thereafter, 110% of the aggregate amount owed by the Company to Urigen under the Urigen License during the prior calendar year. The Company is obligated to pay such royalties beginning with its first commercial sale of HLA and continuing until the expiration of the patents subject to the license granted under the Urigen License. The Company has also agreed to use commercially reasonable efforts to develop and commercialize HLA according to the terms of a diligence plan agreed to by the parties, which efforts will include, without limitation, the Company’s investment of $2,000 in commercialization efforts of HLA, which investment and timeline can be adjusted dependent on market circumstances, and is expected to be incurred over 18-24 months following the Urigen Effective Date.</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Urigen License was non-exclusive until April 24, 2015, when the Company exercised its option to convert the non-exclusive license to an exclusive license for the remaining term of the Urigen License. Legacy sublicensees, who previously had non-exclusive licensed rights to compound and sell HLA (the “Existing Sub-licensees”) were provided written notice of the Company’s intent to terminate those non-exclusive license agreements, on or around April 24, 2015. Over the following 60 to 90 days (the “Transition Period”) the Company entered into agreements with the Existing Sub-licensees to transfer existing refill prescriptions to the Company’s wholly owned pharmacies. These agreements required various one-time payments and limited future payments related to transferred prescriptions. Urigen agreed that any revenue received from the Existing Sub-licensees from HLA sales that are consistent with their respective agreements with Urigen, will be kept by the Company (without a related royalty payment to Urigen). Beginning on April 24, 2015, the Company was due royalty payments on any HLA prescriptions filled by Existing Sub-licensees during the Transition Period and any additional period the sublicenses filled prescriptions for HLA. During the three and six months ended June 30, 2015, the Company recognized $50 in royalty revenues related to HLA prescriptions filled by the Existing Sub-licensees.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both"/>
        <w:spacing w:after="0" w:line="293" w:lineRule="auto"/>
        <w:rPr>
          <w:sz w:val="20"/>
          <w:szCs w:val="20"/>
          <w:color w:val="auto"/>
        </w:rPr>
      </w:pPr>
      <w:r>
        <w:rPr>
          <w:rFonts w:ascii="Arial" w:cs="Arial" w:eastAsia="Arial" w:hAnsi="Arial"/>
          <w:sz w:val="16"/>
          <w:szCs w:val="16"/>
          <w:color w:val="auto"/>
        </w:rPr>
        <w:t>Subject to certain conditions and each party’s right to terminate the Urigen License earlier under certain circumstances, the Urigen License will continue in effect until the expiration of the Company’s royalty obligations under the Urigen License. The Urigen License terminates upon the first commercial sale of HLA by Urigen, its affiliates, or a third party after the U.S. Food and Drug Administration (the “FDA”) grants Urigen approval to market HLA in the U.S., if market approval is granted. The Company shall have the option, at its discretion, to become a non-exclusive distributor of HLA following the FDA granting Urigen such market approval. During the three and six months ended June 30, 2015 the Company recognized $3 and $5 in royalty amounts under the Urigen License, and such amounts are included in cost of sales in the accompanying condensed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License Agreement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30, 2012, the Company entered into a license agreement with Professional Compounding Centers of America (“PCCA”), pursuant to which PCCA has granted to the Company and its affiliates certain exclusive rights under PCCA’s proprietary formulations, other technologies and data, and the Company has agreed to pay to PCCA certain royalties on net sales relating to the sale of certain future products that the Company may produce, which royalties will range from 4.5% to 9% for each product, subject to certain minimum royalty payments. PCCA may terminate the license agreement if the Company fails to commence efforts to research and develop any such products within certain time periods, as set forth in the license agreement. No royalty amounts have been paid or accrued under this agreement during the six months ended June 30, 2015 and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Strategic Alliance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18, 2013, the Company entered into a strategic alliance agreement with PCCA. Under this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further provide certain key technical assistance with respect to any potential development project the Company may pursue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 This agreement automatically renewed for a one-year term on February 18, 2015. No royalty amounts have been paid or accrued under this agreement during the six months ended June 30, 2015 and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“Inventors”) through multiple asset purchase agreements. The asset purchase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No royalty amounts have been paid or accrued under these agreements during the six months ended June 30, 2015 and 2014.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12.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for 2015 and 2014 are attributed to the U.S. All long-lived assets at June 30, 2015 are located in the 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six months ended June 30,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51% and 57%, respectively, of active pharmaceutical ingredient purchases during the three and six months ended June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June 30, 2015 through the filing date of this Quarterly Report. Based on its evaluation, nothing other than the events described below needs to be disclosed.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July 1, 2015 through the filing date of this Quarterly Report, the Company issued a total of 43,318 shares of common stock as a result of option exercises. The Company received no cash proceeds for the issuance of the shares of common stock upon the exercise pursuant to cashless exercise provisions of stock options to purchase 95,300 shares of common stock with exercise prices of $4.50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Baum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31, 2015 the Company entered into a First Amendment to Amended and Restated Employment Agreement (the “Amendment”), with its Chief Executive Officer, Mark L. Baum (“Mr. Baum”), which amended that certain Amended and Restated Employment Agreement (the “Employment Agreement”), dated May 2, 2013, by and between Mr. Baum and the Company. Pursuant to the Amendment, Mr. Baum’s eligibility for certain discretionary performance related stock option grants set forth in Section 3(f) of the Employment Agreement was terminated.</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July 31, 2015 (the “Grant Date”), pursuant to Section 3(f) of the Employment Agreement, the Company granted Mr. Baum an option (“Option”) to purchase 600,000 shares of common stock (“Shares”) of the Company at an exercise price of $7.87 per share under the Company’s Amended and Restated 2007 Incentive Stock and Awards Plan, as amended, pursuant to the Company’s form of Nonqualified Stock Option Agreement. 200,000 of the Shares subject to the Option shall vest if, at any time during the five (5) years following the Grant Date, the average of the official closing price per share of the Company’s common stock during the preceding five (5) days is equal to or greater than $9.00 (the “First Price Condition”). 100,000 of the Shares subject to the Option shall vest if, at any time during the five (5) years following the Grant Date, the average of the official closing price per share of the Company’s common stock during the preceding five (5) days is equal to or greater than $10.00 (the “Second Price Condition”). 100,000 of the Shares subject to the Option shall vest if, at any time during the five (5) years following the Grant Date, the average of the official closing price per share of the Company’s common stock during the preceding five (5) days is equal to or greater than $12.00 (the “Third Price Condition”). 100,000 of the Shares subject to the Option shall vest if, at any time during the five (5) years following the Grant Date, the average of the official closing price per share of the Company’s common stock during the preceding five (5) days is equal to or greater than $14.00 (the “Fourth Price Condition”). 100,000 of the Shares subject to the Option shall vest if, at any time during the five (5) years following the Grant Date, the average of the official closing price per share of the Company’s common stock during the preceding five (5) days is equal to or greater than $15.00 (the “Fifth Price Condition” and each of the First Price Condition, the Second Price Condition, the Third Price Condition and the Fourth Price Condition, a “Price Condition”). Upon satisfaction of a Price Condition within one year of the date Mr. Baum is terminated by the Company without Cause (as defined in the Employment Agreement) or Mr. Baum resigns for Good Reason (as defined in the Employment Agreement), Mr. Baum shall be entitled to receive the applicable portion of the Option. If termination of Mr. Baum’s employment occurs by reason of death, Disability (as defined in the Employment Agreement) or any reason other than by the Company without Cause or by Mr. Baum for Good Reason prior to the vesting in full of the Option, any unexercised portion of the Option which has not vested on such date of termination of employment will be automatically terminated. Mr. Baum will have 90 days from the date of termination of employment or until the Grant Expiration Date (as defined below), whichever is shorter, to exercise any portion of the Option that is vested and exercisable on the date of termination; provide that if the termination was for Cause, the Option shall be immediately cancelled. The Option terminates on the fifth anniversary of the Grant Date (“Grant Expiration Date”).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31, 2015, the Company entered into a Retention Bonus Letter Agreement with Mr. Baum, pursuant to which the Company agrees to pay Mr. Baum 1.5% of the Fair Market Value (as defined in the Retention Bonus Letter Agreement) of the Change in Control Consideration (as defined in the Retention Bonus Letter Agreement) paid by a buyer to acquire the Company (“Retention Bonus”) in a transaction constituting a Change in Control (as defined in the Retention Bonus Letter Agreement), subject to Mr. Baum’s continued employment with the Company. The Company’s obligation to pay such Retention Bonus is subject and subordinated to the Company’s senior debt and terminates on May 2,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 Acquisition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4, 2015, the Company acquired all of the outstanding capital stock of CAP pursuant to a stock purchase agreement entered into in July 2015. CAP is a compounding and retail pharmacy located in Allen, Texas. At closing, the Company paid the former owners of CAP a gross amount of four-hundred-twenty thousand dollars ($420).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License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11, 2015, (the “CAN Effective Date”), the Company entered into a license agreement (the “CAN Agreement”) with Advanced Dosage Forms, Inc. and John DiGenova (collectively “ADF”), pursuant to which the Company granted to ADF a license under certain U.S. patent applications (the “Licensed Patent Rights”) to develop and sell in Canada certain of the Company’s proprietary Dropless and LessDrops compounded formulations (the “OPH Products”) and use of certain of the Company’s trademarks, designs, trade names and markings. Such license is non-exclusive; such that prior to December 31, 2015, the parties shall negotiate in good faith and attempt to reach mutual agreement on the terms and conditions upon which ADF would have the option to convert the licenses hereunder to exclusive. Such terms and conditions would include, without limitation, (a) diligence and market penetration conditions to convert, (b)</w:t>
      </w:r>
    </w:p>
    <w:p>
      <w:pPr>
        <w:sectPr>
          <w:pgSz w:w="11900" w:h="16838" w:orient="portrait"/>
          <w:cols w:equalWidth="0" w:num="1">
            <w:col w:w="11420"/>
          </w:cols>
          <w:pgMar w:left="240" w:top="661" w:right="239" w:bottom="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annual diligence and market growth conditions to maintain exclusivity, and (c) an annual license fee of $50 payable to Imprimis ($25 of which would be creditable against the royalties owing during such year).</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consideration for the license granted under the CAN Agreement, ADF has agreed to pay the Company royalties based on its sales of the OPH Products. The royalties consist of the greater of (i) $50 per unit of OPH Products sold (dollar amount not presented in thousands) and (ii) 20% of the ADF’s sales of the OPH Products. ADF has also agreed to pay to Imprimis a noncreditable license fee of $10 at the CAN Effective Date. ADF is obligated to pay such royalties beginning with its first commercial sale of the OPH Products and continuing until claims under the Licensed Patent Rights are considered expired, abandoned, or unenforceable and are no longer subject to the license granted under the Agreement. ADF is obligated to maintain quality standards established by the Company, use commercially reasonable efforts to develop and commercialize the OPH Products and market shares according to the terms of the Agreement as agreed to by the parties.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2014 and subsequent reports on Form 8-K, which discuss our business in greater detail. Unless the context indicates otherwise, the “Company”, “we”, “us”, and “our</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Item 2 and elsewhere in this Quarterly Report refer to Imprimis Pharmaceuticals, Inc., a Delaware corporation, and its consolidated subsidiaries. Unless otherwise stated, all information regarding share amounts of common stock and prices per share of common stock described in this discussion and analysis and elsewhere in this Quarterly Report reflect the reverse stock splits of our authorized, issued and outstanding common stock effected on February 28, 2012 and February 7, 2013.</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acquisitions of Pharmacy Creations, LLC (“Pharmacy Creations”), South Coast Specialty Compounding, Inc. D/B/A Park Compounding (“Park”), JT Pharmacy, Inc. D/B/A Central Allen Pharmacy (“CAP”)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 pharmaceutical company focused on developing and commercializing innovative and high quality proprietary compounded drug therapies and making these therapies available to physicians and patients at accessible prices. We own, market and sell a portfolio of proprietary combination formulations in ophthalmology and urology that we believe may offer competitive advantages and serve unmet needs in the marketplace. Our ophthalmic compounded formulations, led by our Dropless Therapy™ injectables and LessDrops™ combination topical eye drops, compete in the multi-billion dollar market for ophthalmic antibiotic and anti-inflammatory drugs. Importantly, our formulations which are comprised of active pharmaceutical ingredients are uniquely designed to address patient compliance issues and provide other medical and economic benefits to physicians and patients. We recently launched our urology business, led by our Defeat IC™ campaign, which includes a patented compounded formulation for patients suffering from interstitial cystitis, and our ED Free™ campaign, which includes lyophilized compounded formulations for men with erectile dysfunction. We are also developing additional complementary proprietary compounded formulations to add to our ophthalmology and urology formulation portfolios. We make, dispense and sell our proprietary compounded formulations, as well as non-proprietary products, through our wholly-owned compounding pharmacies.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both"/>
        <w:ind w:firstLine="648"/>
        <w:spacing w:after="0" w:line="276" w:lineRule="auto"/>
        <w:rPr>
          <w:sz w:val="20"/>
          <w:szCs w:val="20"/>
          <w:color w:val="auto"/>
        </w:rPr>
      </w:pPr>
      <w:r>
        <w:rPr>
          <w:rFonts w:ascii="Arial" w:cs="Arial" w:eastAsia="Arial" w:hAnsi="Arial"/>
          <w:sz w:val="17"/>
          <w:szCs w:val="17"/>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Working collaboratively with these inventors, we identify and evaluate intellectual property related to these drug formulations, assess relevant markets, and seek to validate the clinical experience of a development candidate with the objective of investing in commercialization activities. We believe our model allows us to meet the realities of the current healthcare economy by offering quality pharmaceutical innovation at accessible prices.</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incurred recurring operating losses and have had negative operating cash flows since July 24, 1998 (inception). In addition, we have an accumulated deficit of approximately $49 million at June 30, 2015. Beginning on April 1, 2014, the date of our acquisition of Pharmacy Creations, we began generating revenue from sales by our pharmacies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Compounded Proprietary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Ophthalmic Formulations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current commercially-available ophthalmic formulations, marketed through our Dropless Therapy™ and LessDrops™ education campaigns, include the following combination formulations:</w:t>
      </w:r>
    </w:p>
    <w:p>
      <w:pPr>
        <w:spacing w:after="0" w:line="170" w:lineRule="exact"/>
        <w:rPr>
          <w:sz w:val="20"/>
          <w:szCs w:val="20"/>
          <w:color w:val="auto"/>
        </w:rPr>
      </w:pPr>
    </w:p>
    <w:p>
      <w:pPr>
        <w:ind w:left="1080" w:right="100" w:hanging="329"/>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Tri-Moxi, a compounded formulation of triamcinolone acetonide and moxifloxacin hydrochloride, with reported uses as an injectable during ocular surgery and as an eye drop pre- and post-ocular surgery;</w:t>
      </w:r>
    </w:p>
    <w:p>
      <w:pPr>
        <w:spacing w:after="0" w:line="170" w:lineRule="exact"/>
        <w:rPr>
          <w:rFonts w:ascii="Arial" w:cs="Arial" w:eastAsia="Arial" w:hAnsi="Arial"/>
          <w:sz w:val="18"/>
          <w:szCs w:val="18"/>
          <w:color w:val="auto"/>
        </w:rPr>
      </w:pPr>
    </w:p>
    <w:p>
      <w:pPr>
        <w:ind w:left="1080" w:right="100" w:hanging="329"/>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Tri-Moxi-Vanc, a compounded formulation of triamcinolone acetonide, moxifloxacin hydrochloride and vancomycin, with reported uses as an injection during ocular surgery; and</w:t>
      </w:r>
    </w:p>
    <w:p>
      <w:pPr>
        <w:spacing w:after="0" w:line="170" w:lineRule="exact"/>
        <w:rPr>
          <w:rFonts w:ascii="Arial" w:cs="Arial" w:eastAsia="Arial" w:hAnsi="Arial"/>
          <w:sz w:val="18"/>
          <w:szCs w:val="18"/>
          <w:color w:val="auto"/>
        </w:rPr>
      </w:pPr>
    </w:p>
    <w:p>
      <w:pPr>
        <w:ind w:left="1080" w:right="100" w:hanging="329"/>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Pred-Moxi-Ketor (or PMK), a compounded formulation of prednisolone, moxifloxacin hydrochloride, and ketorolac, or any similar combination thereof, with reported uses as an eye drop pre- and post-ocular surgery.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Dropless Therapy™ compounded formulations include Tri-Moxi and Tri-Moxi-Vanc. At leading U.S. ophthalmology meetings, ophthalmologists have reported that Dropless Therapy™ formulations have substantially reduced or, in many cases, eliminated the need for patient-administered eye drops following ocular surgeries they have performed. Since the launch of our associated Go Dropless™ educational campaign in April 2014, more than 300 ophthalmologists have started to use Dropless Therapy™ compounded formulations, and they have been used in over 70,000 ocular surgeries, primarily cataract surgeries. In the future, we aim for our Dropless Therapy™ to be initiated at additional high volume cataract surgery practices, hospitals and large ambulatory surgery centers throughout the U.S.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PMK and other topical compounded formulations, described as LessDrops™ topicals, were initially formulated and dispensed during the first quarter of 2015 as combination eye drop formulations for patients following laser refractive surgery, including LASIK and photorefractive keratectomy (PRK), cataract and other ocular surgeries. We estimate that our combination eye drop formulations may require up to 50% fewer drops to be administered by patients post-surgery and cost up to 75% less than other currently available post-surgery drops regimens. We plan to continue to add to our portfolio of LessDrops™ combination eye drop formulations in order to deliver additional eye drop choices for our customers.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also acquired intellectual property related to a lyophilized (or freeze-dried), preservative-free, sulfite-free combination of either epinephrine, phenylephrine and lidocaine, which are commonly used as mydriatics (for pupil dilation).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made and expect to increase sales of multiple ophthalmic compounded formulations per patient in one or more kits. For example, we may sell our proprietary injectable Tri-Moxi compounded formulation and mydriatic compounded formulations for the same individually identified patient, and also include additional non-proprietary ophthalmic compounded formulations, all as part of a kit.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2015, we acquired the rights to proprietary sedation and analgesia/anesthesia formulations that once prescribed and dispensed for an individual patient could be administered sublingually to block pain and sedate patients undergoing ocular and other surgical procedures. A team of ophthalmic surgeons is currently conducting a patient-specific clinical evaluation in order to support potential commercialization of this asset.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Urologic Formulations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key current commercially-available urologic compounded formulation consists of a patented combination of heparin and alkalinized lidocaine (“HLA”). We acquired non-exclusive development and commercialization rights for HLA in October 2014, which became exclusive in late April 2015. HLA is delivered directly to the bladder for the treatment of interstitial cystitis (“IC”), also known as painful bladder syndrome. Since the HLA compounded formulation first became available as a compounded drug in 2011, there have been hundreds of thousands of HLA instillation procedures completed in the U.S. by physicians and their patients. During the first quarter of 2015, we launched Defeat IC™, our national education campaign designed to help increase awareness among medical practitioners and patients about IC and our HLA treatment option.</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other commercially-available urologic compounded formulations consist of lyophilized Tri-Mix-L (phentolamine papaverine and prostaglandin) formulations for the treatment of erectile function (ED). Tri-Mix-L compounded formulations are provided in a sterile powder and dispensed in single-dose vials that can be conveniently transported and stored up to six months prior to reconstitution, and once reconstituted, should be used within 30 days. According to American Urological Association, intracavernous vasoactive injections are considered the most effective non-surgical treatment for ED. We are also developing and validating a proprietary injectable formulation that may also be used to treat ED.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2013, we acquired intellectual property related to an injectable compounded formulation comprised of pentoxifylline for the treatment of certain fibrotic conditions, including Peyronie’s Disease (“PD”). A researcher-initiated study using our patent-pending pentoxifylline compounded formulation for the treatment of PD was initiated in 2014, we may commercially launch this compounded formulation following the completion of the research and release of its results, which is expected in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Integrative Rx Therapies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Through our acquisition of Park in early 2015, we have begun to market a portfolio of non-proprietary compounded formulations consisting of sterile injectable integrative medicine therapies that are used in various therapeutic areas including oncology, autoimmunity, chronic infectious diseases, and endocrine and metabolic diseases. Many of these formulations, such as artesunate, ascorbic acid, curcumin, dichloroacetate, and 5-methyltetrahydrofolate, are offered in different formats (e.g. in suspension, lyophilized, etc.) that we believe may provide differentiating and potentially beneficial factors as compared to some of our competitors. We plan to establish a sales and marketing team and develop educational campaigns focused on these new therapeutic areas. As part of this initiative, we are planning a series of regional conferences related to furthering education and awareness of these formulation options within the integrative medical community.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Centers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of our key strategies is the use of compounding pharmacies to formulate our proprietary compounded drug formulations and distribute them to physicians and patients. Generally, compounding pharmacies work with physicians to develop patient-specific medications for individually identified patients, and a compounding pharmacy compounds or prepares a patient-specific formulation upon receipt of a physician prescription for an individual patient. Pharmacy Creations, Park and CAP, our wholly owned compounding pharmacies, make, dispense and sell our proprietary ophthalmology and urology compounded formulations, complementary compounded formulations within the ophthalmology and urology therapeutic areas, and other non-proprietary compounded formulations in other therapeutic areas. Our compounding pharmacies are collectively licensed to distribute compounded formulations in 44 states.</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2015, we entered into a lease agreement for space in New Jersey and began construction efforts to build a majority of this space into an outsourcing facility, which will be required to comply with certain additional requirements, including adherence to current good manufacturing practices (“cGMP”), and will be permitted to compound large quantities of certain sterile drug formulations without a prescription and distribute these formulations out of state without limitation. The remaining space in the facility will be made completely separate and secured, and be constructed as compounding pharmacy to replace our current New Jersey based pharmacy location. We estimate that our capital expenditures to build and equip this new facility will be approximately $3 million. We expect construction for our New Jersey-based compounding center to be completed at the end of the fourth quarter of 2015. Following the construction of the facility, we will begin validating our formulas and processes and expect to begin distributing formulations from our outsourcing facility at the beginning of the second quarter in 2016.</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in the process of developing “ImprimisRx” as a uniform brand for our compounding centers, which we intend to launch in 2015. We operate our pharmacy business under the regulatory framework described in the U.S. Drug Quality and Security Act (“DQSA”) of 2013, the Federal Food Drug and Cosmetic Act (“FDCA”) and applicable state pharmacy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Historical Impracor Program</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Historically, our business focused on developing, obtaining market approval from the FDA for, and commercializing our former topical pain management product candidate Impracor. After considering the totality of circumstances surrounding the development of and clinical trial requirements for Impracor, including certain manufacturing and formulation issues, in November 2013 we announced our discontinuation of the proposed Phase 3 clinical trial for Impracor. We do not expect to resume a Phase 3 clinical trial for Impracor or otherwise invest in the commercial development of this asset.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operating plan for the next 12 months is focused on increasing sales of our proprietary ophthalmic and urologic compounded formulations and certain non-proprietary products, optimization of pricing for our proprietary compounded formulations, and growing and gaining operating efficiencies in our prescription fulfillment and dispensing capabilities. Additionally, we plan to continue to pursue development and commercialization opportunities for certain of our ophthalmology, urology and other assets that we have not yet made commercially available as compounded formulations. All of these activities will require significant costs and other resources, which we may not have or be able to obtain from operations or other sources. See “—Liquidity and Capital Resources” below.</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Although we have engaged distributors for certain of our proprietary compounded formulations in non-U.S. markets, we expect to continue to focus our efforts on our U.S. commercial opportunities during 2015, and have begun to out-license our technology in other geographical markets, such as Canada. For our proprietary ophthalmic and urologic compounded formulations, we have developed and plan to continue to build small internal sales and commercialization teams that are focused on growing sales of these compounded formulations through, among other things, educating doctors, ambulatory surgery centers, hospitals and other users throughout the U.S. about our products. We expect that we may experience growth in the sales of our proprietary compounded formulations in future periods, particularly in light of our recent launches of our ophthalmology and urology formulations and commercialization campaigns. However, we have limited experience developing and commercializing compounded formulations and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currently make, dispense and sell our commercially available proprietary compounded formulations and certain other non-proprietary products through our pharmacies pursuant to a prescription for an individually identified patient. Additionally, we are in the process of developing an outsourcing facility in New Jersey, which we expect to be completed at the end of the fourth quarter of 2015. We plan to develop our pharmacy operations into a network of compounding pharmacies, outsourcing facilities, and other prescription dispensing facilities to deliver our proprietary compounded formulations to patients. Our efforts to establish a widespread compounding pharmacy network may not be successful, whether due to difficulties integrating, managing or otherwise realizing the benefits of our acquisitions of Pharmacy Creations, Park, CAP or any additional pharmacy businesses or outsourcing facilities we seek to acquire or build in the future, inability to satisfy applicable federal and state licensing and other requirements for any such pharmacy businesses in a timely manner or at all, changes to state and federal pharmacy regulations that restrict compounding operations or make them more costly, failure to achieve a sufficient physician and patient customer base to sustain our pharmacy operations, or an inability to enter into licensing or other arrangements with third-party pharmacies or outsourcing facilities when desired, on acceptable terms, or at all. Moreover, all such efforts to expand our pharmacy operations and establish a pharmacy network will involve significant costs and other resources, which we may not be able to afford, disrupt our other operations and distract management and our other employees from other aspects of our business.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We plan to devote time and other resources to seek reimbursement opportunities for these and other compounded formulations and normalize the pricing for our currently available proprietary ophthalmic compounded formulations. We believe there is an economic argument that would allow for price optimization of Dropless Therapy™ compounded formulations to be priced at or near $100 per unit. According to our internally conducted research, we believe for cataract surgery alone this potentially could allow for Medicare, other public payors and their constituents to save approximately $1 billion annually by substantially eliminating the higher costs of currently available eye drops. We have been in communications with third-party public and private payors regarding potential reimbursement options for certain of our proprietary compounded formulations, but we may be unsuccessful in these efforts.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As a result, reimbursement from insurance companies and other third-party payors may never be available for any of our products or, if available, may not be sufficient to allow us to sell the products on a competitive basis and at desirable price points.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648"/>
        <w:spacing w:after="0" w:line="293" w:lineRule="auto"/>
        <w:rPr>
          <w:sz w:val="20"/>
          <w:szCs w:val="20"/>
          <w:color w:val="auto"/>
        </w:rPr>
      </w:pPr>
      <w:r>
        <w:rPr>
          <w:rFonts w:ascii="Arial" w:cs="Arial" w:eastAsia="Arial" w:hAnsi="Arial"/>
          <w:sz w:val="16"/>
          <w:szCs w:val="16"/>
          <w:color w:val="auto"/>
        </w:rPr>
        <w:t>We also plan to pursue the development of additional proprietary compounded formulations in the ophthalmology, urology or other therapeutic areas, which may include continued activities to develop and commercialize current assets or, if and as opportunities arise, potential acquisitions of new intellectual property rights and assets. However,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(dollar amounts are expressed in thousands)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11, 2015, (the “CAN Effective Date”), we entered into a license agreement (the “CAN Agreement”) with Advanced Dosage Forms, Inc. and John DiGenova (collectively “ADF”), pursuant to which we granted to ADF a license under certain U.S. patent applications (the “Licensed Patent Rights”) to develop and sell in Canada certain of our proprietary Dropless and LessDrops compounded formulations (the “OPH Products”) and use of certain of our trademarks, designs, trade names and markings. Such license is non-exclusive; such that prior to December 31, 2015, the parties shall negotiate in good faith and attempt to reach mutual agreement on the terms and conditions upon which ADF would have the option to convert the licenses hereunder to exclusive. Such terms and conditions would include, without limitation, (a) diligence and market penetration conditions to convert, (b) annual diligence and market growth conditions to maintain exclusivity, and (c) an annual license fee of $50 payable to Imprimis ($25 of which would be creditable against the royalties owing during such year).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consideration for the license granted under the CAN Agreement, ADF has agreed to pay us royalties based on its sales of the OPH Products. The royalties consist of the greater of (i) $50 per unit of OPH Products sold (dollar amount not presented in thousands) and (ii) 20% of the ADF’s sales of the OPH Products. ADF has also agreed to pay to Imprimis a noncreditable license fee of $10 at the CAN Effective Date. ADF is obligated to pay such royalties beginning with its first commercial sale of the OPH Products and continuing until claims under the Licensed Patent Rights are considered expired, abandoned, or unenforceable and are no longer subject to the license granted under the Agreement. ADF is obligated to maintain quality standards established by us, use commercially reasonable efforts to develop and commercialize the OPH Products and market shares according to the terms of the CAN Agreement as agreed to by the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 Acquisition</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August 4, 2015, we acquired all of the outstanding capital stock of CAP pursuant to a stock purchase agreement entered into in July 2015. CAP is a compounding and retail pharmacy located in Allen, Texas. At closing, we paid the Sellers a gross amount of four-hundred-twenty-thousand dollars ($420).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11, 2015, we entered into a loan agreement with IMMY Funding LLC, an affiliate of Life Sciences Alternative Funding LLC, pursuant to which we have received a term loan in the principal amount of $10,000 and we have the opportunity, at our option, to receive an additional term loan in the principal amount of $5,000 if we satisfy certain revenue milestones on or before May 12, 2016 (the “LSAF Loan”). The term loans bear interest at a fixed per-annum rate of 12.5%. We are permitted to pay interest only for the first three years, after the end of the interest-only period, we will be required to pay interest, plus repayments of the principal amount of the term loans, in 36 equal monthly installments. The interest-only period may be reduced to 20 months if we do not meet certain minimum revenue or cash balance requirements and, we would be required to pay interest, plus repayments of the principal amount of the term loans, in 24 equal monthly installments. All amounts owed under the loan agreement, including a final fee of 5% of the aggregate principal amount of the term loans, will be due on the earlier of May 11, 2021 or 24 months after the end of the interest-only period. We expect our interest payment obligations under the loan agreement to total approximately $600 for our 2015 fiscal year.</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term loans are secured by substantially all of our personal property, rights and assets, including our intellectual property rights. Pursuant to the terms of the loan agreement, we are bound by certain restrictive covenants setting forth actions that we are required to take and actions that we are prohibited from taking during the term of the agreement. The lender could declare all amounts owed under the loan agreement due and payable and/or foreclose on our assets that secure the term loans upon the occurrence of specified events of default, which include, among others, the occurrence of certain bankruptcy events; the failure to make payments under the loan agreement when due; the occurrence of a material adverse change in our business, operations or condition; our breach of certain of our material agreements with third parties; the initiation of certain regulatory enforcement actions against us; and our breach of any covenant (subject to cure periods for certain covenants) made in the loan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Acquisition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1, 2015, we completed the acquisition of all of the outstanding capital stock of Park pursuant to a stock purchase agreement entered into in November 2014. At the closing of the Park acquisition, we paid an aggregate cash purchase price of $3,000, net of fees and expenses, which was subject to adjustment based on the final calculation of Park’s working capital and certain other financial information, and a $100 payment for cash remaining in a Park bank account, and we issued 63,525 shares of our common stock. In addition, we are obligated to make 12 quarterly cash payments of $53 each over the three years following January 1, 2015, totaling $638. The sellers of Park have the option to receive the last six of such quarterly payments, totaling up to an aggregate of $319, in the form of 6,749 shares of our common stock for each such payment.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period-to-period comparisons of our financial results are not necessarily indicative of results for the current period or any future period. In particular, our pharmacy operations activities commenced on April 1, 2014, and this change in the nature of our operations has had and is expected to continue to have a significant impact on our financial results. As a result, our results of operations in the periods after commencement of our pharmacy operations, including aggregate revenue and expense amounts and the apportionment of expenses among categories, have changed and are expected to continue to change as we further develop these operations. Further, as a result of our acquisitions of Pharmacy Creations, Park, CAP and any additional pharmacy acquisitions or other such transactions we may pursue, we may experience large expenditures specific to the transactions that are not incident to our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 the below discussion are expressed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2015 to the Three and Six Months Ended June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which we began to receive following our acquisitions of Pharmacy Creations and Park,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six months ended June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Variance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2540" w:type="dxa"/>
            <w:vAlign w:val="bottom"/>
            <w:tcBorders>
              <w:top w:val="single" w:sz="8" w:color="CCEEFF"/>
            </w:tcBorders>
            <w:shd w:val="clear" w:color="auto" w:fill="CCEEFF"/>
          </w:tcPr>
          <w:p>
            <w:pPr>
              <w:jc w:val="right"/>
              <w:ind w:right="1730"/>
              <w:spacing w:after="0"/>
              <w:rPr>
                <w:sz w:val="20"/>
                <w:szCs w:val="20"/>
                <w:color w:val="auto"/>
              </w:rPr>
            </w:pPr>
            <w:r>
              <w:rPr>
                <w:rFonts w:ascii="Arial" w:cs="Arial" w:eastAsia="Arial" w:hAnsi="Arial"/>
                <w:sz w:val="18"/>
                <w:szCs w:val="18"/>
                <w:b w:val="1"/>
                <w:bCs w:val="1"/>
                <w:color w:val="auto"/>
                <w:w w:val="83"/>
              </w:rPr>
              <w:t>Sales, net</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2540" w:type="dxa"/>
            <w:vAlign w:val="bottom"/>
          </w:tcPr>
          <w:p>
            <w:pPr>
              <w:jc w:val="right"/>
              <w:ind w:right="1150"/>
              <w:spacing w:after="0"/>
              <w:rPr>
                <w:sz w:val="20"/>
                <w:szCs w:val="20"/>
                <w:color w:val="auto"/>
              </w:rPr>
            </w:pPr>
            <w:r>
              <w:rPr>
                <w:rFonts w:ascii="Arial" w:cs="Arial" w:eastAsia="Arial" w:hAnsi="Arial"/>
                <w:sz w:val="18"/>
                <w:szCs w:val="18"/>
                <w:b w:val="1"/>
                <w:bCs w:val="1"/>
                <w:color w:val="auto"/>
                <w:w w:val="84"/>
              </w:rPr>
              <w:t>License revenues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30"/>
        </w:trPr>
        <w:tc>
          <w:tcPr>
            <w:tcW w:w="2540" w:type="dxa"/>
            <w:vAlign w:val="bottom"/>
            <w:tcBorders>
              <w:top w:val="single" w:sz="8" w:color="CCEEFF"/>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Following the acquisition of Pharmacy Creations on April 1, 2014, we began selling our proprietary compounded formulations and other non-proprietary pharmacy products and formulations and recognizing the associated revenues. On January 1, 2015, we acquired Park, which contributed $1,166 of the total $1,917 in revenues from sales of our proprietary compounded formulations and other non-proprietary formulations and products that we recognized during the three months ended June 30, 2015 and $2,201 of the total $3,479 in revenues for the six months ended June 30, 2015. During the three and six months ended June 30, 2015, we were able to increase sales of certain proprietary formulations and introduce new proprietary formulations compared to the same periods in the prior year. The table below describes certain classifications of our compounded drug formulations and other revenues: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Variance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Tri-Moxi and Tri-Moxi-Vanc</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b w:val="1"/>
                <w:bCs w:val="1"/>
                <w:color w:val="auto"/>
              </w:rPr>
              <w:t>Combination eye drops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HLA (including royalties)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37"/>
        </w:trPr>
        <w:tc>
          <w:tcPr>
            <w:tcW w:w="2540" w:type="dxa"/>
            <w:vAlign w:val="bottom"/>
          </w:tcPr>
          <w:p>
            <w:pPr>
              <w:spacing w:after="0"/>
              <w:rPr>
                <w:sz w:val="20"/>
                <w:szCs w:val="20"/>
                <w:color w:val="auto"/>
              </w:rPr>
            </w:pPr>
            <w:r>
              <w:rPr>
                <w:rFonts w:ascii="Arial" w:cs="Arial" w:eastAsia="Arial" w:hAnsi="Arial"/>
                <w:sz w:val="18"/>
                <w:szCs w:val="18"/>
                <w:b w:val="1"/>
                <w:bCs w:val="1"/>
                <w:color w:val="auto"/>
              </w:rPr>
              <w:t>Other revenues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2,375</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618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r>
      <w:tr>
        <w:trPr>
          <w:trHeight w:val="230"/>
        </w:trPr>
        <w:tc>
          <w:tcPr>
            <w:tcW w:w="2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License revenues were mostly related to royalty payments from legacy sub-licensees of HLA. $50 in royalty payments represented payments for over 56,750 milliliters of HLA dispensed (2,470 doses) from the sub-licensees from April 24, 2015 to June 30, 2015. We do not expect royalty revenues from HLA sales to continue beyond nominal amounts in the third quarter, as all legacy sub-licensees have transferred almost all of their existing customer bases and refill prescriptions to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cost of sales includes direct and indirect costs to manufacture formulations and sell product, including active pharmaceutical ingredients, personnel costs, packaging, storage, royalties, shipping and handling costs, the write-off of obsolete inventory and other related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six months ended June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420" w:type="dxa"/>
            <w:vAlign w:val="bottom"/>
            <w:gridSpan w:val="4"/>
          </w:tcPr>
          <w:p>
            <w:pPr>
              <w:jc w:val="center"/>
              <w:ind w:left="275"/>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7"/>
              </w:rPr>
              <w:t>Six months ended</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5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Variance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Variance</w:t>
            </w:r>
          </w:p>
        </w:tc>
      </w:tr>
      <w:tr>
        <w:trPr>
          <w:trHeight w:val="216"/>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acquisition of Pharmacy Creations on April 1, 2014, we began selling our proprietary compounded formulations and other non-proprietary pharmacy products and formulations and incurring the associated costs of such sales. On January 1, 2015, we acquired Park, to further our ability to sell our proprietary and non-proprietary compounded formulations, and thus increasing our associated costs of such sales. During the three and six months ended June 30, 2015, there was an increase of $574 and $1,581, respectively, in costs of sales as compared to the same period in the prior year. This increase is related to the increase in our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24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377"/>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1,630</w:t>
            </w:r>
          </w:p>
        </w:tc>
        <w:tc>
          <w:tcPr>
            <w:tcW w:w="900" w:type="dxa"/>
            <w:vAlign w:val="bottom"/>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began implementing commercialization efforts in the fourth quarter of 2013 and, following the acquisition of Pharmacy Creations on April 1, 2014, we began selling our proprietary compounded formulations and other non-proprietary pharmacy products and formulations. During the three and six months ended June 30, 2015, there was an increase of $1,161 and $1,816, respectively, in sales and marketing expenses as compared to the same period in the prior year. This increase is attributed to the hiring of additional commercialization personnel, the launch of our urology based marketing efforts, attendance at trade conferences and implementation of other various marketing activities, all related to our commercialization efforts for our proprietary compounded formulations.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three and six months ended June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Three months ended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Variance</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General and</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2,743</w:t>
            </w:r>
          </w:p>
        </w:tc>
        <w:tc>
          <w:tcPr>
            <w:tcW w:w="32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2,289</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5,223</w:t>
            </w:r>
          </w:p>
        </w:tc>
        <w:tc>
          <w:tcPr>
            <w:tcW w:w="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4,209</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1"/>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administrative</w:t>
            </w:r>
          </w:p>
        </w:tc>
        <w:tc>
          <w:tcPr>
            <w:tcW w:w="28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Arial" w:cs="Arial" w:eastAsia="Arial" w:hAnsi="Arial"/>
                <w:sz w:val="18"/>
                <w:szCs w:val="18"/>
                <w:color w:val="auto"/>
              </w:rPr>
              <w:t>32</w:t>
            </w: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vMerge w:val="continue"/>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3" w:name="page34"/>
    <w:bookmarkEnd w:id="33"/>
    <w:p>
      <w:pPr>
        <w:jc w:val="both"/>
        <w:ind w:firstLine="648"/>
        <w:spacing w:after="0" w:line="279" w:lineRule="auto"/>
        <w:rPr>
          <w:sz w:val="20"/>
          <w:szCs w:val="20"/>
          <w:color w:val="auto"/>
        </w:rPr>
      </w:pPr>
      <w:r>
        <w:rPr>
          <w:rFonts w:ascii="Arial" w:cs="Arial" w:eastAsia="Arial" w:hAnsi="Arial"/>
          <w:sz w:val="17"/>
          <w:szCs w:val="17"/>
          <w:color w:val="auto"/>
        </w:rPr>
        <w:t>For the three and six months ended June 30, 2015, there was an increase of $454 and $1,014, respectively, in general and administrative expenses as compared to the same periods in the prior year. The increase in general and administrative expenses is largely attributable to additional expenses related to and the result of the acquisitions of Pharmacy Creations and Park and the general increase of our operations, including hiring additional personnel, obtaining and maintaining state pharmacy licenses, incurring increased professional fees and other related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six months ended June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2460" w:type="dxa"/>
            <w:vAlign w:val="bottom"/>
            <w:gridSpan w:val="4"/>
          </w:tcPr>
          <w:p>
            <w:pPr>
              <w:jc w:val="right"/>
              <w:ind w:right="197"/>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25</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0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2015, there was a decrease of $11 and increase of $110, respectively, in research and development expenses as compared to the same periods in the prior year. The increase in research and development expenses for the six months ended June 30, 2015 compared to the same period in the prior year was primarily related to our sponsorship of investigator-initiated evaluations related to certain of our proprietary compounded formulations.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Interest income was $4 and $6 for the three and six months ended June 30, 2015, compared to $9 and $19 for the same periods in the prior year. The decrease was due to a lower average cash balance during the six months ended June 30, 2015 as compared to the same periods in the prior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$253 and $262 for the three and six months ended June 30, 2015, respectively, compared to $2 for the same periods in the prior year. The increase is primarily due to interest expense recognition related to the LSAF Loan, and also capital leases and deferred acquisition obligations related to the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for the three and six months ended June 30, 2015 was $(3,730) and $(6,823), or $(0.39) and $(0.72), basic and diluted net loss per share, respectively, compared to a net loss for the same periods in the prior year of $(2,596) and $(4,921) or $(0.28) and $(0.54), basic and diluted net loss per share,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dollar amounts in the below discussion are expressed in thousands.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cash on hand at June 30, 2015 was $10,051, compared to $12,102 at June 30, 2014. The decrease in cash on hand is primarily attributable to use of cash to support our operations and acquire Pharmacy Creations and Park. Since inception through June 30, 2015, we have incurred aggregate losses to common stockholders of $(48,688). These losses are primarily due to selling, general and administrative and research and development expenses incurred in connection with developing and seeking regulatory approval for our former drug candidate, Impracor, which activities we have now discontinued. Historically, our operations have been financed through capital contributions and debt and equity financings.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six months ended June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For the Six</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For the Six</w:t>
            </w:r>
          </w:p>
        </w:tc>
      </w:tr>
      <w:tr>
        <w:trPr>
          <w:trHeight w:val="230"/>
        </w:trPr>
        <w:tc>
          <w:tcPr>
            <w:tcW w:w="4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Months Ended</w:t>
            </w:r>
          </w:p>
        </w:tc>
      </w:tr>
      <w:tr>
        <w:trPr>
          <w:trHeight w:val="241"/>
        </w:trPr>
        <w:tc>
          <w:tcPr>
            <w:tcW w:w="4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 2015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2014</w:t>
            </w: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(3,213)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(751)</w:t>
            </w:r>
          </w:p>
        </w:tc>
      </w:tr>
      <w:tr>
        <w:trPr>
          <w:trHeight w:val="25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60" w:type="dxa"/>
            <w:vAlign w:val="bottom"/>
            <w:shd w:val="clear" w:color="auto" w:fill="CCEEFF"/>
          </w:tcPr>
          <w:p>
            <w:pPr>
              <w:spacing w:after="0"/>
              <w:rPr>
                <w:sz w:val="21"/>
                <w:szCs w:val="21"/>
                <w:color w:val="auto"/>
              </w:rPr>
            </w:pPr>
          </w:p>
        </w:tc>
      </w:tr>
      <w:tr>
        <w:trPr>
          <w:trHeight w:val="203"/>
        </w:trPr>
        <w:tc>
          <w:tcPr>
            <w:tcW w:w="46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1,840</w:t>
            </w: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(3,477)</w:t>
            </w:r>
          </w:p>
        </w:tc>
        <w:tc>
          <w:tcPr>
            <w:tcW w:w="80" w:type="dxa"/>
            <w:vAlign w:val="bottom"/>
            <w:tcBorders>
              <w:top w:val="single" w:sz="8" w:color="CCEEFF"/>
            </w:tcBorders>
            <w:gridSpan w:val="2"/>
          </w:tcPr>
          <w:p>
            <w:pPr>
              <w:spacing w:after="0"/>
              <w:rPr>
                <w:sz w:val="17"/>
                <w:szCs w:val="17"/>
                <w:color w:val="auto"/>
              </w:rPr>
            </w:pPr>
          </w:p>
        </w:tc>
      </w:tr>
      <w:tr>
        <w:trPr>
          <w:trHeight w:val="25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8,211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15,579</w:t>
            </w:r>
          </w:p>
        </w:tc>
        <w:tc>
          <w:tcPr>
            <w:tcW w:w="60" w:type="dxa"/>
            <w:vAlign w:val="bottom"/>
            <w:shd w:val="clear" w:color="auto" w:fill="CCEEFF"/>
          </w:tcPr>
          <w:p>
            <w:pPr>
              <w:spacing w:after="0"/>
              <w:rPr>
                <w:sz w:val="21"/>
                <w:szCs w:val="21"/>
                <w:color w:val="auto"/>
              </w:rPr>
            </w:pPr>
          </w:p>
        </w:tc>
      </w:tr>
      <w:tr>
        <w:trPr>
          <w:trHeight w:val="217"/>
        </w:trPr>
        <w:tc>
          <w:tcPr>
            <w:tcW w:w="4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period</w:t>
            </w: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10,051</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$(5,447) for the six months ended June 30, 2015, as compared to $(3,209) used in operating activities during the same period in the prior year. The increase in net cash used in operating activities was mainly due to expanding our operations, including hiring additional personnel, commercialization and marketing activities related to our proprietary formulations, prescription fulfillment activities and other related undertakings.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2015 and 2014 was $(3,213) and $(751), respectively. The increase in cash used in investing activities during the six months ended June 30, 2015 was primarily related to the acquisition of Park.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2015 and 2014 was $10,500 and $483, respectively. The cash provided by financing activities during the six months ended June 30, 2015 is primarily attributable to proceeds from the LSAF Loan entered in May 2015, and the proceeds received from cash exercises of warrants. The cash provided by financing activities during the six months ended June 30, 2014 is primarily attributable to cash exercises of stock options and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 and Sources of Capital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date of this Quarterly Report, we believe that cash and cash equivalents and restricted investments of approximately $10,201 at June 30, 2015, together with expected future revenues and expenses, will be sufficient to sustain our planned level of operations for at least the next 12 months. However, our plans for this period may change, our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to pursue our business plan, including the development and commercialization of our compounded formulations and technologies and the integration and expansion of our pharmacy operations, to pursue potential future strategic transactions, including the construction of an outsourcing facility and potential pharmacy and outsourcing facilities acquisitions, and to otherwise fund our operations. We expect additional funds would be required if we pursue the acquisition of additional compounding pharmacies or outsourcing facilities, conduct any clinical trials or any other studies that may be required to obtain FDA regulatory approval to market any potential product candidates, pursue additional development programs or explore other development opportunities.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have the option, if we satisfy certain revenue milestones, to obtain in May 2016 an additional $5,000 of debt proceeds under our loan agreement. We also could seek additional financing from a variety of sources, including equity or debt financing, funding from a corporate partnership or licensing arrangement,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operational covenants included in our May 2015 loan agreement.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ind w:firstLine="648"/>
        <w:spacing w:after="0" w:line="293"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in future periods, general economic conditions and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on a timely basis, then we may be forced to forego pursuit of potentially valuable development or acquisition opportunities, we may not be able to pursue any or all elements of our business plan and we may be required to cease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and the debt discount are recorded net of note payable in the condensed consolidated balance sheet. Amortization expense of debt issuance costs and the debt discount is calculated using the interest method over the term of the debt and is recorded in interest expense in the accompanying condensed consolidated statement of operations.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2015, there were no other material changes to the “Critical Accounting Policies” discussed in Part II, Item 7 (Management’s Discussion and Analysis of Financial Condition and Results of Operations) of our 2014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2015. Based on this evaluation, our principal executive officer and principal financial officer have concluded that our disclosure controls and procedures were effective to achieve their stated purpose as of June 30, 2015,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June 30, 2015,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incurred losses in every year of our operations, including net losses of $(10.1 million) for the year ended December 31, 2014. As of June 30, 2015, our accumulated deficit was $(48.7 million). On June 26, 2011, we suspended our operations and filed a voluntary petition for reorganization relief under Chapter 11 of the U.S. Bankruptcy Code in the U.S. Bankruptcy Court for the Southern District of California (the “Bankruptcy Court”), Case No. 11-10497-11 (the “Chapter 11 Case”). On December 8, 2011, the Bankruptcy Court entered an order dismissing the Chapter 11 Case following our entry into a line of credit agreement and securities purchase agreement with DermaStar International, LLC. Since the dismissal of the Chapter 11 Case, we have focused on resuming our operations and developing and implementing our business plan. We expect to incur increasing operating losses for the foreseeable future as we continue to incur costs for commercialization activities and research and development. Although we have been generating revenue from our pharmacy operations following the closing of our acquisitions of Pharmacy Creations, LLC (“Pharmacy Creations”) on April 1, 2014, South Coast Specialty Compounding, Inc. D/B/A Park Compounding (“Park”) on January 1, 2015, and JT Pharmacy, Inc. D/B/A Central Allen Pharmacy (“CAP”) on August 4, 2015, our ability to generate significant revenues and achieve profitability will depend on a number of factors, including our ability, alone or with others, to identify promising development opportunities and implement appropriate commercialization strategies, develop and commercialize our proprietary compounded formulations, interest physicians and health care organizations in our proprietary formulations, successfully market and sell these formulations, integrate and operate Pharmacy Creations, Park and any other pharmacies or outsourcing facilities we may build or acquire in the future, establish a network of pharmacies with a broad geographic footprint, and comply with federal and state laws related to pharmaceutical compounding and, if applicable, U.S. Food and Drug Administration (“FDA”) regulations for any formulations for which we pursue FDA approval, as well as the other risk factors described in this Item 1A, many of which are outside of our direct control. These activities are costly and susceptible to failure, and we may never be able to achieve or sustain market acceptance of any of our proprietary formulations, generate sufficient revenue to support our business from our pharmacy operations, or reach the level of sales and revenues necessary to achieve and sustain profitability.</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aim to sell certain of our proprietary formulations primarily through a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key aspect of our business strategy is to establish a compounding pharmacy network, whether through acquisitions, establishing new pharmacies or entering into licensing arrangements with third-party pharmacies, through which we can market and sell our proprietary formulations and other non-proprietary products in all 50 states. On April 1, 2014, we completed the acquisition of Pharmacy Creations, a New Jersey-based compounding pharmacy, on January 1, 2015, we completed the acquisition of Park, a California-based compounding pharmacy, and on August 4, 2015 we completed the acquisition of CAP, a Texas-based compounding pharmacy, collectively through which we have rights to dispense formulations in 44 states. Additionally, in February 2015, we entered into a lease agreement for space in New Jersey and began construction efforts to build this space into an outsourcing facility, which we expect to be completed at the end of the fourth quarter of 2015. We have limited experience acquiring, building or operating compounding pharmacies or other prescription dispensing facilities or commercializing our formulations through ownership of or licensing arrangements with pharmacies. We expect to expand our operations and personnel in the pharmacy operations area in order to further develop this compounding pharmacy network, but we may experience difficulties implementing this strategy, including difficulties that arise as a result of our lack of experience, and we may be unsuccessful. For instance, we may not be successful in our efforts to integrate, manage or otherwise realize the benefits we expect from our acquisitions of Pharmacy Creations, Park, CAP or any additional pharmacy businesses or outsourcing facilities we seek to acquire or build in the future, we may not be able to satisfy applicable federal and state licensing and other requirements for any such pharmacy businesses in a timely manner or at all, changes to state and federal pharmacy regulations may restrict compounding operations or make them more costly, we may be unable to achieve a sufficient physician and patient customer base to sustain our pharmacy operations, and we may not be able to enter into licensing or other arrangements with third-party pharmacies or outsourcing facilities when desired, on acceptable terms, or at all. Moreover, all such efforts to expand our pharmacy operations and establish a pharmacy network will involve significant costs and other resources, which we may not be able to afford, disrupt our other operations and distract management and our other employees from other aspects of our business. Our business could materially suffer if we are unable to further develop this pharmacy network and, even if we are successful, we may be unable to generate sufficient revenue to recover our costs.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expect to distribute our proprietary formulations through compounding pharmacies. Formulations prepared and dispensed by compounding pharmacies contain FDA-approved ingredients, but are not themselves approved by the FDA. As a result, our formulations have not undergone the FDA approval process and only limited data, if any, may be available with respect to the safety and efficacy of our formulations for any particular indication. In addition, certain compounding pharmacies have been the subject of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these non-FDA approved compounded formulations, particularly when an FDA-approved alternative is available. Other reasons physicians may be unwilling to prescribe or patients may be unwilling to use our proprietary customizable compounded formulations could include the following, among others: we are limited in our ability to discuss the efficacy or safety of our formulations with potential purchasers of our formulations to the extent applicable data is available; our pharmacy operations are primarily operating on a cash-pay basis and reimbursement may or may not be available from third-party payors, including the government Medicare and Medicaid programs; and our formulations are not presently being prepared in a manufacturing facility governed by current good manufacturing practice (“cGMP”) requirements. Any failure by physicians, patients and/or third-party payors to accept and embrace compounded formulations could substantially limit our market and cause our operations to suffer.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receive sufficient revenue through Pharmacy Creations, Park, CAP or other compounding pharmacies we may acquire or develop or with which we may partner to fund our operations and recover our development costs.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plan involves the preparation and sale of our proprietary formulations through a network of compounding pharmacies and outsourcing facilities. We are in the process of establishing an internal sales force to pursue marketing and sales of our proprietary and other formulations in the states in which Pharmacy Creations, Park and CAP are authorized to operate under federal and state pharmacy laws. We are also pursuing additional strategic transactions to broaden our geographic reach, including our plans to open our own outsourcing facility in New Jersey, which is currently under construction that we expect to be completed in the fourth quarter of 2015. We have limited experience operating pharmacies and commercializing compounded formulations and we may be unable to successfully manage this business or generate sufficient revenue to recover our development costs and operational expenses.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have only limited success in marketing and selling our proprietary formulations through any network of compounding pharmacies we may develop. Because any of our formulations being commercialized through a compounding pharmacy distribution model will not have obtained FDA approval, only limited data will be available, if any, with respect to the safety and efficacy of our formulations for any particular indication, and we will be subject to regulatory limitations with respect to the information we can provide regarding the safety and efficacy of our formulations even if such data is available. As a result, physicians may not be interested in prescribing our formulations to their patients, and we may not generate significant revenue from sales of our proprietary formulations and other products. In addition, we are substantially dependent on Pharmacy Creations, Park, CAP and any other pharmacies or prescription dispensing facilities we acquire or develop and any pharmacy partners with which we may contract to compound and sell our formulations in sufficient volumes to accommodate the number of prescriptions they receive. We may be unable to acquire, build or enter into agreements with pharmacies or outsourcing facilities of sufficient size, reputation and quality to implement our business plan, and our pharmacy partners may be unable to compound our formulations successfully. If physicians and healthcare organizations were to request our formulations in quantities our pharmacies or pharmacy partners are unable to fill, our business would suffer.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our proprietary formulations are comprised of active pharmaceutical ingredients that are components of drugs that have received marketing approval from the FDA, although our proprietary compounded formulations have not themselves received FDA approval. FDA approval of a compounded formulation is not required in order to market and sell the compounded formulations, although in select instances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in advance of receiving a patient-specific prescription, prohibitions on compounding drugs that are essentially copies of FDA-approved drugs, prohibitions on compounding drug products for office use without a prescription for an individually identified patient, limitations on the volume of compounded formulations that may be sold across state lines, and prohibitions on wholesaling or reselling. These and other restrictions on the activities of compounding pharmacies may significantly limit the market available for compounded formulations, as compared to the market available for FDA-approved drugs.</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business is impacted by federal and state laws and regulations governing, among other things: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the Health Insurance Portability and Accountability Act (“HIPAA”) and other state and federal laws related to the use, disclosure and transmission of health information; state and federal controlled substance laws; and statutes and regulations related to FDA approval for the sale and marketing of new drugs and medical devices.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as well as federal and state agency interpretations of such statutes and regulations. Such statutory or regulatory changes could require that we make changes to our business model and operations and/or could require that we incur significantly increased costs in order to comply with such regulations.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Pharmacy Creations, Park, CAP or any other pharmacy or outsourcing facility we acquire or build or with which we partner fails to comply with the Controlled Substances Act, FDCA, or state statutes and regulations, the pharmacy could be required to cease operations or become subject to restrictions that could adversely affect our business.</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and subject pharmacies to oversight by state boards of pharmacy and other regulators that could impose burdensome requirements or restrictions on operations if a pharmacy is found not to comply with these laws. For example, on May 14, 2014, Pharmacy Creations entered into a voluntary interim consent order with the Office of the Attorney General of the State of New Jersey and New Jersey State Board of Pharmacy related to its sterile compounding activities, pursuant to which Pharmacy Creations has agreed to conduct four additional mandatory third-party inspections by August 2015. Completing these additional third-party inspections will involve significant additional costs to us and will distract management and Pharmacy Creations employees from other aspects of our business. This consent order is not a disciplinary action or sanction or an admission of liability on the part of the pharmacy, and we believe that Pharmacy Creations is in material compliance with applicable regulatory requirements. However, if Pharmacy Creations, Park or CAP fails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such noncompliance could also result in complaints or adverse actions by respective state boards of pharmacy, FDA inspection of the facility to determine compliance with the U.S. Food Drug and Cosmetic Act (“FDCA”),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 Although we ultimately expect to distribute our proprietary formulations through a network of compounding pharmacies, we may not be successful in establishing such a network and the loss or limitation of Pharmacy Creation’s, Park’s and CAP’s ability to compound sterile formulations would have an immediate adverse impact on our ability to successfully and timely implement our business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648"/>
        <w:spacing w:after="0" w:line="287" w:lineRule="auto"/>
        <w:rPr>
          <w:sz w:val="20"/>
          <w:szCs w:val="20"/>
          <w:color w:val="auto"/>
        </w:rPr>
      </w:pPr>
      <w:r>
        <w:rPr>
          <w:rFonts w:ascii="Arial" w:cs="Arial" w:eastAsia="Arial" w:hAnsi="Arial"/>
          <w:sz w:val="16"/>
          <w:szCs w:val="16"/>
          <w:color w:val="auto"/>
        </w:rPr>
        <w:t>Many of the states into which Pharmacy Creations, Park and CAP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Further, under federal law, Section 503A of the FDCA seeks to limit the amount of compounded products that a pharmacy can dispense interstate. The interpretation and enforcement of that provision is dependent on the FDA entering into a memorandum of understanding (“MOU”) with each state setting forth limits on interstate compounding. In February 2015, the FDA presented a draft MOU that, if adopted and signed by states would limit the amount of interstate units dispensed from a compounding pharmacy to 30% of all compounded and non-compounded units dispensed or distributed by the pharmacy per month. This MOU, if adopted and signed by states, and any other state laws or requirements that may be enacted that prohibit or restrict the interstate operations of pharmacies could involve significant additional costs to us in order to sell compounded formulations in certain states and could limit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many competitive risks related to marketing and selling our proprietary formulations and operating a compounding pharmacy business.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United States Pharmacopoeia (“USP”) &lt;795&gt; and USP &lt;797&gt; and applicable state and federal law, our proprietary compounded formulations are not required to be, and have not been, approved for marketing and sale by the FDA and, as a result, some physicians may be unwilling to prescribe, and some patients may be unwilling to use, our formulations. Additionally, under state and federal laws applicable to compounding pharmacies,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As a result,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if any,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to raise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that may limit the success of our proprietary formulations include the size of the market for such products, which could be smaller than we expect, the timing of market entry relative to competitive products, the availability of alternative compounded formulations or approved drugs, the price of our formulations and services relative to these alternative products, the availability of third-party reimbursement and the success of our sales and marketing efforts.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or reputational harm.</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our business, including our proprietary formulations and pharmacy operations, is highly dependent upon medical and patient perceptions of us and the safety and quality of our products. We could be adversely affected if we, any other compounding pharmacies or our formulations and technologies are subject to negative publicity. We could also be adversely affected if any of our formulations or technologies, any similar products sold by other companies, or any products sold by other compounding pharmacies prove to be, or are asserted to be, harmful to patients. For instance, to the extent any of the components of approved drugs or other ingredients used by Pharmacy Creations and Park to produce our compounded formulations have quality or other problems that adversely affect the finished compounded preparations, our business could be adversely affected. Also, because of our dependence upon medical and patient perceptions, any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648"/>
        <w:spacing w:after="0" w:line="287" w:lineRule="auto"/>
        <w:rPr>
          <w:sz w:val="20"/>
          <w:szCs w:val="20"/>
          <w:color w:val="auto"/>
        </w:rPr>
      </w:pPr>
      <w:r>
        <w:rPr>
          <w:rFonts w:ascii="Arial" w:cs="Arial" w:eastAsia="Arial" w:hAnsi="Arial"/>
          <w:sz w:val="16"/>
          <w:szCs w:val="16"/>
          <w:color w:val="auto"/>
        </w:rPr>
        <w:t>To assure compliance with USP guidelines, we have implemented a policy whereby 100% of all sterile compound batches produced by Pharmacy Creations, Park and CAP are tested both in-house and externally prior to their delivery to patients and physicians by an independent, FDA 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such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Pharmacy Creations, Park, CAP, or any other acquired or developed pharmacy or pharmacy partner, our reputation may suffer, physicians may be unwilling to prescribe our proprietary formulations or order any prescriptions from such pharmacies, we may become subject to product and professional liability lawsuits, or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obtain insurance coverage that will be adequate to satisfy any liability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Pharmacy Creations, Park and CAP operate on mostly a cash-pay basis and do not submit large amounts of claims for reimbursement through Medicare, Medicaid or other third-party payors, although our customers may choose to seek available reimbursement opportunities to the extent that they exist. We are currently in communications with third-party public and private payors regarding potential reimbursement options for certain of our proprietary formulations, but we may be unsuccessful in these efforts. Many third-party payors have imposed significant restrictions on reimbursement for compounded formulations in recent years. Additionally, even if we were to pursue and obtain FDA-approval for a particular product candidate, significant uncertainty exists as to the reimbursement status of newly approved health care products.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As a result, reimbursement from insurance companies and other third-party payors may never be available for any of our products or, if available, it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estimates of our future operating and capital expenditures are based upon our current business plan, the anticipated expenses associated with our Pharmacy Creations, Park and CAP operations and our current expectations regarding the commercialization of our proprietary formulations. Our projections have varied significantly in the past as a result of changes to our business model and strategy, including our discontinuation of our historical Impracor program in November 2013 and our acquisitions of Pharmacy Creations, Park, CAP and various product development opportunities. We have limited experience operating a pharmacy and commercializing compounded formulations, and we may not accurately estimate expenses and potential revenue associated with these activities. Additionally, our operating expenses may fluctuate significantly as a result of a variety of factors, including those discussed in this Item 1A, some of which are outside of our direct control. If we are unable to correctly estimate the amount of cash necessary to fund our business, we could spend our available financial resources much faster than we currently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b w:val="1"/>
          <w:bCs w:val="1"/>
          <w:i w:val="1"/>
          <w:iCs w:val="1"/>
          <w:color w:val="auto"/>
        </w:rPr>
        <w:t>Historically we have relied on third party relationships to assist in our identification, research, assessment and acquisition of new formulations. If we do not successfully identify and acquire rights to potential formulations and successfully integrate them into our operations, our growth opportunities may be limited.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our acquisition of Pharmacy Creations, Park and CAP to provide us with limited research and development support and access to additional novel compounded formulations. However, we have historically relied, and we expect to continue to rely, primarily upon third parties to provide us with additional opportunities. In 2013, we entered into three asset purchase agreements for development opportunities as a result of referrals from Professional Compounding Centers of America (PCCA) pursuant to our strategic alliance agreement with PCCA. Although the term of the strategic alliance agreement currently extends until February 18, 2016 and automatically extends for successive one year periods unless either party provides notice of non-renewal, we do not expect to obtain additional referrals and development opportunities through PCCA. In October 2014, we entered into a license agreement with Urigen Pharmaceuticals, Inc. that provides us with, in exchange for certain royalty and diligence obligations, development and commercialization rights in the U.S. with respect to our patented formulation of heparin and alkalinized lidocaine for the prevention and treatment of lower urinary tract disorders. We may seek to enter into similar arrangements with other third parties and for other formulations in the future, but only if we are able to identify attractive formulations and negotiate agreements with their owners on terms acceptable to us, which we may not be able to do. If we are unable to utilize Pharmacy Creations, Park, CAP and our current and future relationships with pharmacists, physicians and other inventors to provide us with additional development opportunities, our growth opportunities may be limited. Moreover, we have limited resources to acquire additional potential product development assets and integrate them into our business and acquisition opportunities may involve competition among several potential purchasers, which could include large multi-national pharmaceutical companies and other competitors that have access to greater financial resources than we do.</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pharmacist, physician and research consultants and advisors also provide us with significant assistance in our evaluation of product development opportunities. These third parties generally engage in other business activities and may not devote sufficient time and attention to our research and development activities. If these third parties were to terminate their relationships with us, we may be unable to find other, equally qualified consultants and advisors on commercially reasonable terms or at all, and we may have significant difficulty evaluating potential opportunities and developing and commercializing existing or any new product candidates. As a result, we face financial and operational risks and uncertainties in connection with any future product or technology acquisitions, and those we do complete may not be beneficial to us in the long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future results of operations will depend to a significant extent upon our ability to successfully develop and commercialize in a timely manner any of the assets we have acquired or to which we may acquire rights in the future. Since May 2013, we have entered into three asset purchase agreements for assets related to compoundable formulations and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There are numerous difficulties and risks inherent in acquiring, developing and commercializing new formulations and product candidates, including the risks identified in this Item 1A.</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Once we determine to pursue a potential product candidate, we develop a commercialization strategy for the product candidate. These commercialization strategies could include, among others, marketing and selling the formulation in compounded form through compounding pharmacies, or pursuing FDA approval of the product candidate. We may incorrectly assess the risks and benefits of our commercialization options with respect to one or more formulations or technologies, and we may not pursue a successful commercialization strategy. If we are unable to successfully commercialize one or more of our proprietary formulations, our operating results would be adversely affected. Even if we are able to successfully sell one or more proprietary formulations, we may never recoup our investment.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participate in strategic transactions that could impact our liquidity, increase our expenses and distract our management.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consider strategic transactions, such as out-licensing or in-licensing of compounds or technologies, acquisitions of companies, and asset purchases. Additional potential transactions we may consider include a variety of different business arrangements,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charges specific to the transaction and not incident to our operations, may increase our near- and long-term expenditures, may pose significant integration challenges, and may require us to hire or otherwise engage personnel with additional expertise,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648"/>
        <w:spacing w:after="0" w:line="255" w:lineRule="auto"/>
        <w:rPr>
          <w:sz w:val="20"/>
          <w:szCs w:val="20"/>
          <w:color w:val="auto"/>
        </w:rPr>
      </w:pPr>
      <w:r>
        <w:rPr>
          <w:rFonts w:ascii="Arial" w:cs="Arial" w:eastAsia="Arial" w:hAnsi="Arial"/>
          <w:sz w:val="18"/>
          <w:szCs w:val="18"/>
          <w:color w:val="auto"/>
        </w:rPr>
        <w:t>As part of our efforts to complete any significant transaction, we would need to expend significant resources to conduct business, legal and financial due diligence, with the goal of identifying and evaluating material risks involved in the transaction. Despite our efforts, we may be unsuccessful in ascertaining or evaluating all such risks and, as a result, we may not realize the expected benefits of any such transaction, whether due to unidentified risks, integration difficulties, regulatory setbacks or other events, and we may incur material liabilities for the past activities of acquired businesses. If any of these events were to occur, we could be subject to significant costs and damage to our reputation and our business, results of operations and financial condition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indebtedness, which will require substantial cash to service and which subjects our business to certain restrictions.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11, 2015, we incurred $10 million of indebtedness under a loan agreement with IMMY Funding LLC, an affiliate of Life Sciences Alternative Funding LLC, with the potential to incur, at our option, an additional $5 million of indebtedness thereunder if we achieve certain revenue milestones on or before May 11, 2016. We are obligated to pay interest on the principal amount of the loans at a fixed per-annum rate of 12.5% and we are permitted to pay interest only for the first three years, after the end of the interest-only period, we will be required to pay interest, plus repayments of the principal amount of the loans, in 36 equal monthly installments. The interest-only period may be reduced to 20 months if we do not meet certain minimum revenue or cash balance requirements, and after the end of the interest-only period, we would be required to pay interest, plus repayments of the principal amount of the loans, in 24 equal monthly installments. All amounts owed under the loan agreement, including a final fee of 5% of the aggregate principal amount of the loans, will be due on the earlier of May 11, 2021 or 24 months after the end of the interest-only period. We expect our interest payment obligations under the loan agreement to total approximately $0.6 million for our 2015 fiscal year. The loans are secured by substantially all of our personal property, rights and assets, including our intellectual property rights.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capital through equity sales on terms that may be onerous or highly dilutive. If we desire to refinance our indebtedness, our ability to do so will depend on the capital markets and our financial condition at such time. We may not be able to engage in any of these activities or engage in these activities when needed or on desirable terms, which could result in a default on our debt obligations. Additionally, our loan agreement contains various restrictive covenants, including, among others, our obligation to deliver to the lender certain financial and other information, our obligation to comply with certain notice and insurance requirements, and our inability, without the lender’s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loan agreement when due, would cause us to be in default under the loan agreement. In the event of any such default, the lender may be able to foreclose on our assets that secure the loans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only recently started generating cash from operations, but we do not presently receive sufficient revenues to support our operations. Although we believe we have sufficient cash reserves to operate our business for at least the next 12 months, we will need significant additional capital to execute our business plan and fund our proposed business operations. Additionally, our plans for this period may change, our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raised over $30 million in funds through equity and debt financings since April 2012, including $10 million, net of expenses, of debt proceeds received in May 2015 under our loan agreement. In addition, we may have the option, if we satisfy certain revenue milestones, to obtain in May 2016 an additional $5 million of debt proceeds under our loan agreement. We also may seek to obtain additional capital through additional equity or debt financings, funding from corporate partnerships or licensing arrangements, sales of assets or other financing transactions. If additional capital is not available when necessary and on acceptable terms, we may need to forego pursuit of potentially valuable development or acquisition opportunities, we may not be able to continue to operate our business pursuant to our business plan or we may be forced to discontinue our operations entirely.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be required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operational covenants included in our May 2015 loan agreement.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started to build an internal sales and marketing infrastructure to implement our business plan by developing internal sales teams and education campaigns to market our proprietary ophthalmology and urology formulations. We will need to expend significant resources to further establish and grow this internal infrastructure and properly train sales personnel with respect to regulatory compliance matters. We may also choose to engage third parties to provide sales and marketing services for us, either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we may be unable to sell our formulations or services or generate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and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such cybersecurity or system failure, accident or breach to date, if such an event were to occur, it could result in a material disruption of our operations, substantial costs to rectify or correct the failure, if possible, and potentially violation of HIPAA and other privacy laws applicable to our pharmacy operations. If any disruption or security breach resulted in a loss of or damage to our data or applications or inappropriate disclosure of confidential or proprietary information, we could incur liability, further development of our proprietary formulations could be delayed, and our pharmacies could be disrupted, subject to restriction or forced to terminate their operations, any of which could severely harm our business and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demonstrate the safety and efficacy or obtain FDA regulatory approval to market and sell any product candidates for which we seek FDA approval.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Although our current business strategy is focused on developing and commercializing product opportunities as compounded formulations, we may choose to seek FDA regulatory approval to market and sell one or more of our assets as a FDA-approved drug. The process of obtaining FDA approval to market and sell pharmaceutical products is costly, time consuming, uncertain and subject to unanticipated delays. If we choose to pursue FDA approval for one or more product candidates, the FDA or other regulatory agencies may not approve the product candidate on a timely basis or at all. Before we could obtain FDA approval for the sale of any of our potential product candidates, we would be required to demonstrate through preclinical studies and clinical trials that the product candidate is safe and effective for each intended use. Preclinical and clinical studies may fail to demonstrate the safety and efficacy of our potential product candidates. Even promising results from preclinical and early clinical studies do not accurately predict positive results in later, large-scale trials.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with respect to its distribution, which could reduce revenue potential, and we would be subject to extensive and costly post-approval requirements and oversight with respect to our commercialization of the product candidate.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or the termination of, any clinical and non-clinical trials for any product candidates for which we seek FDA approval could adversely affect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our product development costs and business plan with respect to any product candidate for which we seek FDA approval. For example, we experienced significant difficulties and delays with respect to initiating our now-terminated former Phase 3 clinical trial for Impracor.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with clinical research organizations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formulations.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do not employ personnel or possess the facilities necessary to conduct many of the activities associated with our non-clinical research activities or any clinical programs we may pursue in the future. We have engaged and expect to continue to engage consultants, advisors, CROs and others to design, conduct, analyze and interpret the results of studies in connection with the research and development of our products. In addition, we have in the past provided and expect to continue to provide grants to physicians and other healthcare organizations to support investigator-initiated studies of our proprietary formulations. We generally have only very limited contractual rights in connection with the conduct of these studies. In addition, if we were to participate in clinical trials conducted under an investigator-sponsored new drug application approved by the FDA, correspondence and communication with the FDA pertaining to these trials would strictly be between the investigator and the FDA. The communication and information provided by the investigator may not be appropriate and accurate, which could result in reviews, audits, delays or clinical holds by the FDA that affect the timelines for these studies and potentially risk the completion of these trials. As a result, many important aspects of any studies of our proprietary formulations and clinical or non-clinical trials we determine to pursue are not in our direct control.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third parties we engage to perform these activities fail to devote sufficient time and resources to our studies, or if their performance is substandard, it would delay the introduction of our proprietary formulations to the market or the approval of our applications by regulatory agencies. Failure of these third parties to meet their obligations could adversely affect the development of our proprietary formations and product candidates and, as a result,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if we successfully develop any product candidate into an FDA-approved drug, we would be subject to extensive continuing regulatory requirements and review, including review of adverse drug experiences and clinical results from any post-marketing tests or continued actions required as a condition of approval. The manufacturer and manufacturing facilities we would use to produce any such drug preparations would be subject to periodic review and inspection by the FDA, and we would be reliant on these third parties to maintain their manufacturing processes in compliance with FDA and all other applicable regulatory requirements. Any changes to a product that may have achieved approval, including the way it is manufactured or promoted, would often require FDA approval before the product, as modified, could be marketed and sold. In addition, we and our contract manufacturers would be subject to ongoing FDA requirements for submission of safety and other post-market information. If we or our contract manufacturers failed to comply with these or any other applicable regulatory requirements, a regulatory agency may, among other things, issue warning letters, impose civil or criminal penalties, suspend or withdraw regulatory approval, impose restrictions on our operations, close the facilities of our contract manufacturers, seize or detain products or require a product recall.</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We also would be required to submit information on any open and completed clinical trials to public registries and databases. Failure to comply with these requirements could expose us to negative publicity, fines and penalties that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not pursuing further development of Impracor, our historical product candidate, and we do not expect to receive any revenue from Impracor.</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Historically, our business was focused on developing and commercializing our product candidate Impracor under the regulatory pathway provided by Section 505(b)(2) of the FDCA. In August 2013, our contract manufacturer for the materials to be used in a proposed Phase 3 clinical trial of Impracor notified us that such materials had demonstrated out of specification and decreasing stability test results, which we believe could likely have resulted in the materials being unusable for the duration of the trial. After considering the totality of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we have discontinued the previously planned Phase 3 trial for Impracor and terminated all development programs for Impracor. We do not at this time expect to identify or pursue a successful commercialization pathway for Impracor. Even if we were to pursue commercialization of Impracor or sell compounded formulations utilizing the Impracor technology through our pharmacy operations, we would not expect to achieve sales and revenues necessary to recover our historical costs associated with the Impracor development program.</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prevent third parties from infringing upon our proprietary rights. We must also operate without infringing upon patents and proprietary rights of others, including by obtaining appropriate licenses to patents or proprietary rights held by third parties if necessary. We will only be able to protect our formulations and technologies from unauthorized use by third parties to the extent that valid and enforceable patents cover them. As of July 31, 2015, we owned 12 U.S. patent applications, including eight utility and four provisional patent applications, and we owned five international patent applications filed under the Patent Cooperation Treaty. However, the applications we have filed or may file in the future may never yield patents that protect our inventions and intellectual property assets. Failure to obtain patents that cover our formulations and technologies would limit our protection against other compounding pharmacies and outsourcing facilities, generic drug manufacturers, pharmaceutical companies and other parties who may seek to copy or otherwise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patent and intellectual property positions of pharmacies and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to which we have acquired rights. In addition, we cannot be certain that patents issued to us will not be challenged, invalidated, infringed or circumvented, including by our competitors, or that the rights granted thereunder will provide competitive advantages to us.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our contract manufacturing organizations or our other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While we have filed five international patent applications under the Patent Cooperation Treaty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 These products may compete with ours and may not be covered by any of our patent claims or other intellectual property rights.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file international patent applications for any of our current or future proprietary formulations and patents are issued or approved, it is likely that the scope of protection provided by such patents would be different from, and possibly less than, the scope provided by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party from infringing any of our intellectual property rights. Even if we have patents issued in these jurisdictions, our patent rights may not be sufficient to prevent generic competition. Moreover, attempting to enforce our patent rights in foreign jurisdictions could result in substantial costs and divert our efforts and attention from other aspects of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affected products. Patent litigation is costly and time consuming and may divert management’s attention and our resources. We may not have sufficient resources to bring any such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CEO, Mark L. Baum, for the continued growth and development of our Company.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CEO,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do not have key man insurance for Mr. Baum.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terminated all of our employees following our filing of the Chapter 11 Case. Since the dismissal of the Chapter 11 Case in December 2011, we have developed a new business model and have focused on rebuilding our management, pharmacy, research and development, sales and marketing and other personnel in order to pursue this business model. However, because of our history, we may have significant difficulty attracting and retaining necessary employees. In addition, because of the specialized nature of our business, our ability to develop products and to compete will remain highly dependent upon our ability to attract and retain qualified pharmacy, scientific, technical and commercial employees and consultants. The loss of key employees or consultants or the failure to recruit or engage new employees and consultants could have a material adverse effect on our business. There is intense competition for qualified personnel in our industry, and we may be unable to continue to attract and retain the qualified personnel necessary for the development of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We depend upon consultants and outside contractors for key aspects of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substantially dependent on consultants and other outside contractors and service providers for key aspects of our business, including our research and development activities. Our agreements with our consultants typically provide that the consultant may terminate the agreement with advanced notice to us. If any of our consultants terminates their engagement with us, or if we are unable to engage highly qualified replacements as needed on commercially reasonable terms, we may be unable to successfully execute our business plan. We must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development activities may be extended, delayed or terminated, and we may not be able to commercialize our formulations or advance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Patient Protection and Affordable Care Act (“ACA”) and the Health Care and Education Reconciliation Act of 2010, which amended ACA (collectively, the “Health Reform Law”) may have a considerable impact on the existing U.S. system for the delivery and financing of health care and conceivably could have a material effect on our business, although the details for implementation of many of the requirements under the Health Reform Law will depend on the promulgation of regulations by a number of federal government agencies. It is impossible to predict the final requirements of the Health Reform Law, any other changes to laws and regulations affecting the healthcare industry, or the net effect of these requirements or changes on our business, operations or financial performance.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Because of their significant stock ownership, some of our existing stockholders are able to exert control over us and our significant corporate decisions, and sales of common stock by these stockholders from time to time could have an adverse effect on our stock price.</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own or have the right to acquire within 60 days after August 11, 2015, in the aggregate, approximately 17% of our common stock that would be outstanding following such issuances. In addition, five individual stockholders own, or have the right to acquire within 60 days after August 11, 2015, an additional approximately 42% of our common stock that would be outstanding following such issuances. The sale of even a portion of these shares, or the perception that such sales could occur, would likely have a material adverse effect on our stock price. In addition,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w:t>
      </w:r>
    </w:p>
    <w:p>
      <w:pPr>
        <w:spacing w:after="0" w:line="18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 or changes to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results. If we cannot provide reliable financial results, our financial statements could be misstated, our reputation may be harmed and the trading price of our stock could decline. As we discuss in Item 9A of our Annual Report on Form 10-K for the year ended December 31, 2014, our management concluded that our internal controls over financial reporting were effective as of December 31, 2014. However, our controls over financial processes and reporting may not continue to be effective, or we may identify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will continue. As a result, the trading of relatively small quantities of shares may disproportionately influence the market price of our common stock. It is possible that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our common stock by us or by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other risk factors affecting our business discussed in this Item 1A.</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would likely have rights, preferences and privileges superior to those of our common stock.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 to time by our board of directors. Following the conversion of our Series A Preferred Stock on June 29, 2012, we have no shares of preferred stock issued and outstanding. Although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will be limited to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May 2015 loan agreement, as well as our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sale by our stockholders of substantial amounts of our common stock in the public market or the perception that such sales could occur upon the expiration of any statutory holding period, such as under Rule 144 under the Securities Act of 1933, as amended (the “Securities Act”), upon expiration of any lock-up periods applicable to outstanding shares or upon our issuance of shares upon the exercise of outstanding options or warrants, could cause the market price of our common stock to fall. The availability for sale of a substantial number of shares of our common stock, whether or not sales have occurred or are occurring, also could make it more difficult for us to raise additional financing through the sale of equity or equity-related securities in the future at a time and price that we deem reasonable or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April 2015 we issued a total of 197,322 shares of common stock as a result of warrant exercises. The Company received gross cash proceeds of approximately $1,169,000 for the issuance of such shares upon the exercise on a cash basis of warrants to purchase the same number of shares of common stock with an exercise price of $5.925. These warrants were issued in April 2012 as part of a private placement of securities. Neither the warrants nor the common stock issued upon exercise of the warrants have been registered under the Securities Act. The securities were sold and issued in reliance on exemptions from the registration requirements of the Securities Act afforded by Section 4(a)(2) thereof and Regulation D thereunder in reliance upon the following facts: we did not use general solicitation or advertising to market the securities; each warrant holder represented to us that it was an accredited investor (as that term is defined in Rule 501 of Regulation D under the Securities Act) and that it was purchasing the securities for its own account and not with a view to distribute them; and the securities were issued as restricted securities.</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during June 2015, we received no cash proceeds for the issuance of 163 shares of common stock upon the exercise pursuant to cashless exercise provisions of warrants to purchase 457 shares of common stock with an exercise price of $5.25 per share. These warrants were issued in February and March 2013 to one of the underwriters for a registered offering of our common stock. Neither the warrants nor the common stock issued upon exercise of the warrants have been registered under the Securities Act of 1933 (the “Securities Act”). The securities were sold and issued in reliance on the exemption from the registration requirements of the Securities Act afforded by Section 4(a)(2) thereof. In determining that the issuance of the securities qualified for exemption under Section 4(a)(2), we relied on the following facts: we did not use general solicitation or advertising to market the securities; the underwriter represented to us that it was an accredited investor (as that term is defined in Rule 501 of Regulation D under the Securities Act) and that it was purchasing the securities for its own account and not with a view to distribute them; and the securities were issued as restricted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18"/>
                <w:szCs w:val="18"/>
                <w:color w:val="auto"/>
              </w:rPr>
            </w:pPr>
          </w:p>
        </w:tc>
      </w:tr>
      <w:tr>
        <w:trPr>
          <w:trHeight w:val="24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10.1#</w:t>
            </w:r>
          </w:p>
        </w:tc>
        <w:tc>
          <w:tcPr>
            <w:tcW w:w="20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Amended and Restated Employment Agreement, effective as of February 1, 2015, by and between Imprimis Pharmaceuticals, Inc. and Andrew</w:t>
            </w:r>
          </w:p>
        </w:tc>
      </w:tr>
      <w:tr>
        <w:trPr>
          <w:trHeight w:val="216"/>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R. Boll (incorporated herein by reference to Exhibit 10.1 to the Current Report on Form 8-K of Imprimis Pharmaceuticals, Inc. filed with the</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Securities and Exchange Commission on February 2,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Performance Stock Units Award Agreement, effective as of February 1, 2015, by and between Imprimis Pharmaceuticals, Inc. and Andrew R.</w:t>
            </w:r>
          </w:p>
        </w:tc>
      </w:tr>
      <w:tr>
        <w:trPr>
          <w:trHeight w:val="216"/>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Boll (incorporated herein by reference to Exhibit 10.2 to the Current Report on Form 8-K of Imprimis Pharmaceuticals, Inc. filed with the</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Securities and Exchange Commission on February 2,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Employment Agreement, effective as of February 1, 2015, by and between Imprimis Pharmaceuticals, Inc. and John P. Saharek (incorporated</w:t>
            </w:r>
          </w:p>
        </w:tc>
      </w:tr>
      <w:tr>
        <w:trPr>
          <w:trHeight w:val="216"/>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herein by reference to Exhibit 10.3 to the Current Report on Form 8-K of Imprimis Pharmaceuticals, Inc. filed with the Securities and Exchange</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Commission on February 2,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10.4#</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Stock Purchase Agreement, effective as of July 10, 2015, by and between Imprimis Pharmaceuticals, Inc. and Jonathan Nguyen and Julie Trinh,</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to acquire all of the outstanding capital stock of JT Pharmacy, Inc. D/B/A Central Allen Pharmacy and completed on August 4,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Certification of Mark L. Baum, principal executive officer, pursuant to Rule 13a-14(a) or 15d-14(a) of the Securities and Exchange Act of</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1934, as adopted pursuant to Section 302 of the Sarbanes- Oxley Act of 2002.</w:t>
            </w:r>
          </w:p>
        </w:tc>
      </w:tr>
      <w:tr>
        <w:trPr>
          <w:trHeight w:val="634"/>
        </w:trPr>
        <w:tc>
          <w:tcPr>
            <w:tcW w:w="84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7"/>
              </w:rPr>
              <w:t>Certification of Andrew R. Boll, principal financial and accounting officer, pursuant to Rule 13a-14(a) or 15d-14(a) of the Securities and</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Mark L.</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Baum, principal executive officer, and Andrew R. Boll, principal financial and accounting officer.</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12,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JONATHAN NGUYEN,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JULIE TRINH</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JT PHARMACY,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(D/B/A CENTRAL ALLEN PHARMACY)</w:t>
      </w: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Dated as of July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STOCK PURCHASE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STOCK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10, 2015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Imprimis Pharmaceuticals, Inc.,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 Jonathan Nguyen, Julie Trinh (each, a “</w:t>
      </w:r>
      <w:r>
        <w:rPr>
          <w:rFonts w:ascii="Arial" w:cs="Arial" w:eastAsia="Arial" w:hAnsi="Arial"/>
          <w:sz w:val="18"/>
          <w:szCs w:val="18"/>
          <w:u w:val="single" w:color="auto"/>
          <w:color w:val="auto"/>
        </w:rPr>
        <w:t>Seller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Sellers</w:t>
      </w:r>
      <w:r>
        <w:rPr>
          <w:rFonts w:ascii="Arial" w:cs="Arial" w:eastAsia="Arial" w:hAnsi="Arial"/>
          <w:sz w:val="18"/>
          <w:szCs w:val="18"/>
          <w:color w:val="auto"/>
        </w:rPr>
        <w:t>”), JT Pharmacy, Inc. (d/b/a Central Allen Pharmacy), a Texas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which for tax purposes has made an election under subchapter S of the Internal Revenue Code of 1986, as amended. Each of the foregoing may be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Capitalized terms used but not otherwise defined herein shall have the meanings ascribed to such terms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Sellers together own one hundred percent (100%) of the issued and outstanding shares of the common stock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develops, produces and sells retail and compounded pharmaceuticals (the “</w:t>
      </w:r>
      <w:r>
        <w:rPr>
          <w:rFonts w:ascii="Arial" w:cs="Arial" w:eastAsia="Arial" w:hAnsi="Arial"/>
          <w:sz w:val="18"/>
          <w:szCs w:val="18"/>
          <w:u w:val="single" w:color="auto"/>
          <w:color w:val="auto"/>
        </w:rPr>
        <w:t>Business</w:t>
      </w:r>
      <w:r>
        <w:rPr>
          <w:rFonts w:ascii="Arial" w:cs="Arial" w:eastAsia="Arial" w:hAnsi="Arial"/>
          <w:sz w:val="18"/>
          <w:szCs w:val="18"/>
          <w:color w:val="auto"/>
        </w:rPr>
        <w:t>”); 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Sellers desire to sell the Shares to the Purchaser, and the Purchaser desires to purchase the Shares from the Sellers, upon the terms and subject to the conditions set forth in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mutual promises herein made and in consideration of the representations, warranties and covenants herein contained, and for other good and valuable consideration, the sufficiency of which is hereby acknowledged, each Party hereto, intending to be legally bound, hereby agrees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 AND PURCHASE</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Agreement to Sell and Purchase</w:t>
      </w:r>
      <w:r>
        <w:rPr>
          <w:rFonts w:ascii="Arial" w:cs="Arial" w:eastAsia="Arial" w:hAnsi="Arial"/>
          <w:sz w:val="17"/>
          <w:szCs w:val="17"/>
          <w:color w:val="auto"/>
        </w:rPr>
        <w:t>. Upon the terms and subject to the conditions set forth in this Agreement, at the Closing, each Seller does hereby sell, assign, transfer, convey and deliver all of its Shares free and clear of all Encumbrances, to the Purchaser, and the Purchaser shall purchase and accept all of the Shares from such Seller (the “</w:t>
      </w:r>
      <w:r>
        <w:rPr>
          <w:rFonts w:ascii="Arial" w:cs="Arial" w:eastAsia="Arial" w:hAnsi="Arial"/>
          <w:sz w:val="17"/>
          <w:szCs w:val="17"/>
          <w:u w:val="single" w:color="auto"/>
          <w:color w:val="auto"/>
        </w:rPr>
        <w:t>Purchase</w:t>
      </w:r>
      <w:r>
        <w:rPr>
          <w:rFonts w:ascii="Arial" w:cs="Arial" w:eastAsia="Arial" w:hAnsi="Arial"/>
          <w:sz w:val="17"/>
          <w:szCs w:val="17"/>
          <w:color w:val="auto"/>
        </w:rPr>
        <w:t>”) in exchange for the Purchase Price (as defined below).</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10:00 a.m., prevailing Pacific Time, on the second business day following the issuance of a license to conduct sterile compounding at the present facility located at 1105 N. Central Expressway, Suite 2110 Allen, Texas, by Texas State Board of Pharmacy and following the Purchasers reasonable receipt of diligence materials and requests(the “</w:t>
      </w:r>
      <w:r>
        <w:rPr>
          <w:rFonts w:ascii="Arial" w:cs="Arial" w:eastAsia="Arial" w:hAnsi="Arial"/>
          <w:sz w:val="18"/>
          <w:szCs w:val="18"/>
          <w:u w:val="single" w:color="auto"/>
          <w:color w:val="auto"/>
        </w:rPr>
        <w:t>Closing Date</w:t>
      </w:r>
      <w:r>
        <w:rPr>
          <w:rFonts w:ascii="Arial" w:cs="Arial" w:eastAsia="Arial" w:hAnsi="Arial"/>
          <w:sz w:val="18"/>
          <w:szCs w:val="18"/>
          <w:color w:val="auto"/>
        </w:rPr>
        <w:t>”) remotely by electronic exchange of documentation.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Closing Deliverables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At the Closing, the Sellers shall deliver (or cause to be delivered) to the Purchaser or its designee:</w:t>
      </w:r>
    </w:p>
    <w:p>
      <w:pPr>
        <w:spacing w:after="0" w:line="225" w:lineRule="exact"/>
        <w:rPr>
          <w:sz w:val="20"/>
          <w:szCs w:val="20"/>
          <w:color w:val="auto"/>
        </w:rPr>
      </w:pPr>
    </w:p>
    <w:p>
      <w:pPr>
        <w:ind w:firstLine="656"/>
        <w:spacing w:after="0" w:line="277" w:lineRule="auto"/>
        <w:tabs>
          <w:tab w:leader="none" w:pos="8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stock certificate(s) representing the Shares, and (B) a stock power, in a form satisfactory to the Purchaser covering the Shares, with all stock transfer Taxes, if any, paid for in full;</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State of Texas;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receipt duly executed by the Sellers evidencing the receipt of the Purchase Price (as defined below);</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counterpart of this Agreement, duly executed by the Sellers and the Company;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assignment of the Lease Agreement, duly executed by Healthcare Reit, Inc.;</w:t>
      </w:r>
    </w:p>
    <w:p>
      <w:pPr>
        <w:spacing w:after="0" w:line="225" w:lineRule="exact"/>
        <w:rPr>
          <w:rFonts w:ascii="Arial" w:cs="Arial" w:eastAsia="Arial" w:hAnsi="Arial"/>
          <w:sz w:val="18"/>
          <w:szCs w:val="18"/>
          <w:color w:val="auto"/>
        </w:rPr>
      </w:pPr>
    </w:p>
    <w:p>
      <w:pPr>
        <w:ind w:right="20" w:firstLine="656"/>
        <w:spacing w:after="0" w:line="277" w:lineRule="auto"/>
        <w:tabs>
          <w:tab w:leader="none" w:pos="9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the Company and the stockholders of the Company authorizing the execution and delivery of this Agreement and the consummation of the transactions contemplated hereby;</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all consents, authorizations and approvals set forth on </w:t>
      </w:r>
      <w:r>
        <w:rPr>
          <w:rFonts w:ascii="Arial" w:cs="Arial" w:eastAsia="Arial" w:hAnsi="Arial"/>
          <w:sz w:val="17"/>
          <w:szCs w:val="17"/>
          <w:u w:val="single" w:color="auto"/>
          <w:color w:val="auto"/>
        </w:rPr>
        <w:t>Schedule 2.5</w:t>
      </w:r>
      <w:r>
        <w:rPr>
          <w:rFonts w:ascii="Arial" w:cs="Arial" w:eastAsia="Arial" w:hAnsi="Arial"/>
          <w:sz w:val="17"/>
          <w:szCs w:val="17"/>
          <w:color w:val="auto"/>
        </w:rPr>
        <w:t xml:space="preserve"> (including, without limitation, approval of the Texas State Board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Pharmacy);</w:t>
      </w:r>
    </w:p>
    <w:p>
      <w:pPr>
        <w:spacing w:after="0" w:line="210" w:lineRule="exact"/>
        <w:rPr>
          <w:rFonts w:ascii="Arial" w:cs="Arial" w:eastAsia="Arial" w:hAnsi="Arial"/>
          <w:sz w:val="17"/>
          <w:szCs w:val="17"/>
          <w:color w:val="auto"/>
        </w:rPr>
      </w:pPr>
    </w:p>
    <w:p>
      <w:pPr>
        <w:jc w:val="both"/>
        <w:ind w:firstLine="656"/>
        <w:spacing w:after="0" w:line="264" w:lineRule="auto"/>
        <w:tabs>
          <w:tab w:leader="none" w:pos="10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not owned by the Company, Sellers and their Affiliates granting to Purchaser and its Affiliates a perpetual, fully paid and exclusive license to use the “Central Allen Pharmacy” name and related marks and logos whether registered or unregistered, if any, for commercial purposes related to the healthcare industry;</w:t>
      </w:r>
    </w:p>
    <w:p>
      <w:pPr>
        <w:spacing w:after="0" w:line="181" w:lineRule="exact"/>
        <w:rPr>
          <w:rFonts w:ascii="Arial" w:cs="Arial" w:eastAsia="Arial" w:hAnsi="Arial"/>
          <w:sz w:val="18"/>
          <w:szCs w:val="18"/>
          <w:color w:val="auto"/>
        </w:rPr>
      </w:pPr>
    </w:p>
    <w:p>
      <w:pPr>
        <w:ind w:left="960" w:hanging="30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ISO No. 7 certification of the Company’s cleanroom structure and environment, on terms satisfactory to Purchaser;</w:t>
      </w:r>
    </w:p>
    <w:p>
      <w:pPr>
        <w:spacing w:after="0" w:line="225" w:lineRule="exact"/>
        <w:rPr>
          <w:rFonts w:ascii="Arial" w:cs="Arial" w:eastAsia="Arial" w:hAnsi="Arial"/>
          <w:sz w:val="18"/>
          <w:szCs w:val="18"/>
          <w:color w:val="auto"/>
        </w:rPr>
      </w:pPr>
    </w:p>
    <w:p>
      <w:pPr>
        <w:ind w:firstLine="656"/>
        <w:spacing w:after="0" w:line="277" w:lineRule="auto"/>
        <w:tabs>
          <w:tab w:leader="none" w:pos="9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a license to conduct sterile compounding at the present facility located at 1105 N. Central Expressway, Suite 2110 Allen, Texas, by Texas State Board of Pharmacy;</w:t>
      </w:r>
    </w:p>
    <w:p>
      <w:pPr>
        <w:spacing w:after="0" w:line="170" w:lineRule="exact"/>
        <w:rPr>
          <w:rFonts w:ascii="Arial" w:cs="Arial" w:eastAsia="Arial" w:hAnsi="Arial"/>
          <w:sz w:val="18"/>
          <w:szCs w:val="18"/>
          <w:color w:val="auto"/>
        </w:rPr>
      </w:pPr>
    </w:p>
    <w:p>
      <w:pPr>
        <w:ind w:firstLine="656"/>
        <w:spacing w:after="0" w:line="277"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employment letter or agreement executed by Mr. Nguyen agreeing to maintain his employment with Purchaser up to two (2) weeks after Closing, and to further take all actions necessary to cause him to be substituted as the pharmacist-in-charge;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certificate, dated as of the Closing Date, duly executed by an executive officer of the Company, certifying that true and complete copies of the Company’s Fundamental Documents, as in effect on the Closing Date, are attached to such certificate and further certifying that all of the representations and warranties of the Sellers set forth in ARTICLE II hereof are true and correct in all material respects;</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evidence satisfactory to the Purchaser with respect to the resignation of all directors (or persons in similar positions) of the Company; 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right="20" w:firstLine="656"/>
        <w:spacing w:after="0" w:line="277" w:lineRule="auto"/>
        <w:tabs>
          <w:tab w:leader="none" w:pos="10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certificate from each Seller, dated as of the Closing Date, prepared in accordance with Treasury Regulation Section 1.1445-2(b)(2) and in a form reasonably acceptable to Purchaser, certifying each Seller’s non-foreign status.</w:t>
      </w:r>
    </w:p>
    <w:p>
      <w:pPr>
        <w:spacing w:after="0" w:line="170"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Closing, the Purchaser shall deliver (or cause to be delivered) to the Sellers: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counterpart of this Agreement, duly executed by the Purchaser;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counterpart to the Lease Agreement, duly executed by the Purchaser.</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Purchase Price</w:t>
      </w:r>
      <w:r>
        <w:rPr>
          <w:rFonts w:ascii="Arial" w:cs="Arial" w:eastAsia="Arial" w:hAnsi="Arial"/>
          <w:sz w:val="16"/>
          <w:szCs w:val="16"/>
          <w:color w:val="auto"/>
        </w:rPr>
        <w:t>. At the Closing, Purchaser shall deliver to the Sellers (collectively, and not individually) payment, by wire transfer to a bank account designated in writing by the Sellers in immediately available funds, a cash payment of (i) three-hundred sixty thousand dollars ($360,000) and</w:t>
      </w:r>
    </w:p>
    <w:p>
      <w:pPr>
        <w:jc w:val="both"/>
        <w:ind w:firstLine="8"/>
        <w:spacing w:after="0" w:line="255"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further amount in cash equal to the value of the verified inventory calculated in accordance with GAAP, owned by the Company as of the Closing Date in an amount not to exceed sixty thousand dollars ($60,000) (with the total cash payment referred to herein as the “</w:t>
      </w:r>
      <w:r>
        <w:rPr>
          <w:rFonts w:ascii="Arial" w:cs="Arial" w:eastAsia="Arial" w:hAnsi="Arial"/>
          <w:sz w:val="18"/>
          <w:szCs w:val="18"/>
          <w:u w:val="single" w:color="auto"/>
          <w:color w:val="auto"/>
        </w:rPr>
        <w:t>Purchase Price</w:t>
      </w:r>
      <w:r>
        <w:rPr>
          <w:rFonts w:ascii="Arial" w:cs="Arial" w:eastAsia="Arial" w:hAnsi="Arial"/>
          <w:sz w:val="18"/>
          <w:szCs w:val="18"/>
          <w:color w:val="auto"/>
        </w:rPr>
        <w:t>” which will not exceed four-hundred and twenty thousand dollars ($420,000) in the aggregate).</w:t>
      </w:r>
    </w:p>
    <w:p>
      <w:pPr>
        <w:spacing w:after="0" w:line="19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Release of Claims</w:t>
      </w:r>
      <w:r>
        <w:rPr>
          <w:rFonts w:ascii="Arial" w:cs="Arial" w:eastAsia="Arial" w:hAnsi="Arial"/>
          <w:sz w:val="16"/>
          <w:szCs w:val="16"/>
          <w:color w:val="auto"/>
        </w:rPr>
        <w:t>. In further consideration of the transactions contemplated hereby, each of the Sellers hereby irrevocably and unconditionally releases, waives and holds the Company, its Affiliates, predecessors, successors and assigns, and its and their respective directors (or persons in similar positions), officers, employees, shareholders, equity holders and agents harmless from and against any and all claims of any nature (the “</w:t>
      </w:r>
      <w:r>
        <w:rPr>
          <w:rFonts w:ascii="Arial" w:cs="Arial" w:eastAsia="Arial" w:hAnsi="Arial"/>
          <w:sz w:val="16"/>
          <w:szCs w:val="16"/>
          <w:u w:val="single" w:color="auto"/>
          <w:color w:val="auto"/>
        </w:rPr>
        <w:t>Sellers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Claims</w:t>
      </w:r>
      <w:r>
        <w:rPr>
          <w:rFonts w:ascii="Arial" w:cs="Arial" w:eastAsia="Arial" w:hAnsi="Arial"/>
          <w:sz w:val="16"/>
          <w:szCs w:val="16"/>
          <w:color w:val="auto"/>
        </w:rPr>
        <w:t>”) arising prior to and through the Closing (the “</w:t>
      </w:r>
      <w:r>
        <w:rPr>
          <w:rFonts w:ascii="Arial" w:cs="Arial" w:eastAsia="Arial" w:hAnsi="Arial"/>
          <w:sz w:val="16"/>
          <w:szCs w:val="16"/>
          <w:u w:val="single" w:color="auto"/>
          <w:color w:val="auto"/>
        </w:rPr>
        <w:t>Release</w:t>
      </w:r>
      <w:r>
        <w:rPr>
          <w:rFonts w:ascii="Arial" w:cs="Arial" w:eastAsia="Arial" w:hAnsi="Arial"/>
          <w:sz w:val="16"/>
          <w:szCs w:val="16"/>
          <w:color w:val="auto"/>
        </w:rPr>
        <w:t>”). It is further agreed and understood that this Release is a full and final release of all the Sellers Claims whether known or unknown, fixed or contingent, manifested or unmanifested. The Sellers hereby waive the protection of any provision of any Law that would operate to preserve claims that are unknown as of the Closing Date including California Civil Code Section 1542, which provides as follows:</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WHICH IF KNOWN BY HIM OR HER MUST HAVE MATERIALLY AFFECTED HIS OR HER SETTLEMENT WITH THE DEBTOR. Notwithstanding the foregoing, the Release does not release, and is not a waiver of, any claims by Sellers (or Sellers’ heirs and assigns) arising under or relating to this Agreement or any agreement, document, or certificate entered into in connection with this Agreement or any unpaid compensation due to them in their capacity as employees of the Company prior to Closing.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SELLERS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set forth in the Sellers’ Disclosure Schedules (the disclosure in any section of the Seller’s Disclosure Schedules shall qualify other sections of this Agreement to the extent it is readily apparent from the face of the statement that it is applicable thereto), the Sellers jointly and severally represent and warrant to the Purchaser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ind w:firstLine="648"/>
        <w:spacing w:after="0" w:line="29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Organization; Good Standing; Qualification and Power</w:t>
      </w:r>
      <w:r>
        <w:rPr>
          <w:rFonts w:ascii="Arial" w:cs="Arial" w:eastAsia="Arial" w:hAnsi="Arial"/>
          <w:sz w:val="16"/>
          <w:szCs w:val="16"/>
          <w:color w:val="auto"/>
        </w:rPr>
        <w:t>. The Company is duly incorporated, validly existing and in good standing under the Laws of Texas, has all requisite power and authority to own, lease and operate its Assets and to carry on its business as presently being conducted and as proposed to be conducted, and is qualified to do business and in good standing in every jurisdiction in which the operation of the business of the Company requires it to be so qualified, except where the failure to be so qualified or in good standing would not have a Material Adverse Effect. The Fundamental Documents of the Company, true and complete copies of which have been delivered to the Purchaser, are in full force and effect.</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Authorization</w:t>
      </w:r>
      <w:r>
        <w:rPr>
          <w:rFonts w:ascii="Arial" w:cs="Arial" w:eastAsia="Arial" w:hAnsi="Arial"/>
          <w:sz w:val="17"/>
          <w:szCs w:val="17"/>
          <w:color w:val="auto"/>
        </w:rPr>
        <w:t>. Each Seller has the requisite power and authority to enter into this Agreement and to consummate the transactions contemplated hereby. The execution and delivery of this Agreement and the consummation of the transactions contemplated hereby by each Seller has been duly authorized by all necessary action on the part of such Seller. This Agreement, and each of the other agreements being delivered by each Seller in connection herewith, has been duly executed and delivered by such Seller and, assuming this Agreement constitutes the valid and binding obligation of the other Parties, constitutes the valid and binding obligation of such Seller, enforceable against such Seller in accordance with its terms.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Title to Shares</w:t>
      </w:r>
      <w:r>
        <w:rPr>
          <w:rFonts w:ascii="Arial" w:cs="Arial" w:eastAsia="Arial" w:hAnsi="Arial"/>
          <w:sz w:val="18"/>
          <w:szCs w:val="18"/>
          <w:color w:val="auto"/>
        </w:rPr>
        <w:t>. The Sellers have good and valid title to the Shares and at the Closing will transfer to the Purchaser good and valid title to the Shares, free and clear of any Encumbrances.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by each Seller and the consummation of the transactions contemplated hereby and compliance with the provisions hereof do not and will not (i) violate any Law to which each Seller, the Company or any of their respective Assets are subject, (ii) violate any provision of the Fundamental Documents of the Company, (iii) violate, conflict with, result in a breach of, in any material respect, or constitute (with due notice or lapse of time or both) a material default under, result in the acceleration of, create in any Person the right to accelerate, terminate, modify or cancel, require any notice under, or otherwise give rise to any material Liability under, any Contract, lease, loan agreement, mortgage, security agreement, trust indenture or other agreement or instrument to which each Seller or the Company is a party or by which any of them is bound or to which any of their respective Assets is subject, or (iv) result in the creation or imposition of any Lien upon any of the properties or Assets of the Company.</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2.5</w:t>
      </w:r>
      <w:r>
        <w:rPr>
          <w:rFonts w:ascii="Arial" w:cs="Arial" w:eastAsia="Arial" w:hAnsi="Arial"/>
          <w:sz w:val="16"/>
          <w:szCs w:val="16"/>
          <w:color w:val="auto"/>
        </w:rPr>
        <w:t xml:space="preserve"> sets forth a true and complete list of each consent, waiver, authorization or approval of any Person and each declaration to or filing or registration with any Governmental Entity, that is required of or to be made by the Company or each Seller in connection with the execution and delivery of this Agreement by any of them or the performance by any of them of their respective obligations hereunder.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Capitalization of the Company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8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authorized capital stock of the Company consists of 1,000,000 shares of common stock, of which 100,000 shares of common stock are issued and outstanding; all of which are owned (beneficially and of record) by the Sellers. Except for the Shares, there are no shares or other securities of the Company issued or outstanding. All of the Shares have been duly authorized, are validly issued, fully paid and non-assessable and no personal liability attaches to the ownership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jc w:val="both"/>
        <w:ind w:firstLine="656"/>
        <w:spacing w:after="0" w:line="264" w:lineRule="auto"/>
        <w:tabs>
          <w:tab w:leader="none" w:pos="9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consummation of the transactions contemplated by this Agreement, and assuming the Purchaser’s full payment of the Purchase Price, the Purchaser will own all of the issued and outstanding shares of the Company free and clear of all Encumbrances, proxies, voting trusts or agreements or other restrictions and limitations of any kind.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have any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Liabilities</w:t>
      </w:r>
      <w:r>
        <w:rPr>
          <w:rFonts w:ascii="Arial" w:cs="Arial" w:eastAsia="Arial" w:hAnsi="Arial"/>
          <w:sz w:val="18"/>
          <w:szCs w:val="18"/>
          <w:color w:val="auto"/>
        </w:rPr>
        <w:t>. The Company does not have any Liability as of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4" w:lineRule="auto"/>
        <w:tabs>
          <w:tab w:leader="none" w:pos="9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has not been in, nor has any material Liability in respect of any, violation of any Laws that are or were applicable to it or the conduct or operation of its business or the ownership or use of any of its Assets (including, without limitation, any Health Care Legal Requirement), and no Proceeding is pending, or to the Knowledge of the Sellers, threatened, alleging any such violation or noncompliance.</w:t>
      </w:r>
    </w:p>
    <w:p>
      <w:pPr>
        <w:spacing w:after="0" w:line="181" w:lineRule="exact"/>
        <w:rPr>
          <w:rFonts w:ascii="Arial" w:cs="Arial" w:eastAsia="Arial" w:hAnsi="Arial"/>
          <w:sz w:val="18"/>
          <w:szCs w:val="18"/>
          <w:color w:val="auto"/>
        </w:rPr>
      </w:pPr>
    </w:p>
    <w:p>
      <w:pPr>
        <w:jc w:val="both"/>
        <w:ind w:firstLine="656"/>
        <w:spacing w:after="0" w:line="286" w:lineRule="auto"/>
        <w:tabs>
          <w:tab w:leader="none" w:pos="91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Company has all Permits necessary for the conduct of its business as presently conducted and as proposed to be conducted, and each of the Permits is in full force and effect, the Company is in compliance, in all material respects, with the terms, provisions and conditions thereof. </w:t>
      </w:r>
      <w:r>
        <w:rPr>
          <w:rFonts w:ascii="Arial" w:cs="Arial" w:eastAsia="Arial" w:hAnsi="Arial"/>
          <w:sz w:val="17"/>
          <w:szCs w:val="17"/>
          <w:u w:val="single" w:color="auto"/>
          <w:color w:val="auto"/>
        </w:rPr>
        <w:t>Schedule 2.9</w:t>
      </w:r>
      <w:r>
        <w:rPr>
          <w:rFonts w:ascii="Arial" w:cs="Arial" w:eastAsia="Arial" w:hAnsi="Arial"/>
          <w:sz w:val="17"/>
          <w:szCs w:val="17"/>
          <w:color w:val="auto"/>
        </w:rPr>
        <w:t xml:space="preserve"> sets forth a list of all the Permits, and the Sellers have furnished to the Purchaser true and complete copies of all of the Permits.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The Company owns good, valid and marketable title, free and clear of all Liens and Encumbrances, to all of its tangible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9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timely filed when due all Tax Returns required by applicable Law to be filed with respect to the Company, and all such Tax Returns were true, correct and complete in all material respects as of the time of such filing.</w:t>
      </w:r>
    </w:p>
    <w:p>
      <w:pPr>
        <w:spacing w:after="0" w:line="170" w:lineRule="exact"/>
        <w:rPr>
          <w:rFonts w:ascii="Arial" w:cs="Arial" w:eastAsia="Arial" w:hAnsi="Arial"/>
          <w:sz w:val="18"/>
          <w:szCs w:val="18"/>
          <w:color w:val="auto"/>
        </w:rPr>
      </w:pPr>
    </w:p>
    <w:p>
      <w:pPr>
        <w:ind w:firstLine="656"/>
        <w:spacing w:after="0" w:line="277" w:lineRule="auto"/>
        <w:tabs>
          <w:tab w:leader="none" w:pos="9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Taxes due and payable by or on behalf of the Company (whether or not shown on any Tax Return), or for which the Company may be liable if required to have been paid, have been paid.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Schedule 2.11(c)</w:t>
      </w:r>
      <w:r>
        <w:rPr>
          <w:rFonts w:ascii="Arial" w:cs="Arial" w:eastAsia="Arial" w:hAnsi="Arial"/>
          <w:sz w:val="17"/>
          <w:szCs w:val="17"/>
          <w:color w:val="auto"/>
        </w:rPr>
        <w:t xml:space="preserve"> sets forth each jurisdiction in which the Company is subject to Tax and the type of Tax to which the Company is subject.</w:t>
      </w:r>
    </w:p>
    <w:p>
      <w:pPr>
        <w:spacing w:after="0" w:line="236" w:lineRule="exact"/>
        <w:rPr>
          <w:rFonts w:ascii="Arial" w:cs="Arial" w:eastAsia="Arial" w:hAnsi="Arial"/>
          <w:sz w:val="17"/>
          <w:szCs w:val="17"/>
          <w:color w:val="auto"/>
        </w:rPr>
      </w:pPr>
    </w:p>
    <w:p>
      <w:pPr>
        <w:ind w:firstLine="656"/>
        <w:spacing w:after="0" w:line="277" w:lineRule="auto"/>
        <w:tabs>
          <w:tab w:leader="none" w:pos="9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withheld and paid all Taxes to the applicable Governmental Entity required to be withheld in connection with any amounts paid or owing to any employee, creditor, independent contractor or other third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both"/>
        <w:ind w:firstLine="656"/>
        <w:spacing w:after="0" w:line="286" w:lineRule="auto"/>
        <w:tabs>
          <w:tab w:leader="none" w:pos="91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is, and since its inception always has been, an “S corporation” within the meaning of Section 1361(a)(1) of the Code for U.S. federal and state income Tax purposes. The Company will not have any liability for any Tax under Section 1374 of the Code (or any corresponding or similar provision of Tax Law) in connection with a deemed sale of assets pursuant to a Section 338(h)(10) Election (if applicable).</w:t>
      </w:r>
    </w:p>
    <w:p>
      <w:pPr>
        <w:spacing w:after="0" w:line="165" w:lineRule="exact"/>
        <w:rPr>
          <w:rFonts w:ascii="Arial" w:cs="Arial" w:eastAsia="Arial" w:hAnsi="Arial"/>
          <w:sz w:val="17"/>
          <w:szCs w:val="17"/>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the Sellers is an individual that is a “United States person” within the meaning of Section 7701(a)(30) of the Code.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Proceeding pending or, to the Knowledge of the Sellers, threatened by or against, or affecting the Assets of, the Company or to the Knowledge of the Sellers, against any officer, director, shareholder, Employee or agent of the Company in their capacity as such or relating to their employment services or relationship with the Company, and the Company is not bound by any Order.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Employee Benefits</w:t>
      </w:r>
      <w:r>
        <w:rPr>
          <w:rFonts w:ascii="Arial" w:cs="Arial" w:eastAsia="Arial" w:hAnsi="Arial"/>
          <w:sz w:val="18"/>
          <w:szCs w:val="18"/>
          <w:color w:val="auto"/>
        </w:rPr>
        <w:t>. The Company has not established any “employee benefit plans” (as defined in Section 3(3)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Related Party Transactions. Schedule 2.14</w:t>
      </w:r>
      <w:r>
        <w:rPr>
          <w:rFonts w:ascii="Arial" w:cs="Arial" w:eastAsia="Arial" w:hAnsi="Arial"/>
          <w:sz w:val="18"/>
          <w:szCs w:val="18"/>
          <w:color w:val="auto"/>
        </w:rPr>
        <w:t xml:space="preserve"> sets forth a true, accurate and complete list of each Contract entered into between the Company, on the one hand, and any current or former Affiliate, stockholder or Employee of the Company, including the Sellers and their Affiliates, on the other hand.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xml:space="preserve">. The Sellers and the Company possess all permits and other governmental authorizations required under applicable Environmental Laws for the conduct of the Business, and are in compliance with the terms and conditions thereof and are in compliance, in all material respects, with all applicable Environmental Laws. All permits and other governmental authorizations currently held by the Sellers and the Company pursuant to applicable Environmental Laws are identified in </w:t>
      </w:r>
      <w:r>
        <w:rPr>
          <w:rFonts w:ascii="Arial" w:cs="Arial" w:eastAsia="Arial" w:hAnsi="Arial"/>
          <w:sz w:val="18"/>
          <w:szCs w:val="18"/>
          <w:u w:val="single" w:color="auto"/>
          <w:color w:val="auto"/>
        </w:rPr>
        <w:t>Schedule 2.15</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Sufficiency of Assets; Inventory</w:t>
      </w:r>
      <w:r>
        <w:rPr>
          <w:rFonts w:ascii="Arial" w:cs="Arial" w:eastAsia="Arial" w:hAnsi="Arial"/>
          <w:sz w:val="18"/>
          <w:szCs w:val="18"/>
          <w:color w:val="auto"/>
        </w:rPr>
        <w:t>. The Assets of the Company include all of the Assets that are reasonably necessary for the operation of the business of the Company immediately following the Closing in substantially the same manner as currently conducted by the Sellers and the Company. The Company has all necessary authorizations, approvals and similar rights necessary to maintain its business following the Closing in substantially the same manner as currently conducted by the Company. All inventory of the Company consists of a quality and quantity usable and salable in the ordinary course of business.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2.17</w:t>
      </w:r>
      <w:r>
        <w:rPr>
          <w:rFonts w:ascii="Arial" w:cs="Arial" w:eastAsia="Arial" w:hAnsi="Arial"/>
          <w:sz w:val="18"/>
          <w:szCs w:val="18"/>
          <w:color w:val="auto"/>
        </w:rPr>
        <w:t xml:space="preserve"> lists all of the directors (or Persons in similar positions) and officers of the Company, their annual compensation levels and the dates on which they assumed their respective offices.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2.18</w:t>
      </w:r>
      <w:r>
        <w:rPr>
          <w:rFonts w:ascii="Arial" w:cs="Arial" w:eastAsia="Arial" w:hAnsi="Arial"/>
          <w:sz w:val="18"/>
          <w:szCs w:val="18"/>
          <w:color w:val="auto"/>
        </w:rPr>
        <w:t xml:space="preserve"> sets forth a true and complete list of each material Contract, which shall mean a Contract that amounts to an excess of $10,000 per year in expenses or revenues, to which the Company is a party or otherwise relating to or affecting any of its Assets (each,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jc w:val="both"/>
        <w:ind w:firstLine="648"/>
        <w:spacing w:after="0" w:line="270" w:lineRule="auto"/>
        <w:rPr>
          <w:sz w:val="20"/>
          <w:szCs w:val="20"/>
          <w:color w:val="auto"/>
        </w:rPr>
      </w:pPr>
      <w:r>
        <w:rPr>
          <w:rFonts w:ascii="Arial" w:cs="Arial" w:eastAsia="Arial" w:hAnsi="Arial"/>
          <w:sz w:val="17"/>
          <w:szCs w:val="17"/>
          <w:color w:val="auto"/>
        </w:rPr>
        <w:t>Each Material Contract (a) is valid, binding and enforceable against the Company and, to the Knowledge of the Sellers, against each other party thereto, in accordance with its terms, except that such enforcement may be limited by bankruptcy, insolvency, reorganization, moratorium or other similar Laws now or hereafter in effect relating to creditors’ rights and general principles of equity, and (b) is in full force and effect on the date hereof and the Company, as the case may be, has materially performed all obligations, including, but not limited to, the timely making of any rental or other payments, required to be performed by it under, and is not in material default or breach of in respect of, any Material Contract, and no event has occurred which, with due notice or lapse of time or both, would constitute such a default. Each other party to each Material Contract has materially performed all obligations required to be performed by it under and is not in material default or breach of in respect of, any Material Contract, and no event has occurred which, with due notice or lapse of time or both, would constitute such a default. There has been made available to the Purchaser (i) a true and complete copy of each of the Material Contracts, together with all amendments, waivers or other changes thereto, and (ii) a true and correct description of all oral Contracts to which the Company is a party or by which any of its Assets may be bound.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Brokers</w:t>
      </w:r>
      <w:r>
        <w:rPr>
          <w:rFonts w:ascii="Arial" w:cs="Arial" w:eastAsia="Arial" w:hAnsi="Arial"/>
          <w:sz w:val="18"/>
          <w:szCs w:val="18"/>
          <w:color w:val="auto"/>
        </w:rPr>
        <w:t>. There are no claims, and will not be any claims, for brokerage commissions or finder’s fees or similar compensation in connection with the transactions contemplated by this Agreement based on any arrangement made by or on behalf of the Company, the Sellers or any of their respective Affiliates.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Non-Competition; Non-Solicitation and Interference; No Competing Transactions</w:t>
      </w:r>
      <w:r>
        <w:rPr>
          <w:rFonts w:ascii="Arial" w:cs="Arial" w:eastAsia="Arial" w:hAnsi="Arial"/>
          <w:sz w:val="17"/>
          <w:szCs w:val="17"/>
          <w:color w:val="auto"/>
        </w:rPr>
        <w:t>. The Sellers acknowledge and agree that (A) the agreements and covenants contained in this Section 3.1 are (i) reasonable and valid temporal scope and in all other respects, and (ii) essential to protect the value of the business and Assets of the Company and (B) each Seller has obtained knowledge, contacts, know-how, training and experience and there is a substantial probability that such knowledge, know-how, contacts, training and experience could be used to the substantial advantage of a competitor of the Company and to the substantial detriment of the Company. Each Seller also acknowledges that the Purchaser has agreed to purchase the Shares in reliance on the covenants made by such Seller in this Section 3.1, and that the Purchaser would not have agreed to purchase the Shares in the absence of the covenants made by such Seller in this Section 3.1. Therefore, each Seller agrees that, during the Restricted Period, such Seller shall not, directly or indirectly, individually or jointly, own any interest in, operate, join, control or participate as a partner, director, principal, officer, or agent of, enter into the employment of, act as a consultant to, or perform any services for, any Person (other than the Company), that engages in any Competitive Activities. Each Seller further agrees that, during the Solicitation Restricted Period, such Seller shall not, directly or indirectly, for its own account or for the account of any other Person, engage in Interfering Activities during the Solicitation Restricted Period. Notwithstanding anything herein to the contrary, this Section 3.1 shall not prevent the Seller from acquiring as an investment securities representing not more than twenty (20%) of the voting securities of any corporation where such securities are listed on a recognized stock exchange.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Section 338(h)(10)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1517" w:val="left"/>
        </w:tabs>
        <w:numPr>
          <w:ilvl w:val="1"/>
          <w:numId w:val="24"/>
        </w:numPr>
        <w:rPr>
          <w:rFonts w:ascii="Arial" w:cs="Arial" w:eastAsia="Arial" w:hAnsi="Arial"/>
          <w:sz w:val="16"/>
          <w:szCs w:val="16"/>
          <w:color w:val="auto"/>
        </w:rPr>
      </w:pPr>
      <w:r>
        <w:rPr>
          <w:rFonts w:ascii="Arial" w:cs="Arial" w:eastAsia="Arial" w:hAnsi="Arial"/>
          <w:sz w:val="16"/>
          <w:szCs w:val="16"/>
          <w:color w:val="auto"/>
        </w:rPr>
        <w:t>Purchaser and the Sellers shall, and shall cause any necessary Affiliates to, take such actions as are necessary to make an election under Section 338(h)(10) of the Code (and any corresponding elections under other Tax Laws) with respect to the purchase and sale of the Company hereunder (the “</w:t>
      </w:r>
      <w:r>
        <w:rPr>
          <w:rFonts w:ascii="Arial" w:cs="Arial" w:eastAsia="Arial" w:hAnsi="Arial"/>
          <w:sz w:val="16"/>
          <w:szCs w:val="16"/>
          <w:u w:val="single" w:color="auto"/>
          <w:color w:val="auto"/>
        </w:rPr>
        <w:t>Section 338(h)(10) Election</w:t>
      </w:r>
      <w:r>
        <w:rPr>
          <w:rFonts w:ascii="Arial" w:cs="Arial" w:eastAsia="Arial" w:hAnsi="Arial"/>
          <w:sz w:val="16"/>
          <w:szCs w:val="16"/>
          <w:color w:val="auto"/>
        </w:rPr>
        <w:t>”). Purchaser and the Sellers shall cooperate with each other to take all actions necessary and appropriate (including filing such additional forms, Tax Returns, elections, schedules and other documents as may be required) to effect and preserve the Section 338(h)(10) Election.</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156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soon as practicable after Purchaser’s exercise of its Section 338(h)(10) Election, Purchaser shall prepare a schedule (the “</w:t>
      </w:r>
      <w:r>
        <w:rPr>
          <w:rFonts w:ascii="Arial" w:cs="Arial" w:eastAsia="Arial" w:hAnsi="Arial"/>
          <w:sz w:val="18"/>
          <w:szCs w:val="18"/>
          <w:u w:val="single" w:color="auto"/>
          <w:color w:val="auto"/>
        </w:rPr>
        <w:t>Allocation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allocating the Total Tax Consideration among the Assets of the Company as required by Sections 1060 and 338(h)(10) of the Code and the Treasury regulations thereunder. Purchaser shall deliver such Allocation Schedule to the Sellers.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6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Allocation Schedule shall be final and binding on Purchaser and the Sellers. Purchaser and the Sellers shall prepare and file their Tax Returns and cause their Affiliates to prepare and file their Tax Returns (and, for the avoidance of doubt, the Company for such purposes shall be deemed an Affiliate of the Sellers to the extent the Sellers control the preparation and filing of the Tax Returns of the Company) on a basis consistent with the Allocation Schedule.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SURVIVAL AND INDEMNIFICATION</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Survival of Representations, Warranties</w:t>
      </w:r>
      <w:r>
        <w:rPr>
          <w:rFonts w:ascii="Arial" w:cs="Arial" w:eastAsia="Arial" w:hAnsi="Arial"/>
          <w:sz w:val="17"/>
          <w:szCs w:val="17"/>
          <w:color w:val="auto"/>
        </w:rPr>
        <w:t>. Each of the representations and warranties made by the Sellers and the Purchaser in this Agreement and in any schedule, instrument or other document delivered pursuant to this Agreement shall survive the Closing for a period terminating on the last ending of any applicable statute of limitations period. The covenants and agreements of the Sellers and the Purchaser in this Agreement and in any schedule, instrument or other document delivered pursuant to this Agreement shall survive in accordance with their respective terms.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Indemnification by the Sellers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From and after the Closing, the Sellers shall jointly and severally indemnify and hold harmless the Purchaser, the Company and their respective officers, directors (or Persons in similar positions), parent and subsidiary entities, successors and assigns (collectively, the “</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from and against, and pay on behalf of or reimburse such Purchaser Indemnified Party for, any Loss which any such Purchaser Indemnified Party may suffer or sustain, as a result of:</w:t>
      </w:r>
    </w:p>
    <w:p>
      <w:pPr>
        <w:spacing w:after="0" w:line="186" w:lineRule="exact"/>
        <w:rPr>
          <w:rFonts w:ascii="Arial" w:cs="Arial" w:eastAsia="Arial" w:hAnsi="Arial"/>
          <w:sz w:val="18"/>
          <w:szCs w:val="18"/>
          <w:color w:val="auto"/>
        </w:rPr>
      </w:pPr>
    </w:p>
    <w:p>
      <w:pPr>
        <w:ind w:left="660" w:firstLine="645"/>
        <w:spacing w:after="0" w:line="277" w:lineRule="auto"/>
        <w:tabs>
          <w:tab w:leader="none" w:pos="15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misrepresentation or breach of a representation or warranty of either Seller, or any allegation by a third party of a misrepresentation or breach of a representation or warranty, set forth in this Agreement (including the Disclosure Schedules);</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failure of either Seller to perform or observe any term, provision, covenant or agreement contained in this Agreement;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Indemnified Taxes;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Indebtedness of the Company at and as of the Closing Date;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Liability arising out of operation of the Business prior to the Closing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herein, each of the Parties hereto shall pay its own expenses in connection with this Agreement and the transactions contemplated hereby, including, without limitation, any legal and accounting fees, whether or not the transactions contemplated hereby are consummated. For the avoidance of doubt, neither the Purchaser nor the Company shall be responsible for any expenses of the Sellers in connection with this Agreement or the transactions contemplated hereby.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Lease Agreement and the other agreements and instruments delivered pursuant to the terms of this Agreement (collectively,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constitute the entire agreement among the Parties hereto and thereto with respect to the respective subject matters of such Transaction Documents, and each supersedes any other prior and contemporaneous understandings, agreements or representations by or among such Parties, whether written or oral, that may have related in any way to the subject matter hereof or thereof, including, without limitation, any letter of intent, as amended, dated as of or prior to the date hereof, among any of the Company, the Seller, Seller Representative and/or the Purchaser or its Affiliates.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shall inure to the benefit of the Parties hereto and their respective successors and permitted assigns. No Party hereto may assign either this Agreement or any of its rights, interests or obligations hereunder without the prior written approval of the other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Purchaser may assign any of its respective rights and/or obligations under this Agreement to (a) any Affiliate of the Purchaser, or (b) any Person who shall acquire substantially all of the Assets of the Purchaser or a majority in voting power of the capital shares or equity interests of the Purchaser (whether pursuant to a merger, consolidation, sale of equity interests or otherwise).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facsimile or other electronic method), each of which shall be deemed an original, but all of which, together, shall constitute one and the same instrument.</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claims and other communications required or permitted hereunder shall be in writing and shall be deemed to have been duly given if delivered personally, facsimiled or emailed (which facsimile or email shall not constitute notice unless the recipient thereof acknowledges receipt in writing or if the recipient acts upon the notice so delivered), sent by nationally recognized overnight courier, postage prepaid, to the Parties hereto at the following respective addresses (or at such other address for any such Party as shall be specified by like notice), with a copy by email (which shall not constitute notice, unless the recipient thereof acknowledges receipt in writing or if the recipient acts upon the notice so delivered):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Purchaser: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(858) 345-1745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mark@imprimispharma.com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Mark L. Baum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Sellers or the Seller Representative: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1105 N. Central Expressway, Suite 2110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Allen, Texas 75103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(469) 675-3427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Jonathan Nguyen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 (before Closing),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1105 N. Central Expressway, Suite 2110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Allen, Texas 75103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(469) 675-3427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Jonathan Nguyen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ind w:left="980"/>
        <w:spacing w:after="0"/>
        <w:rPr>
          <w:sz w:val="20"/>
          <w:szCs w:val="20"/>
          <w:color w:val="auto"/>
        </w:rPr>
      </w:pPr>
      <w:r>
        <w:rPr>
          <w:rFonts w:ascii="Arial" w:cs="Arial" w:eastAsia="Arial" w:hAnsi="Arial"/>
          <w:sz w:val="18"/>
          <w:szCs w:val="18"/>
          <w:color w:val="auto"/>
        </w:rPr>
        <w:t>If to the Company (after Closing),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(858) 345-1745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mark@imprimispharma.com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Mark L. Baum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such notices and other communications shall be deemed to have been given and received (a) in the case of personal delivery, on the date of such delivery,</w:t>
      </w:r>
    </w:p>
    <w:p>
      <w:pPr>
        <w:spacing w:after="0" w:line="46" w:lineRule="exact"/>
        <w:rPr>
          <w:sz w:val="20"/>
          <w:szCs w:val="20"/>
          <w:color w:val="auto"/>
        </w:rPr>
      </w:pPr>
    </w:p>
    <w:p>
      <w:pPr>
        <w:jc w:val="both"/>
        <w:ind w:firstLine="8"/>
        <w:spacing w:after="0" w:line="255" w:lineRule="auto"/>
        <w:tabs>
          <w:tab w:leader="none" w:pos="2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delivery by facsimile or electronic mail, on the date of such delivery if (but only if) receipt thereof is acknowledged in writing by the recipient or if the recipient acts upon the notice so delivered, and (c) in the case of delivery by nationally recognized overnight courier, on the date of delivery as confirmed by such courier.</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from time to time and without further consideration, either before or after the Closing, execute such further instruments and take such other actions as any other Party hereto shall reasonably request in order to fulfill its obligations under this Agreement and to effectuate the purposes of this Agreement.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and construed in accordance with the Laws of the State of Texas, without giving effect to any choice of law or conflicting provision or rule that would cause the Laws of any jurisdiction other than the State of Texas to be applied. In furtherance of the foregoing, the Laws of the State of Texas will control the interpretation and construction of this Agreement, even if under such jurisdiction’s choice of law or conflict of law analysis, the substantive Law of some other jurisdiction would ordinarily apply.</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Jurisdiction and Service of Process</w:t>
      </w:r>
      <w:r>
        <w:rPr>
          <w:rFonts w:ascii="Arial" w:cs="Arial" w:eastAsia="Arial" w:hAnsi="Arial"/>
          <w:sz w:val="16"/>
          <w:szCs w:val="16"/>
          <w:color w:val="auto"/>
        </w:rPr>
        <w:t>. Any suit, action or proceeding brought by any Party hereto seeking to enforce any provision of, or based on any matter arising out of or in connection with, this Agreement or the transactions contemplated hereby shall be brought in any court located in the County of Collin, Texas, or the federal court in the Eastern District of Texas. Each Party hereto hereby submits to the jurisdiction of any such court located in the County of Collin, Texas, or the federal court in the Eastern District of Texas having subject matter jurisdiction in any suit, action or proceeding brought by any other Party hereto seeking to enforce any provision of, or based on any matter arising out of, or in connection with, this Agreement or the transactions contemplated hereby. Each Party hereto hereby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hereto anywhere in the world, whether within or without the jurisdiction of any such court. Without limiting the foregoing each Party hereto hereby agrees that service of process on such Party in accordance with the provisions of this Section 5.8 in respect of any such suit, action or proceeding shall be deemed effective service of process on such Party.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ind w:firstLine="648"/>
        <w:spacing w:after="0" w:line="277"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all right to trial by jury in any action, proceeding or counterclaim arising out of or relating to this Agreement or any other document.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be terminated and the transactions contemplated by this Agreement may be abandoned at any time prior to the Closing:</w:t>
      </w:r>
    </w:p>
    <w:p>
      <w:pPr>
        <w:spacing w:after="0" w:line="170" w:lineRule="exact"/>
        <w:rPr>
          <w:sz w:val="20"/>
          <w:szCs w:val="20"/>
          <w:color w:val="auto"/>
        </w:rPr>
      </w:pPr>
    </w:p>
    <w:p>
      <w:pPr>
        <w:jc w:val="both"/>
        <w:ind w:firstLine="656"/>
        <w:spacing w:after="0" w:line="259" w:lineRule="auto"/>
        <w:tabs>
          <w:tab w:leader="none" w:pos="9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either Party, if the transactions contemplated by this Agreement shall not have been consummated on or prior to September 30, 2015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Party seeking to terminate this Agreement pursuant to this Section 5.10(a) shall not have breached in any material respect its obligations under this Agreement in any manner that shall have proximately caused the failure to consummate the transactions contemplated by this Agreement on or before the Termination Date; and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mutual written consent of the Purchaser and the Sellers.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IN WITNESS WHEREOF, the Parties hereto have executed this Agreement as of the Effective Date.</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JONATHAN NGUYEN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Jonathan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JULIE TRINH</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Julie Trinh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2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JT PHARMACY, INC. (D/B/A CENTRAL ALLEN PHARMACY)</w:t>
      </w:r>
    </w:p>
    <w:p>
      <w:pPr>
        <w:spacing w:after="0" w:line="229"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Jonathan Nguyen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Jonathan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289560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900" w:top="665" w:right="819" w:bottom="1440" w:gutter="0" w:footer="0" w:header="0"/>
        </w:sectPr>
      </w:pPr>
    </w:p>
    <w:bookmarkStart w:id="67" w:name="page68"/>
    <w:bookmarkEnd w:id="67"/>
    <w:p>
      <w:pPr>
        <w:ind w:left="5180"/>
        <w:spacing w:after="0"/>
        <w:rPr>
          <w:sz w:val="20"/>
          <w:szCs w:val="20"/>
          <w:color w:val="auto"/>
        </w:rPr>
      </w:pPr>
      <w:r>
        <w:rPr>
          <w:rFonts w:ascii="Arial" w:cs="Arial" w:eastAsia="Arial" w:hAnsi="Arial"/>
          <w:sz w:val="18"/>
          <w:szCs w:val="18"/>
          <w:color w:val="auto"/>
        </w:rPr>
        <w:t>APPENDIX 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the terms defined elsewhere in this Agreement, as used herein, the following terms shall have the following respective meanings:</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(a) officer, director, partner, member or manager of such Person, (b) spouse, parent, sibling or descendant (including adopted or stepchildren) of such Person (or a spouse, parent, sibling or descendant (including adopted or stepchildren) of any director or officer of such Person) and (c) any other Person that, directly or indirectly, through one or more intermediaries, controls, or is controlled by, or is under common control with, such Person. The terms “</w:t>
      </w:r>
      <w:r>
        <w:rPr>
          <w:rFonts w:ascii="Arial" w:cs="Arial" w:eastAsia="Arial" w:hAnsi="Arial"/>
          <w:sz w:val="17"/>
          <w:szCs w:val="17"/>
          <w:u w:val="single" w:color="auto"/>
          <w:color w:val="auto"/>
        </w:rPr>
        <w:t>control</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include, without limitation, the possession, directly or indirectly, of the power to direct the management and policies of a Person, whether through the ownership of voting securities, by contract or otherwise.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means, with respect to any Person, all of the assets, rights, interests and other properties, real, personal and mixed, tangible and intangible, owned by such Person.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banking institutions in the State of California, are not open for the transaction of normal banking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all cash on hand, or in bank accounts, cash equivalents and short-term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Activities</w:t>
      </w:r>
      <w:r>
        <w:rPr>
          <w:rFonts w:ascii="Arial" w:cs="Arial" w:eastAsia="Arial" w:hAnsi="Arial"/>
          <w:sz w:val="16"/>
          <w:szCs w:val="16"/>
          <w:color w:val="auto"/>
        </w:rPr>
        <w:t xml:space="preserve">” means the active solicitation of prescriptions, purchases, sales or sales of drug products or compounds to be dispensed or otherwise delivered to medical doctors, hospitals and patients from any customer who has purchased drug products or compounds from the Sellers within the last twenty-four (24) months preceding the Closing. Notwithstanding the foregoing, “Competitive Activities” shall not include (i) general advertising not targeted at such customers; or (ii) selling drug products or compounds to such customers on a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basis and as an employee of a retail pharmacy.</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and all written and unwritten agreements, contracts, deeds, arrangements, purchase orders and other instruments and interests therein, and all amendments thereof.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Schedule</w:t>
      </w:r>
      <w:r>
        <w:rPr>
          <w:rFonts w:ascii="Arial" w:cs="Arial" w:eastAsia="Arial" w:hAnsi="Arial"/>
          <w:sz w:val="17"/>
          <w:szCs w:val="17"/>
          <w:color w:val="auto"/>
        </w:rPr>
        <w:t>” means the disclosure schedule with respect to the representations, warranties and covenants of the Sellers and of the Purchaser contained in this Agreement, with sections corresponding to the numbered and lettered sections contained herein, delivered separately by the Sellers to the Purchaser and by the Purchaser to the Sellers, respectively, simultaneously with the execution and delivery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Employees</w:t>
      </w:r>
      <w:r>
        <w:rPr>
          <w:rFonts w:ascii="Arial" w:cs="Arial" w:eastAsia="Arial" w:hAnsi="Arial"/>
          <w:sz w:val="18"/>
          <w:szCs w:val="18"/>
          <w:color w:val="auto"/>
        </w:rPr>
        <w:t>” means employees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claim, Lien (statutory or other), pledge, option, charge, easement, security interest, right-of-way, encroachment, encumbrance, mortgage or other rights of third parties.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federal, state, local, foreign and common Laws and regulations relating to pollution or protection of human health or the environment, including, without limitation, laws relating to the exposure to, or Releases or threatened Releases of, Hazardous Materials or otherwise relating to the manufacture, processing, distribution, use, treatment, storage, Release, transport or handling of Hazardous Materials and all laws and regulations with regard to recordkeeping, notification, disclosure and reporting requirements respecting Hazardous Materials, and all laws relating to endangered or threatened species of fish, wildlife and plants and the management or use of natural resources.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Documents</w:t>
      </w:r>
      <w:r>
        <w:rPr>
          <w:rFonts w:ascii="Arial" w:cs="Arial" w:eastAsia="Arial" w:hAnsi="Arial"/>
          <w:sz w:val="18"/>
          <w:szCs w:val="18"/>
          <w:color w:val="auto"/>
        </w:rPr>
        <w:t>” means the documents by which any Person (other than an individual) establishes its legal existence or which govern its internal affairs, as in effect from time to time including any amendments thereto. For example, the “Fundamental Documents” of a corporation would be its certificate or articles of incorporation and bylaws, each as may be amended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accounting principles generally accepted in the United States of America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court, administrative agency, tribunal, department, bureau or commission or other governmental authority or instrumentality, domestic or foreign, federal, state or local.</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chemicals, materials or substances defined as or included in the definition of “hazardous substances,” “hazardous wastes,” “hazardous materials,” “hazardous constituents,” “restricted hazardous materials,” “extremely hazardous substances,” “toxic substances,” “contaminants,” “pollutants,” “toxic pollutants” or words of similar meaning and regulatory effect under Environmental Law, including petroleum or petroleum by-products, asbestos or asbestos-containing material, lead-containing paint or plumbing, polychlorinated biphenyl, radioactive material or radon.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Health Care Legal Requirement</w:t>
      </w:r>
      <w:r>
        <w:rPr>
          <w:rFonts w:ascii="Arial" w:cs="Arial" w:eastAsia="Arial" w:hAnsi="Arial"/>
          <w:sz w:val="17"/>
          <w:szCs w:val="17"/>
          <w:color w:val="auto"/>
        </w:rPr>
        <w:t>” means, with respect to the Company and the Business, any legal requirement relating to health care regulatory matters, including, (a) 42 U.S.C. 1320a-7, 7a and 7b, which are commonly referred to as the “</w:t>
      </w:r>
      <w:r>
        <w:rPr>
          <w:rFonts w:ascii="Arial" w:cs="Arial" w:eastAsia="Arial" w:hAnsi="Arial"/>
          <w:sz w:val="17"/>
          <w:szCs w:val="17"/>
          <w:u w:val="single" w:color="auto"/>
          <w:color w:val="auto"/>
        </w:rPr>
        <w:t>Federal Fraud Statutes</w:t>
      </w:r>
      <w:r>
        <w:rPr>
          <w:rFonts w:ascii="Arial" w:cs="Arial" w:eastAsia="Arial" w:hAnsi="Arial"/>
          <w:sz w:val="17"/>
          <w:szCs w:val="17"/>
          <w:color w:val="auto"/>
        </w:rPr>
        <w:t>” or “</w:t>
      </w:r>
      <w:r>
        <w:rPr>
          <w:rFonts w:ascii="Arial" w:cs="Arial" w:eastAsia="Arial" w:hAnsi="Arial"/>
          <w:sz w:val="17"/>
          <w:szCs w:val="17"/>
          <w:u w:val="single" w:color="auto"/>
          <w:color w:val="auto"/>
        </w:rPr>
        <w:t>Anti-Kickback Statutes</w:t>
      </w:r>
      <w:r>
        <w:rPr>
          <w:rFonts w:ascii="Arial" w:cs="Arial" w:eastAsia="Arial" w:hAnsi="Arial"/>
          <w:sz w:val="17"/>
          <w:szCs w:val="17"/>
          <w:color w:val="auto"/>
        </w:rPr>
        <w:t>” (b) 42 U.S.C. 1395nn, which is commonly referred to as the “</w:t>
      </w:r>
      <w:r>
        <w:rPr>
          <w:rFonts w:ascii="Arial" w:cs="Arial" w:eastAsia="Arial" w:hAnsi="Arial"/>
          <w:sz w:val="17"/>
          <w:szCs w:val="17"/>
          <w:u w:val="single" w:color="auto"/>
          <w:color w:val="auto"/>
        </w:rPr>
        <w:t>Stark Statute</w:t>
      </w:r>
      <w:r>
        <w:rPr>
          <w:rFonts w:ascii="Arial" w:cs="Arial" w:eastAsia="Arial" w:hAnsi="Arial"/>
          <w:sz w:val="17"/>
          <w:szCs w:val="17"/>
          <w:color w:val="auto"/>
        </w:rPr>
        <w:t>,” (c) 31 U.S.C. 3729-3733, which is commonly referred to as the “</w:t>
      </w:r>
      <w:r>
        <w:rPr>
          <w:rFonts w:ascii="Arial" w:cs="Arial" w:eastAsia="Arial" w:hAnsi="Arial"/>
          <w:sz w:val="17"/>
          <w:szCs w:val="17"/>
          <w:u w:val="single" w:color="auto"/>
          <w:color w:val="auto"/>
        </w:rPr>
        <w:t>Federal False 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(d) 42 U.S.C. 1320d through 1320d-8 and 42 C.F.R. 160, 162 and 164, which is commonly referred to as the “</w:t>
      </w:r>
      <w:r>
        <w:rPr>
          <w:rFonts w:ascii="Arial" w:cs="Arial" w:eastAsia="Arial" w:hAnsi="Arial"/>
          <w:sz w:val="17"/>
          <w:szCs w:val="17"/>
          <w:u w:val="single" w:color="auto"/>
          <w:color w:val="auto"/>
        </w:rPr>
        <w:t>Health Insurance Portability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Accountability Act of 1996</w:t>
      </w:r>
      <w:r>
        <w:rPr>
          <w:rFonts w:ascii="Arial" w:cs="Arial" w:eastAsia="Arial" w:hAnsi="Arial"/>
          <w:sz w:val="17"/>
          <w:szCs w:val="17"/>
          <w:color w:val="auto"/>
        </w:rPr>
        <w:t>,” (e) applicable Laws of the U.S. Food and Drug Administration and all regulations promulgated thereunder, (f) applicable Laws of the U.S. Drug Enforcement Administration and all regulations promulgated thereunder, (g) applicable state anti-kickback laws, (h) state information privacy and security laws, and (i) state laws governing the licensure and operation of pharmacies, including, without limitation, California Business and Professions Code Chapter 9. Health Care Legal Requirement does not include any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9" w:name="page70"/>
    <w:bookmarkEnd w:id="69"/>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the Company, and without duplication: (a) any obligation of such Person for borrowed money, whether or not reflected on the face of the balance sheet contained in the Financial Statements, together with all prepayment premiums or penalties and other amounts with respect to such indebtedness prepaid or becoming due as a result of this transaction; (b) any unpaid interest and bank fees owing on any such indebtedness described in clause (a); (c) all obligations in respect of purchase money liens and capitalized leases (calculated in accordance with GAAP); (d) indebtedness evidenced by any note, bond, debenture, mortgage or other debt instrument or debt security; (e) all obligations of the Company for deferred purchase price earn-out or similar contingent payment obligations (whether or not currently payable and to the fullest extent payable); (f) all obligations of the Company relating to retention payments, change of control/transaction-related or similar bonuses and payments (including severance payments), in each case which become payable in connection with or as a result of the Closing; (g) all obligations of the Company relating to any accrued but unpaid amounts owing to any Employees, including, without limitation, any “back-pay” or equivalent thereof; (h) any other obligation that, in accordance with GAAP, would be required to be reflected as debt on the balance sheet of the Company; and (i) the amount of any guarantees of Indebtedness of the type described in clauses (a) through (i) above of any other Person.</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any Liability for Taxes of the Company for any Pre-Closing Tax Period; (b) any Liability attributable to any misrepresentation or breach of warranty made by either Seller in Section 2.11; and (c) any Liability for Taxes attributable to any failure to comply with any of the covenants or agreements of each Seller under this Agreement; in each case, other than and expressly excluding (i) any current Liability for Taxes included in the calculation of Closing Working Capital and (ii) the portion of any Transfer Taxes to be paid by Purchaser. In the case of any Taxes for a Straddle Period, the portion of such Tax that shall be treated as part of the Pre-Closing Tax Period shall (x) in the case of any Taxes other than gross receipts, sales or use Taxes and Taxes based upon or related to income, be deemed to be the amount of such Tax for the entire Tax period multiplied by a fraction the numerator of which is the number of days in the Tax period ending on and including the Closing Date and the denominator of which is the number of days in the entire Tax period and (y) in the case of any Tax not included in clause (x) above, be deemed equal to the amount which would be payable if the relevant Tax period ended on and included the Closing Date. All determinations necessary to give effect to the allocation set forth in the foregoing clause (y) shall be made in a manner consistent with prior practice of the Company.</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Interfering Activities</w:t>
      </w:r>
      <w:r>
        <w:rPr>
          <w:rFonts w:ascii="Arial" w:cs="Arial" w:eastAsia="Arial" w:hAnsi="Arial"/>
          <w:sz w:val="16"/>
          <w:szCs w:val="16"/>
          <w:color w:val="auto"/>
        </w:rPr>
        <w:t xml:space="preserve">” means directly or indirectly (a) encouraging, soliciting or inducing, or in any manner attempting to encourage, solicit or induce, any Person employed by, as agent of, or a service provider to, the Company within the twelve (12)-month period prior to the Closing to terminate (or, in the case of an agent or service provider, terminate or reduce) such Person’s employment, agency or service, as the case may be,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violated by general advertising not targeted at Employees; (b) hiring any Person who was employed by, an agent of, or a service provider to, the Company, within the six (6) month period prior to the date of such hiring;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be violated by a hiring for other than Competitive Activities; or (c) encouraging, soliciting or inducing, or in any manner attempting to encourage, solicit or induce any customer, supplier, licensee or other business relation (or any direct or indirect subsidiary of any such customer, supplier, licensee or other business relation) of the Company to cease doing business with or reduce the amount of business conducted with (including by providing similar services or products to any such Person) the Company, or in any way interfere with the relationship between any such customer, supplier, licensee or business relation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(whether capitalized or not) as to any Person, means all facts of which such Person has actual notice or knowledge or should have notice or knowledge following due inquiry and reasonable diligence;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phrase “</w:t>
      </w:r>
      <w:r>
        <w:rPr>
          <w:rFonts w:ascii="Arial" w:cs="Arial" w:eastAsia="Arial" w:hAnsi="Arial"/>
          <w:sz w:val="18"/>
          <w:szCs w:val="18"/>
          <w:u w:val="single" w:color="auto"/>
          <w:color w:val="auto"/>
        </w:rPr>
        <w:t>Knowledge of the Sellers</w:t>
      </w:r>
      <w:r>
        <w:rPr>
          <w:rFonts w:ascii="Arial" w:cs="Arial" w:eastAsia="Arial" w:hAnsi="Arial"/>
          <w:sz w:val="18"/>
          <w:szCs w:val="18"/>
          <w:color w:val="auto"/>
        </w:rPr>
        <w:t>” shall include the joint and several Knowledge of the Sellers.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constitution, law, statute, treaty, rule, directive, requirement, regulation or Order of, or promulgated by, any Governmental Entity, and without limiting the foregoing, includes applicable Health Care Legal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Agreement</w:t>
      </w:r>
      <w:r>
        <w:rPr>
          <w:rFonts w:ascii="Arial" w:cs="Arial" w:eastAsia="Arial" w:hAnsi="Arial"/>
          <w:sz w:val="18"/>
          <w:szCs w:val="18"/>
          <w:color w:val="auto"/>
        </w:rPr>
        <w:t>” means the lease agreement by and between the Company, as tenant, and Healthcare Reit, Inc., as landlord.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liability or obligation, whether known or unknown, asserted or unasserted, absolute or contingent, accrued or unaccrued, liquidated or unliquidated and whether due or to become due, regardless of when asserted.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security interest, pledge, bailment (in the nature of a pledge or for purposes of security), mortgage, deed of trust, the grant of a power to confess judgment, conditional sale or title retention agreement (including any lease in the nature thereof), charge, encumbrance, easement, reservation, restriction, cloud, right of first refusal or first offer, option or other similar arrangement or interest in real or personal property.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means any loss (including, without limitation, incidental and consequential damages and diminutions in value), Liability, demand, claim, action, cause of action, lawsuits, administrative proceedings (including informal proceedings), investigations, audits, demands, assessments, cost, damage (including punitive damages), deficiency, Tax, fine or expense, whether or not arising out of any claims by or on behalf of any third party, including interest, penalties, reasonable attorneys’ fees and expenses and all reasonable amounts paid in investigation, judgment, adjustment, defense or settlement of any of the foregoing.</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of any Person means any change, development, circumstance, effect, event or fact that (a) has had, or could reasonably be expected to have, a material adverse effect upon the financial condition, business, Assets, Liabilities, prospects or results of operations of such Person, taken as a whole or (b) could reasonably be expected to prevent or materially impede or delay the performance by such Person of their respective obligations under this Agreement or the consummation of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adverse change, event or effect arising from any of the following shall not (other than as expressly excepted by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immediately after the following clause (iii)) be deemed a Material Adverse Effect: (i) changes after the date hereof in general economic conditions in the United States, (ii) the engagement by the United States in hostilities, whether or not pursuant to the declaration of a national emergency or war, or the occurrence of any military or terrorist attack upon the United States, or any of its territories, or (iii) changes after the date hereof in GAAP or Laws applicable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change, event or effect referred to in clauses (i) through (iii) may be taken into account in determining whether or not there has been a “Material Adverse Effect” to the extent such change, event or effect has a disproportionate adverse effect on the Company, taken as a whole, as compared to other participants in the industry in which the Company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judgment, writ, decree, injunction, order, award, compliance agreement or settlement agreement of or with any Governmental Entity or arbitrator.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 license, authorization, registration, franchise, approval, consent, certificate, variance and similar right obtained, or required to be obtained, from any Governmental Entity.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be construed broadly and shall include an individual, a partnership (general or limited), a corporation, a limited liability company, an association, a joint stock company, a trust, a joint venture, an unincorporated organization, any other entity and any Governmental Entity (or any department, agency or political subdivision thereof).</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 period (or portions thereof as determined pursuant to the penultimate sentence of the definition of Indemnified Taxes) ending on or prior to the Closing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suit, proceeding, complaint, claim, charge, hearing, labor dispute, inquiry, audit or investigation before or by a Governmental Entity or an arbitrator.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leaking, pumping, injection, deposit, disposal, dispersal, leaching or migration into the indoor or outdoor environment (including, without limitation, ambient air, surface water, groundwater and surface or subsurface strata) or into or out of any property, including the movement of Hazardous Materials through or in the air, soil, surface water, groundwater or property.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the period commencing on the Effective Date and ending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anniversary of the Closing Date.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Solicitation Restricted Period</w:t>
      </w:r>
      <w:r>
        <w:rPr>
          <w:rFonts w:ascii="Arial" w:cs="Arial" w:eastAsia="Arial" w:hAnsi="Arial"/>
          <w:sz w:val="16"/>
          <w:szCs w:val="16"/>
          <w:color w:val="auto"/>
        </w:rPr>
        <w:t>” means the period commencing on the Effective Date and ending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anniversary of the Closing</w:t>
      </w:r>
    </w:p>
    <w:p>
      <w:pPr>
        <w:spacing w:after="0"/>
        <w:rPr>
          <w:sz w:val="20"/>
          <w:szCs w:val="20"/>
          <w:color w:val="auto"/>
        </w:rPr>
      </w:pPr>
      <w:r>
        <w:rPr>
          <w:rFonts w:ascii="Arial" w:cs="Arial" w:eastAsia="Arial" w:hAnsi="Arial"/>
          <w:sz w:val="18"/>
          <w:szCs w:val="18"/>
          <w:color w:val="auto"/>
        </w:rPr>
        <w:t>Date.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 period that includes, but do not end on, the Closing Date.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particular Person (other than an individual) with respect to which a specified Person (or a Subsidiary of such specified Person) has direct or indirect ownership interest.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means (i)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w:t>
      </w:r>
      <w:r>
        <w:rPr>
          <w:rFonts w:ascii="Arial" w:cs="Arial" w:eastAsia="Arial" w:hAnsi="Arial"/>
          <w:sz w:val="17"/>
          <w:szCs w:val="17"/>
          <w:i w:val="1"/>
          <w:iCs w:val="1"/>
          <w:color w:val="auto"/>
        </w:rPr>
        <w:t>ad valorem</w:t>
      </w:r>
      <w:r>
        <w:rPr>
          <w:rFonts w:ascii="Arial" w:cs="Arial" w:eastAsia="Arial" w:hAnsi="Arial"/>
          <w:sz w:val="17"/>
          <w:szCs w:val="17"/>
          <w:color w:val="auto"/>
        </w:rPr>
        <w:t>,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whether disputed or not; (ii) Liability for the payment of any amounts of the type described in (i) as a result of being a member of an affiliated, consolidated, combined, unitary or aggregate group; and (iii) Liability for the payment of any amounts as a result of an express or implied obligation to indemnify any other Person with respect to the payment of any amounts described in (i) or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returns, reports, information statements and other documentation (including any additional or supporting material) filed or maintained, or required to be filed or maintained, in connection with the calculation, determination, assessment, claim for refund or collection of any Tax and shall include any amended returns required as a result of examination adjustments made by the Internal Revenue Service or other Governmental Entity.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Tax Consideration</w:t>
      </w:r>
      <w:r>
        <w:rPr>
          <w:rFonts w:ascii="Arial" w:cs="Arial" w:eastAsia="Arial" w:hAnsi="Arial"/>
          <w:sz w:val="18"/>
          <w:szCs w:val="18"/>
          <w:color w:val="auto"/>
        </w:rPr>
        <w:t>” shall mean the total amount deemed received by the Company from Purchaser in exchange for the assets of the Company for income Tax purposes pursuant to this Agreement and the Section 338(h)(10) Election, including the Purchase Price, as adjusted hereunder, and any liabilities of the Company properly includible in determining the amount realized by the Company for income Tax purposes in connection with its deemed sale of its assets.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means any transfer, documentary, sales, use, stamp, registration or other similar Taxes and fees.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u w:val="single" w:color="auto"/>
          <w:color w:val="auto"/>
        </w:rPr>
        <w:t>Interpretation and Meaning</w:t>
      </w:r>
      <w:r>
        <w:rPr>
          <w:rFonts w:ascii="Arial" w:cs="Arial" w:eastAsia="Arial" w:hAnsi="Arial"/>
          <w:sz w:val="16"/>
          <w:szCs w:val="16"/>
          <w:color w:val="auto"/>
        </w:rPr>
        <w:t xml:space="preserve">. The definitions in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“herein,” “hereof” and “hereunder” and words of similar import refer to this Agreement (including the Appendices, Exhibits and Schedules to this Agreement) in its entirety and not to any part hereof unless the context shall otherwise require. All references herein to Appendices, Articles, Sections, Exhibits and Schedules shall be deemed references to Appendices, Articles and Sections of, and Exhibits and Schedules to this Agreement unless the context shall otherwise require. Unless the context shall otherwise require, any references to any agreement or other instrument or statute or regulation are to it as amended and supplemented from time to time (and, in the case of a statute or regulation, to any successor provisions). Accounting terms used but not otherwise defined herein shall have the meanings given to them under GAAP, unless the fact that the Company has not maintained its books and records in accordance with GAAP shall render such meaning confusing, inappropriate or inapplicable, or shall have an inequitable result on the Sellers. Any reference to any supranational, national, federal, state, local or foreign statute or Law shall be deemed also to refer to all rules and regulations promulgated thereunder, unless the context requires otherwise. Any reference in this Agreement to a “day” or a number of “days” (without explicit reference to “Business Days”) shall be interpreted as a reference to a calendar day or number of calendar days. If any action is to be taken or given on or by a particular calendar day, and such calendar day is not a Business Day, then such action may be deferred until the next Business Day. All references to “$” or “dollars” shall mean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12, 2015</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12, 2015</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June 30, 2015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Mark L. Baum </w:t>
      </w: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Andrew R. Boll </w:t>
      </w: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lowerRoman"/>
      <w:start w:val="1"/>
    </w:lvl>
  </w:abstractNum>
  <w:abstractNum w:abstractNumId="13">
    <w:nsid w:val="333AB105"/>
    <w:multiLevelType w:val="hybridMultilevel"/>
    <w:lvl w:ilvl="0">
      <w:lvlJc w:val="left"/>
      <w:lvlText w:val="(%1)"/>
      <w:numFmt w:val="lowerRoman"/>
      <w:start w:val="14"/>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lowerLetter"/>
      <w:start w:val="9"/>
    </w:lvl>
  </w:abstractNum>
  <w:abstractNum w:abstractNumId="16">
    <w:nsid w:val="2D1D5AE9"/>
    <w:multiLevelType w:val="hybridMultilevel"/>
    <w:lvl w:ilvl="0">
      <w:lvlJc w:val="left"/>
      <w:lvlText w:val="(%1)"/>
      <w:numFmt w:val="lowerLetter"/>
      <w:start w:val="35"/>
    </w:lvl>
  </w:abstractNum>
  <w:abstractNum w:abstractNumId="17">
    <w:nsid w:val="6763845E"/>
    <w:multiLevelType w:val="hybridMultilevel"/>
    <w:lvl w:ilvl="0">
      <w:lvlJc w:val="left"/>
      <w:lvlText w:val="(%1)"/>
      <w:numFmt w:val="lowerRoman"/>
      <w:start w:val="2"/>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5"/>
    </w:lvl>
  </w:abstractNum>
  <w:abstractNum w:abstractNumId="23">
    <w:nsid w:val="189A769B"/>
    <w:multiLevelType w:val="hybridMultilevel"/>
    <w:lvl w:ilvl="0">
      <w:lvlJc w:val="left"/>
      <w:lvlText w:val="(%1)"/>
      <w:numFmt w:val="lowerLetter"/>
      <w:start w:val="1"/>
    </w:lvl>
    <w:lvl w:ilvl="1">
      <w:lvlJc w:val="left"/>
      <w:lvlText w:val="(%2)"/>
      <w:numFmt w:val="lowerRoman"/>
      <w:start w:val="1"/>
    </w:lvl>
  </w:abstractNum>
  <w:abstractNum w:abstractNumId="24">
    <w:nsid w:val="54E49EB4"/>
    <w:multiLevelType w:val="hybridMultilevel"/>
    <w:lvl w:ilvl="0">
      <w:lvlJc w:val="left"/>
      <w:lvlText w:val="(%1)"/>
      <w:numFmt w:val="lowerLetter"/>
      <w:start w:val="1"/>
    </w:lvl>
    <w:lvl w:ilvl="1">
      <w:lvlJc w:val="left"/>
      <w:lvlText w:val="(%2)"/>
      <w:numFmt w:val="lowerRoman"/>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2020-01-24T08:22:41Z</dcterms:created>
  <dcterms:modified xsi:type="dcterms:W3CDTF">2020-01-24T08:22:41Z</dcterms:modified>
</cp:coreProperties>
</file>