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December 19, 2016</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California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December 19, 2016, Imprimis Pharmaceuticals, Inc. (the “Company”) entered into a securities purchase agreement (the “Purchase Agreement”) with certain purchasers identified on the schedule of buyers attached thereto (the “Investors”), which provides for the sale by the Company of approximately 5.2 million Units, with each Unit consisting of one share of common stock of the Company, par value $0.001 per share (the “Common Stock”), and one warrant to purchase one share of Common Stock (the “Investor Warrants”), at a price of $1.915 per Unit for aggregate gross proceeds of approximately $10 million (the “Offering”). The Investor Warrants have an exercise price of $1.79 per share, are non-exercisable for the first six months and will expire three years from the date of issuance. The Investors include three executive officers and/or directors of the Company, each of whom agreed to purchase the Units on the same terms and conditions as the other Investors, and who collectively agreed to purchase 295,000 Units shares for an aggregate purchase price of $564,925. The Company expects to close the Offering (the “Closing”) by December 28, 2016.</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Closing, the Company will pay National Securities Corporation (the “Placement Agent”), in consideration for its services as placement agent for the Offering, a cash amount equal to 7.5% of the gross proceeds from the sale of the Units. The Company will also issue to the Placement Agent a warrant (the “Agent Warrant”) to purchase up to that number of shares of Common Stock equal to 4% of the shares of Common Stock included in the Units (excluding the shares of Common Stock underlying the Investor Warrants) sold in the Offering. The Agent Warrant will be issued on the same terms and conditions of the Investor Warrants.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the Purchase Agreement, the Company has agreed to indemnify the Investors for liabilities arising out of or relating to (i) any breach of any of the representations, warranties, covenants or agreements made by the Company in the Purchase Agreement or related documents or (ii) any action instituted against an Investor with respect to the Offering, subject to certain exceptions. The Purchase Agreement also contains customary representations and warranties and covenants of the Company and is subject to customary closing conditions.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at the Closing the Company will enter into a registration rights agreement (the “Registration Rights Agreement”) with the Investors pursuant to which the Company will agree to register for resale the shares of Common Stock and the shares of Common Stock underlying the Investor Warrants sold in the Offering. Under the terms of the Registration Statement, the Company will commit to file the registration statement no later than 30 days after the Closing and to cause the registration statement to become effective no later than the earlier of (i) five business days after the SEC informs the Company that no review of the registration statement will be made or that the SEC has no further comments on the registration statement or (ii) 120 days after the Closing. The Registration Rights Agreement provides for liquidated damages upon the occurrence of certain events, including the Company’s failure to file the registration statement or cause it to become effective by the deadlines set forth above. The amount of liquidated damages payable to an Investor would be 1% of the aggregate amount invested by such Investor for each 30-day period, or pro rata portion thereof, during which the default continues, up to a maximum amount of 10% of the aggregate amount invested by such Investor pursuant to the Purchase Agreement. The Placement Agent will receive registration rights with respect to the shares of Common Stock underlying the Agent Warrant on the same terms and conditions as the Investors.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Units to be issued in the Offering were offered and will be sold exclusively to accredited investors, and the Agent Warrant was offered and will be sold to the Placement Agent, in a transaction exempt from registration under the Securities Act of 1933, as amended (the “Securities Act”), as a transaction not involving a public offering, pursuant to Section 4(a)(2) of the Securities Act and Rule 506(b) of Regulation D promulgated thereunder.</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foregoing summaries of the Purchase Agreement, Registration Rights Agreement and the Investor Warrants are qualified in their entirety by reference to the full text of the agreements, which are attached as Exhibits 10.1, 10.2 and 10.3 hereto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b w:val="1"/>
          <w:bCs w:val="1"/>
          <w:color w:val="auto"/>
        </w:rPr>
        <w:t>Item 3.02 —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disclosure under Item 1.01 is incorporated herein by reference to the extent required.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Securities Purchase Agreement, dated December 19, 2016, between the Registrant and the Investors party thereto</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Registration Rights Agreement between the Registrant and the Investors party thereto</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Form of Investor Warrant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issued by the Registrant on December 19, 2016</w:t>
            </w:r>
          </w:p>
        </w:tc>
      </w:tr>
      <w:tr>
        <w:trPr>
          <w:trHeight w:val="439"/>
        </w:trPr>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780" w:type="dxa"/>
            <w:vAlign w:val="bottom"/>
          </w:tcPr>
          <w:p>
            <w:pPr>
              <w:spacing w:after="0"/>
              <w:rPr>
                <w:sz w:val="20"/>
                <w:szCs w:val="20"/>
                <w:color w:val="auto"/>
              </w:rPr>
            </w:pPr>
            <w:r>
              <w:rPr>
                <w:rFonts w:ascii="Arial" w:cs="Arial" w:eastAsia="Arial" w:hAnsi="Arial"/>
                <w:sz w:val="18"/>
                <w:szCs w:val="18"/>
                <w:color w:val="auto"/>
              </w:rPr>
              <w:t>Date: December 23, 2016</w:t>
            </w:r>
          </w:p>
        </w:tc>
        <w:tc>
          <w:tcPr>
            <w:tcW w:w="2500" w:type="dxa"/>
            <w:vAlign w:val="bottom"/>
          </w:tcPr>
          <w:p>
            <w:pPr>
              <w:ind w:left="19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780" w:type="dxa"/>
            <w:vAlign w:val="bottom"/>
          </w:tcPr>
          <w:p>
            <w:pPr>
              <w:spacing w:after="0"/>
              <w:rPr>
                <w:sz w:val="17"/>
                <w:szCs w:val="17"/>
                <w:color w:val="auto"/>
              </w:rPr>
            </w:pPr>
          </w:p>
        </w:tc>
        <w:tc>
          <w:tcPr>
            <w:tcW w:w="2500" w:type="dxa"/>
            <w:vAlign w:val="bottom"/>
          </w:tcPr>
          <w:p>
            <w:pPr>
              <w:ind w:left="194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78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1028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PURCHASE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the 19th day of December 2016, by and between Imprimis 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individual or entity named on the Schedule of Buyers attached hereto (each such individual or entity, individually, a “</w:t>
      </w:r>
      <w:r>
        <w:rPr>
          <w:rFonts w:ascii="Arial" w:cs="Arial" w:eastAsia="Arial" w:hAnsi="Arial"/>
          <w:sz w:val="18"/>
          <w:szCs w:val="18"/>
          <w:b w:val="1"/>
          <w:bCs w:val="1"/>
          <w:color w:val="auto"/>
        </w:rPr>
        <w:t>Buyer</w:t>
      </w:r>
      <w:r>
        <w:rPr>
          <w:rFonts w:ascii="Arial" w:cs="Arial" w:eastAsia="Arial" w:hAnsi="Arial"/>
          <w:sz w:val="18"/>
          <w:szCs w:val="18"/>
          <w:color w:val="auto"/>
        </w:rPr>
        <w:t>” and all of such individuals or entities, collectively, the “</w:t>
      </w:r>
      <w:r>
        <w:rPr>
          <w:rFonts w:ascii="Arial" w:cs="Arial" w:eastAsia="Arial" w:hAnsi="Arial"/>
          <w:sz w:val="18"/>
          <w:szCs w:val="18"/>
          <w:b w:val="1"/>
          <w:bCs w:val="1"/>
          <w:color w:val="auto"/>
        </w:rPr>
        <w:t>Buyers</w:t>
      </w:r>
      <w:r>
        <w:rPr>
          <w:rFonts w:ascii="Arial" w:cs="Arial" w:eastAsia="Arial" w:hAnsi="Arial"/>
          <w:sz w:val="18"/>
          <w:szCs w:val="18"/>
          <w:color w:val="auto"/>
        </w:rPr>
        <w: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64" w:lineRule="auto"/>
        <w:tabs>
          <w:tab w:leader="none" w:pos="1197"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and pursuant to Section 4(a)(2)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Rule 506(b) promulgated thereunder, the Company desires to issue and sell to each Buyer, and each Buyer, severally and not jointly, desires to purchase from the Company, securities of the Company as more fully described in this Agreement.</w:t>
      </w:r>
    </w:p>
    <w:p>
      <w:pPr>
        <w:spacing w:after="0" w:line="177" w:lineRule="exact"/>
        <w:rPr>
          <w:rFonts w:ascii="Arial" w:cs="Arial" w:eastAsia="Arial" w:hAnsi="Arial"/>
          <w:sz w:val="18"/>
          <w:szCs w:val="18"/>
          <w:color w:val="auto"/>
        </w:rPr>
      </w:pPr>
    </w:p>
    <w:p>
      <w:pPr>
        <w:jc w:val="both"/>
        <w:ind w:right="20" w:firstLine="656"/>
        <w:spacing w:after="0" w:line="314"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connection with the offering, the Company, together with National Securities Corporation (the “</w:t>
      </w:r>
      <w:r>
        <w:rPr>
          <w:rFonts w:ascii="Arial" w:cs="Arial" w:eastAsia="Arial" w:hAnsi="Arial"/>
          <w:sz w:val="16"/>
          <w:szCs w:val="16"/>
          <w:b w:val="1"/>
          <w:bCs w:val="1"/>
          <w:color w:val="auto"/>
        </w:rPr>
        <w:t>Placement Agent</w:t>
      </w:r>
      <w:r>
        <w:rPr>
          <w:rFonts w:ascii="Arial" w:cs="Arial" w:eastAsia="Arial" w:hAnsi="Arial"/>
          <w:sz w:val="16"/>
          <w:szCs w:val="16"/>
          <w:color w:val="auto"/>
        </w:rPr>
        <w:t xml:space="preserve">”), have entered into an escrow agreement,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Escrow Agreement</w:t>
      </w:r>
      <w:r>
        <w:rPr>
          <w:rFonts w:ascii="Arial" w:cs="Arial" w:eastAsia="Arial" w:hAnsi="Arial"/>
          <w:sz w:val="16"/>
          <w:szCs w:val="16"/>
          <w:color w:val="auto"/>
        </w:rPr>
        <w:t>”), with Delaware Trust Company (the “</w:t>
      </w:r>
      <w:r>
        <w:rPr>
          <w:rFonts w:ascii="Arial" w:cs="Arial" w:eastAsia="Arial" w:hAnsi="Arial"/>
          <w:sz w:val="16"/>
          <w:szCs w:val="16"/>
          <w:b w:val="1"/>
          <w:bCs w:val="1"/>
          <w:color w:val="auto"/>
        </w:rPr>
        <w:t>Escrow Agent</w:t>
      </w:r>
      <w:r>
        <w:rPr>
          <w:rFonts w:ascii="Arial" w:cs="Arial" w:eastAsia="Arial" w:hAnsi="Arial"/>
          <w:sz w:val="16"/>
          <w:szCs w:val="16"/>
          <w:color w:val="auto"/>
        </w:rPr>
        <w:t>”), to hold the Purchase Price (as hereinafter defined), to be released at the Closing to the Company, upon the written consent of the Company and the Placement Agent.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NOW, THEREFORE, in consideration of the premises and the mutual covenants of the parties hereinafter expressed and other good and valuable consideration, the receipt and sufficiency of which is hereby acknowledged, the parties hereto, each intending to be legally bound, agree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 EXHIBITS, SCHEDULES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recitals are true and correct and, together with the Schedules and Exhibits referred to hereafter, are hereby incorporated into this Agreement by this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purposes of this Agreement, except as otherwise expressly provided or otherwise defined elsewhere in this Agreement, or unless the context otherwise requires, the capitalized terms in this Agreement shall have the meanings assigned to them in this Article as follows:</w:t>
      </w:r>
    </w:p>
    <w:p>
      <w:pPr>
        <w:spacing w:after="0" w:line="16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firstLine="648"/>
        <w:spacing w:after="0" w:line="282"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Assets</w:t>
      </w:r>
      <w:r>
        <w:rPr>
          <w:rFonts w:ascii="Arial" w:cs="Arial" w:eastAsia="Arial" w:hAnsi="Arial"/>
          <w:sz w:val="18"/>
          <w:szCs w:val="18"/>
          <w:color w:val="auto"/>
        </w:rPr>
        <w:t>” means all of the properties and assets of the Company and its Operating Subs, whether real, personal or mixed, tangible or intangible, wherever located, whether now owned or hereafter acquired.</w:t>
      </w:r>
    </w:p>
    <w:p>
      <w:pPr>
        <w:spacing w:after="0" w:line="16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Buyer’s Purchase Price</w:t>
      </w:r>
      <w:r>
        <w:rPr>
          <w:rFonts w:ascii="Arial" w:cs="Arial" w:eastAsia="Arial" w:hAnsi="Arial"/>
          <w:sz w:val="16"/>
          <w:szCs w:val="16"/>
          <w:color w:val="auto"/>
        </w:rPr>
        <w:t>” shall mean, with respect to any Buyer, the “Purchase Price” opposite such Buyer’s name on the Schedule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Buyers.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Claims</w:t>
      </w:r>
      <w:r>
        <w:rPr>
          <w:rFonts w:ascii="Arial" w:cs="Arial" w:eastAsia="Arial" w:hAnsi="Arial"/>
          <w:sz w:val="18"/>
          <w:szCs w:val="18"/>
          <w:color w:val="auto"/>
        </w:rPr>
        <w:t>” means any Proceedings, Judgments, Obligations, known threats, losses, damages, deficiencies, settlements, assessments, charges, costs and expenses of any nature or kind.</w:t>
      </w:r>
    </w:p>
    <w:p>
      <w:pPr>
        <w:spacing w:after="0" w:line="16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Company’s common stock, $0.001 par value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order or authorization of, or any declaration, filing or registration with, or any application or report to, or any waiver by, or any other action (whether similar or dissimilar to any of the foregoing) of, by or with, any Person, which is necessary in order to take a specified action or actions, in a specified manner and/or to achieve a specific result.</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color w:val="auto"/>
        </w:rPr>
        <w:t>Contract</w:t>
      </w:r>
      <w:r>
        <w:rPr>
          <w:rFonts w:ascii="Arial" w:cs="Arial" w:eastAsia="Arial" w:hAnsi="Arial"/>
          <w:sz w:val="18"/>
          <w:szCs w:val="18"/>
          <w:color w:val="auto"/>
        </w:rPr>
        <w:t>” means any written or oral contract, agreement, order or commitment of any nature whatsoever, including, any sales order, purchase order, lease, sublease, license agreement, services agreement, loan agreement, mortgage, security agreement, guarantee, management contract, employment agreement, consulting agreement, partnership agreement, shareholders agreement, buy-sell agreement, option, warrant, debenture, subscription, call or put.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security interest, pledge, mortgage, easement, leasehold, assessment, tax, covenant, restriction, reservation, conditional sale, prior assignment, or any other encumbrance, claim, burden or charge of any nature whatsoever.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color w:val="auto"/>
        </w:rPr>
        <w:t>Environmental Requirements</w:t>
      </w:r>
      <w:r>
        <w:rPr>
          <w:rFonts w:ascii="Arial" w:cs="Arial" w:eastAsia="Arial" w:hAnsi="Arial"/>
          <w:sz w:val="18"/>
          <w:szCs w:val="18"/>
          <w:color w:val="auto"/>
        </w:rPr>
        <w:t>” means all Laws and requirements relating to human, health, safety or protection of the environment or to emissions, discharges, releases or threatened releases of pollutants, contaminants, or Hazardous Materials in the environment (including, without limitation, ambient air, surface water, ground water, land surface or subsurface strata), or otherwise relating to the treatment, storage, disposal, transport or handling of any Hazardous Materials.</w:t>
      </w:r>
    </w:p>
    <w:p>
      <w:pPr>
        <w:spacing w:after="0" w:line="18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methods and practices set forth in the opinions and pronouncements of the Accounting Principles Board and the American Institute of Certified Public Accountants, and statements and pronouncements of the Financial Accounting Standards Board, the SEC or of such other Person as may be approved by a significant segment of the U.S. accounting profession, in each case as of the date or period at issue, and as applied in the U.S. to U.S.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ind w:firstLine="648"/>
        <w:spacing w:after="0" w:line="266"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foreign, federal, state or local government, or any political subdivision thereof, or any court, agency or other body, organization, group, stock market or exchange exercising any executive, legislative, judicial, quasi-judicial, regulatory or administrative function of government.</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(i) any petroleum or petroleum products, radioactive materials, asbestos in any form that is or could become friable, urea formaldehyde foam insulation and transformers or other equipment that contain dielectric fluid containing levels of polychlorinated biphenyls (PCB’s); (ii) any chemicals, materials, substances or wastes which are now or hereafter become defined as or included in the definition of “hazardous substances,” “hazardous wastes,” “hazardous materials,” “extremely hazardous wastes,” “restricted hazardous wastes,” “toxic substances,” “toxic pollutants” or words of similar import, under any Law; and (iii) any other chemical, material, substance, or waste, exposure to which is now or hereafter prohibited, limited or regulated by any Governmental Authority.</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Judgment</w:t>
      </w:r>
      <w:r>
        <w:rPr>
          <w:rFonts w:ascii="Arial" w:cs="Arial" w:eastAsia="Arial" w:hAnsi="Arial"/>
          <w:sz w:val="18"/>
          <w:szCs w:val="18"/>
          <w:color w:val="auto"/>
        </w:rPr>
        <w:t>” means any order, writ, injunction, fine, citation, award, decree, or any other judgment of any nature whatsoever of any Governmental Authority.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color w:val="auto"/>
        </w:rPr>
        <w:t>Law</w:t>
      </w:r>
      <w:r>
        <w:rPr>
          <w:rFonts w:ascii="Arial" w:cs="Arial" w:eastAsia="Arial" w:hAnsi="Arial"/>
          <w:sz w:val="18"/>
          <w:szCs w:val="18"/>
          <w:color w:val="auto"/>
        </w:rPr>
        <w:t>” means any provision of any law, statute, ordinance, code, constitution, charter, treaty, rule or regulation of any Governmental Authority applicable to the Company.</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Leases</w:t>
      </w:r>
      <w:r>
        <w:rPr>
          <w:rFonts w:ascii="Arial" w:cs="Arial" w:eastAsia="Arial" w:hAnsi="Arial"/>
          <w:sz w:val="16"/>
          <w:szCs w:val="16"/>
          <w:color w:val="auto"/>
        </w:rPr>
        <w:t>” means all leases for real or personal property.</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with respect to the event, item or question at issue, that such event, item or question would not have or reasonably be expected to result in: (i) a material adverse effect on the legality, validity or enforceability of this Agreement or any of the Transaction Documents; (ii) a material adverse effect on the results of operations, Assets, business or condition (financial or otherwise) of the Company and its subsidiaries, taken as a whole; or (iii) a material adverse effect on the Company’s or its subsidiaries’ ability to perform, on a timely basis, its or their respective Obligations under this Agreement or any Transaction Documents.</w:t>
      </w:r>
    </w:p>
    <w:p>
      <w:pPr>
        <w:spacing w:after="0" w:line="184"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b w:val="1"/>
          <w:bCs w:val="1"/>
          <w:color w:val="auto"/>
        </w:rPr>
        <w:t>Material Contract</w:t>
      </w:r>
      <w:r>
        <w:rPr>
          <w:rFonts w:ascii="Arial" w:cs="Arial" w:eastAsia="Arial" w:hAnsi="Arial"/>
          <w:sz w:val="17"/>
          <w:szCs w:val="17"/>
          <w:color w:val="auto"/>
        </w:rPr>
        <w:t>” means any Contract to which the Company is a party or by which it is bound which has been filed or is required to have been filed as an exhibit to the SEC Filings pursuant to Item 601(b)(4) or Item 601(b)(10) of Regulation S-K promulgated by the SEC.</w:t>
      </w:r>
    </w:p>
    <w:p>
      <w:pPr>
        <w:spacing w:after="0" w:line="138"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2.19 “</w:t>
      </w:r>
      <w:r>
        <w:rPr>
          <w:rFonts w:ascii="Arial" w:cs="Arial" w:eastAsia="Arial" w:hAnsi="Arial"/>
          <w:sz w:val="17"/>
          <w:szCs w:val="17"/>
          <w:b w:val="1"/>
          <w:bCs w:val="1"/>
          <w:color w:val="auto"/>
        </w:rPr>
        <w:t>Obligation</w:t>
      </w:r>
      <w:r>
        <w:rPr>
          <w:rFonts w:ascii="Arial" w:cs="Arial" w:eastAsia="Arial" w:hAnsi="Arial"/>
          <w:sz w:val="17"/>
          <w:szCs w:val="17"/>
          <w:color w:val="auto"/>
        </w:rPr>
        <w:t>” means any debt, liability or obligation of any nature whatsoever, whether secured, unsecured, recourse, nonrecourse, liquidated, unliquidated, accrued, absolute, fixed, contingent, ascertained, unascertained, known, unknown or obligations under executory Contracts.</w:t>
      </w:r>
    </w:p>
    <w:p>
      <w:pPr>
        <w:spacing w:after="0" w:line="13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Operating Sub</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the ordinary course of business consistent with past custom and practice (including with respect to quantity, quality and frequency).</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Closing Date</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12.1</w:t>
      </w:r>
      <w:r>
        <w:rPr>
          <w:rFonts w:ascii="Arial" w:cs="Arial" w:eastAsia="Arial" w:hAnsi="Arial"/>
          <w:sz w:val="16"/>
          <w:szCs w:val="16"/>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both"/>
        <w:ind w:firstLine="648"/>
        <w:spacing w:after="0" w:line="282"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Permit</w:t>
      </w:r>
      <w:r>
        <w:rPr>
          <w:rFonts w:ascii="Arial" w:cs="Arial" w:eastAsia="Arial" w:hAnsi="Arial"/>
          <w:sz w:val="18"/>
          <w:szCs w:val="18"/>
          <w:color w:val="auto"/>
        </w:rPr>
        <w:t>” means any license, permit, approval, waiver, order, authorization, right or privilege of any nature whatsoever, granted, issued, approved or allowed by any Governmental Authority.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sole proprietorship, joint venture, partnership, company, corporation, association, cooperation, trust, estate, Governmental Authority, or any other entity of any nature whatsoever.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color w:val="auto"/>
        </w:rPr>
        <w:t>Principal Trading Market</w:t>
      </w:r>
      <w:r>
        <w:rPr>
          <w:rFonts w:ascii="Arial" w:cs="Arial" w:eastAsia="Arial" w:hAnsi="Arial"/>
          <w:sz w:val="18"/>
          <w:szCs w:val="18"/>
          <w:color w:val="auto"/>
        </w:rPr>
        <w:t>” shall mean the Nasdaq Global Select Market, the Nasdaq Global Market, the Nasdaq Capital Market, the OTC Markets, including the Bulletin Board and Pink Sheets, the NYSE Euronext or the New York Stock Exchange, whichever is at the time the principal trading exchange or market for the Common Stock.</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color w:val="auto"/>
        </w:rPr>
        <w:t>Proceeding</w:t>
      </w:r>
      <w:r>
        <w:rPr>
          <w:rFonts w:ascii="Arial" w:cs="Arial" w:eastAsia="Arial" w:hAnsi="Arial"/>
          <w:sz w:val="18"/>
          <w:szCs w:val="18"/>
          <w:color w:val="auto"/>
        </w:rPr>
        <w:t>” means any demand, claim, suit, action, litigation, investigation, audit, study, arbitration, administrative hearing, or any other proceeding of any nature whatsoever.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Real Property</w:t>
      </w:r>
      <w:r>
        <w:rPr>
          <w:rFonts w:ascii="Arial" w:cs="Arial" w:eastAsia="Arial" w:hAnsi="Arial"/>
          <w:sz w:val="18"/>
          <w:szCs w:val="18"/>
          <w:color w:val="auto"/>
        </w:rPr>
        <w:t>” means any real estate, land, building, structure, improvement, fixture or other real property of any nature whatsoever, including, but not limited to, fee and leasehold interests.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xml:space="preserve">” means the Registration Rights Agreement, dated the date hereof, among the Company and the Buyers,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United States Securities and Exchange Commission.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Documents</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6.7</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means collectively, the Shares, the Warrants and the Warrant Shares.</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Tax</w:t>
      </w:r>
      <w:r>
        <w:rPr>
          <w:rFonts w:ascii="Arial" w:cs="Arial" w:eastAsia="Arial" w:hAnsi="Arial"/>
          <w:sz w:val="18"/>
          <w:szCs w:val="18"/>
          <w:color w:val="auto"/>
        </w:rPr>
        <w:t>” means (i) any foreign, federal, state or local income, profits, gross receipts, franchise, sales, use, occupancy, general property, real property, personal property, intangible property, transfer, fuel, excise, accumulated earnings, personal holding company, unemployment compensation, social security, withholding taxes, payroll taxes, or any other tax of any nature whatsoever, (ii) any foreign, federal, state or local organization fee, qualification fee, annual report fee, filing fee, occupation fee, assessment, rent, or any other fee or charge of any nature whatsoever, or (iii) any deficiency, interest or penalty imposed with respect to any of the foregoing.</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color w:val="auto"/>
        </w:rPr>
        <w:t>Tax Return</w:t>
      </w:r>
      <w:r>
        <w:rPr>
          <w:rFonts w:ascii="Arial" w:cs="Arial" w:eastAsia="Arial" w:hAnsi="Arial"/>
          <w:sz w:val="18"/>
          <w:szCs w:val="18"/>
          <w:color w:val="auto"/>
        </w:rPr>
        <w:t>” means any tax return, filing, declaration, information statement or other form or document required to be filed in connection with or with respect to any Tax.</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both"/>
        <w:ind w:firstLine="648"/>
        <w:spacing w:after="0" w:line="282"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this Agreement, the Registration Rights Agreement and the Warrant executed in connection with the transactions contemplated hereunder.</w:t>
      </w:r>
    </w:p>
    <w:p>
      <w:pPr>
        <w:spacing w:after="0" w:line="16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Units</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Warrants</w:t>
      </w:r>
      <w:r>
        <w:rPr>
          <w:rFonts w:ascii="Arial" w:cs="Arial" w:eastAsia="Arial" w:hAnsi="Arial"/>
          <w:sz w:val="16"/>
          <w:szCs w:val="16"/>
          <w:color w:val="auto"/>
        </w:rPr>
        <w:t xml:space="preserve">” means the Warrants, dated the date hereof, issued by the Company to each Buyer,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w:t>
      </w:r>
    </w:p>
    <w:p>
      <w:pPr>
        <w:spacing w:after="0" w:line="22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Warrant Shares</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INTERPRETATION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this Agreement, unless the express context otherwise requires: (i) the words “herein,” “hereof” and “hereunder” and words of similar import refer to this Agreement as a whole and not to any particular provision of this Agreement; (ii) references to the words “Article” or “Section” refer to the respective Articles and Sections of this Agreement, and references to “Exhibit” or “Schedule” refer to the respective Exhibits and Schedules annexed hereto; (iii) references to a “party” mean a party to this Agreement and include references to such party’s permitted successors and permitted assigns; (iv) references to a “third party” mean a Person not a party to this Agreement; (v) the terms “dollars” and “$” means U.S. dollars; (vi) wherever the word “include,” “includes” or “including” is used in this Agreement, it will be deemed to be followed by the words “without limitation.”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Sale and Issuance of Units</w:t>
      </w:r>
      <w:r>
        <w:rPr>
          <w:rFonts w:ascii="Arial" w:cs="Arial" w:eastAsia="Arial" w:hAnsi="Arial"/>
          <w:sz w:val="17"/>
          <w:szCs w:val="17"/>
          <w:color w:val="auto"/>
        </w:rPr>
        <w:t>. Subject to the terms and conditions of this Agreement, each Buyer agrees, severally and not jointly, to purchase, and the Company agrees to sell and issue to each Buyer, the number of units set forth in the column designated “Number of Units” opposite such Buyer’s name on the Schedule of Buyers (the “</w:t>
      </w:r>
      <w:r>
        <w:rPr>
          <w:rFonts w:ascii="Arial" w:cs="Arial" w:eastAsia="Arial" w:hAnsi="Arial"/>
          <w:sz w:val="17"/>
          <w:szCs w:val="17"/>
          <w:b w:val="1"/>
          <w:bCs w:val="1"/>
          <w:color w:val="auto"/>
        </w:rPr>
        <w:t>Units</w:t>
      </w:r>
      <w:r>
        <w:rPr>
          <w:rFonts w:ascii="Arial" w:cs="Arial" w:eastAsia="Arial" w:hAnsi="Arial"/>
          <w:sz w:val="17"/>
          <w:szCs w:val="17"/>
          <w:color w:val="auto"/>
        </w:rPr>
        <w:t>”), with each Unit consisting of one (1) share of Common Stock (each a “</w:t>
      </w:r>
      <w:r>
        <w:rPr>
          <w:rFonts w:ascii="Arial" w:cs="Arial" w:eastAsia="Arial" w:hAnsi="Arial"/>
          <w:sz w:val="17"/>
          <w:szCs w:val="17"/>
          <w:b w:val="1"/>
          <w:bCs w:val="1"/>
          <w:color w:val="auto"/>
        </w:rPr>
        <w:t>Share</w:t>
      </w:r>
      <w:r>
        <w:rPr>
          <w:rFonts w:ascii="Arial" w:cs="Arial" w:eastAsia="Arial" w:hAnsi="Arial"/>
          <w:sz w:val="17"/>
          <w:szCs w:val="17"/>
          <w:color w:val="auto"/>
        </w:rPr>
        <w:t>” and collectedly, the “</w:t>
      </w:r>
      <w:r>
        <w:rPr>
          <w:rFonts w:ascii="Arial" w:cs="Arial" w:eastAsia="Arial" w:hAnsi="Arial"/>
          <w:sz w:val="17"/>
          <w:szCs w:val="17"/>
          <w:b w:val="1"/>
          <w:bCs w:val="1"/>
          <w:color w:val="auto"/>
        </w:rPr>
        <w:t>Shares</w:t>
      </w:r>
      <w:r>
        <w:rPr>
          <w:rFonts w:ascii="Arial" w:cs="Arial" w:eastAsia="Arial" w:hAnsi="Arial"/>
          <w:sz w:val="17"/>
          <w:szCs w:val="17"/>
          <w:color w:val="auto"/>
        </w:rPr>
        <w:t>”) and a Warrant to purchase one (1) share (each a “</w:t>
      </w:r>
      <w:r>
        <w:rPr>
          <w:rFonts w:ascii="Arial" w:cs="Arial" w:eastAsia="Arial" w:hAnsi="Arial"/>
          <w:sz w:val="17"/>
          <w:szCs w:val="17"/>
          <w:b w:val="1"/>
          <w:bCs w:val="1"/>
          <w:color w:val="auto"/>
        </w:rPr>
        <w:t>Warrant Share</w:t>
      </w:r>
      <w:r>
        <w:rPr>
          <w:rFonts w:ascii="Arial" w:cs="Arial" w:eastAsia="Arial" w:hAnsi="Arial"/>
          <w:sz w:val="17"/>
          <w:szCs w:val="17"/>
          <w:color w:val="auto"/>
        </w:rPr>
        <w:t>” and collectedly, the “</w:t>
      </w:r>
      <w:r>
        <w:rPr>
          <w:rFonts w:ascii="Arial" w:cs="Arial" w:eastAsia="Arial" w:hAnsi="Arial"/>
          <w:sz w:val="17"/>
          <w:szCs w:val="17"/>
          <w:b w:val="1"/>
          <w:bCs w:val="1"/>
          <w:color w:val="auto"/>
        </w:rPr>
        <w:t>Warrant Shares</w:t>
      </w:r>
      <w:r>
        <w:rPr>
          <w:rFonts w:ascii="Arial" w:cs="Arial" w:eastAsia="Arial" w:hAnsi="Arial"/>
          <w:sz w:val="17"/>
          <w:szCs w:val="17"/>
          <w:color w:val="auto"/>
        </w:rPr>
        <w:t>”) of Common Stock. The aggregate of all Units purchased and sold shall be no less than Five Million Dollars ($5,000,000), and no more than Ten Million Dollars ($10,000,000) at a cash purchase price of $1.915 per Unit (the “</w:t>
      </w:r>
      <w:r>
        <w:rPr>
          <w:rFonts w:ascii="Arial" w:cs="Arial" w:eastAsia="Arial" w:hAnsi="Arial"/>
          <w:sz w:val="17"/>
          <w:szCs w:val="17"/>
          <w:b w:val="1"/>
          <w:bCs w:val="1"/>
          <w:color w:val="auto"/>
        </w:rPr>
        <w:t>Purchase Price</w:t>
      </w:r>
      <w:r>
        <w:rPr>
          <w:rFonts w:ascii="Arial" w:cs="Arial" w:eastAsia="Arial" w:hAnsi="Arial"/>
          <w:sz w:val="17"/>
          <w:szCs w:val="17"/>
          <w:color w:val="auto"/>
        </w:rPr>
        <w:t>”). The Warrants will be exercisable for a period commencing six months after the Closing Date (as defined herein) and ending on the three year anniversary of the Closing Date, at an exercise price equal to the closing consolidated bid price of a share of the Common Stock on the day preceding the date of this Agreement. The Company’s agreement with each Buyer is a separate agreement, and the sale and issuance of the Units to each Buyer is a separate sale and issuance.</w:t>
      </w:r>
    </w:p>
    <w:p>
      <w:pPr>
        <w:spacing w:after="0" w:line="18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2" w:lineRule="auto"/>
        <w:tabs>
          <w:tab w:leader="none" w:pos="18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purchase, sale and issuance of the Units shall take place at one or more closings (each of which is referred to in this Agreement as a “</w:t>
      </w:r>
      <w:r>
        <w:rPr>
          <w:rFonts w:ascii="Arial" w:cs="Arial" w:eastAsia="Arial" w:hAnsi="Arial"/>
          <w:sz w:val="17"/>
          <w:szCs w:val="17"/>
          <w:b w:val="1"/>
          <w:bCs w:val="1"/>
          <w:color w:val="auto"/>
        </w:rPr>
        <w:t>Closing</w:t>
      </w:r>
      <w:r>
        <w:rPr>
          <w:rFonts w:ascii="Arial" w:cs="Arial" w:eastAsia="Arial" w:hAnsi="Arial"/>
          <w:sz w:val="17"/>
          <w:szCs w:val="17"/>
          <w:color w:val="auto"/>
        </w:rPr>
        <w:t>” and the date of each is referred to in this Agreement as a “</w:t>
      </w:r>
      <w:r>
        <w:rPr>
          <w:rFonts w:ascii="Arial" w:cs="Arial" w:eastAsia="Arial" w:hAnsi="Arial"/>
          <w:sz w:val="17"/>
          <w:szCs w:val="17"/>
          <w:b w:val="1"/>
          <w:bCs w:val="1"/>
          <w:color w:val="auto"/>
        </w:rPr>
        <w:t>Closing Date</w:t>
      </w:r>
      <w:r>
        <w:rPr>
          <w:rFonts w:ascii="Arial" w:cs="Arial" w:eastAsia="Arial" w:hAnsi="Arial"/>
          <w:sz w:val="17"/>
          <w:szCs w:val="17"/>
          <w:color w:val="auto"/>
        </w:rPr>
        <w:t>”). The initial Closing (the “</w:t>
      </w:r>
      <w:r>
        <w:rPr>
          <w:rFonts w:ascii="Arial" w:cs="Arial" w:eastAsia="Arial" w:hAnsi="Arial"/>
          <w:sz w:val="17"/>
          <w:szCs w:val="17"/>
          <w:b w:val="1"/>
          <w:bCs w:val="1"/>
          <w:color w:val="auto"/>
        </w:rPr>
        <w:t>Initial Closing</w:t>
      </w:r>
      <w:r>
        <w:rPr>
          <w:rFonts w:ascii="Arial" w:cs="Arial" w:eastAsia="Arial" w:hAnsi="Arial"/>
          <w:sz w:val="17"/>
          <w:szCs w:val="17"/>
          <w:color w:val="auto"/>
        </w:rPr>
        <w:t>”) shall have a minimum total Purchase Price of not less than Five Million Dollars ($5,000,000) (the “</w:t>
      </w:r>
      <w:r>
        <w:rPr>
          <w:rFonts w:ascii="Arial" w:cs="Arial" w:eastAsia="Arial" w:hAnsi="Arial"/>
          <w:sz w:val="17"/>
          <w:szCs w:val="17"/>
          <w:b w:val="1"/>
          <w:bCs w:val="1"/>
          <w:color w:val="auto"/>
        </w:rPr>
        <w:t>Minimum Purchase Proceeds</w:t>
      </w:r>
      <w:r>
        <w:rPr>
          <w:rFonts w:ascii="Arial" w:cs="Arial" w:eastAsia="Arial" w:hAnsi="Arial"/>
          <w:sz w:val="17"/>
          <w:szCs w:val="17"/>
          <w:color w:val="auto"/>
        </w:rPr>
        <w:t>”). The Initial Closing shall take place at the offices of Golenbock Eiseman Assor Bell &amp; Peskoe LLP, 711 Third Avenue, New York, New York 10017, or such other location as the parties shall mutually agree, no later than the second business day following the satisfaction or waiver of the conditions provided in Articles VIII and IX of this Agreement (other than conditions that, by their terms, are intended to be satisfied at the Closing, but subject to the satisfaction or waiver of those conditions) (the “</w:t>
      </w:r>
      <w:r>
        <w:rPr>
          <w:rFonts w:ascii="Arial" w:cs="Arial" w:eastAsia="Arial" w:hAnsi="Arial"/>
          <w:sz w:val="17"/>
          <w:szCs w:val="17"/>
          <w:b w:val="1"/>
          <w:bCs w:val="1"/>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color w:val="auto"/>
        </w:rPr>
        <w:t>Closing Date</w:t>
      </w:r>
      <w:r>
        <w:rPr>
          <w:rFonts w:ascii="Arial" w:cs="Arial" w:eastAsia="Arial" w:hAnsi="Arial"/>
          <w:sz w:val="17"/>
          <w:szCs w:val="17"/>
          <w:color w:val="auto"/>
        </w:rPr>
        <w:t>”), but in no event later than the Outside Closing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both"/>
        <w:ind w:firstLine="1305"/>
        <w:spacing w:after="0" w:line="297" w:lineRule="auto"/>
        <w:tabs>
          <w:tab w:leader="none" w:pos="1842"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less than all of the Units are sold and issued at the Initial Closing, then, subject to the terms and conditions of this Agreement, the Company may sell and issue at one or more subsequent closings (each, a “</w:t>
      </w:r>
      <w:r>
        <w:rPr>
          <w:rFonts w:ascii="Arial" w:cs="Arial" w:eastAsia="Arial" w:hAnsi="Arial"/>
          <w:sz w:val="16"/>
          <w:szCs w:val="16"/>
          <w:b w:val="1"/>
          <w:bCs w:val="1"/>
          <w:color w:val="auto"/>
        </w:rPr>
        <w:t>Subsequent Closing</w:t>
      </w:r>
      <w:r>
        <w:rPr>
          <w:rFonts w:ascii="Arial" w:cs="Arial" w:eastAsia="Arial" w:hAnsi="Arial"/>
          <w:sz w:val="16"/>
          <w:szCs w:val="16"/>
          <w:color w:val="auto"/>
        </w:rPr>
        <w:t>”), up through but no later than the Outside Closing Date, to each Buyer who did not purchase Units at the Initial Closing or a Subsequent Closing, the number of Units set forth in the column designated “Number of Units” opposite such Buyer’s name on the Schedule of Buyers. Any such sale and issuance in a Subsequent Closing shall be on the same terms and conditions as those contained herein. Each Subsequent Closing shall take place at such date, time and place as shall be approved by the Company in its sole discretion.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Form of Payment; Delivery</w:t>
      </w:r>
      <w:r>
        <w:rPr>
          <w:rFonts w:ascii="Arial" w:cs="Arial" w:eastAsia="Arial" w:hAnsi="Arial"/>
          <w:sz w:val="18"/>
          <w:szCs w:val="18"/>
          <w:color w:val="auto"/>
        </w:rPr>
        <w:t>. At each Closing, each Buyer shall deliver to the Company the Buyer’s Purchase Price by the release of the Buyer’s Purchase Price from escrow in accordance with the Escrow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BUYERS’ 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Buyer severally represents and warrants to the Company, that: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Investment Purpose</w:t>
      </w:r>
      <w:r>
        <w:rPr>
          <w:rFonts w:ascii="Arial" w:cs="Arial" w:eastAsia="Arial" w:hAnsi="Arial"/>
          <w:sz w:val="18"/>
          <w:szCs w:val="18"/>
          <w:color w:val="auto"/>
        </w:rPr>
        <w:t>. The Buyer is acquiring the Securities for its own account for investment only and not with a view towards, or for resale in connection with, the public sale or distribution thereof, except pursuant to sales registered or exempted under the Securities Act; provided, however, that by making the representations herein, the Buyer reserves the right to dispose of the Securities at any time in accordance with or pursuant to an effective registration statement covering such Securities or an available exemption under the Securities Act. The Buyer acknowledges that a legend will be placed on the certificates representing the Securities in the following form:</w:t>
      </w:r>
    </w:p>
    <w:p>
      <w:pPr>
        <w:spacing w:after="0" w:line="188" w:lineRule="exact"/>
        <w:rPr>
          <w:sz w:val="20"/>
          <w:szCs w:val="20"/>
          <w:color w:val="auto"/>
        </w:rPr>
      </w:pPr>
    </w:p>
    <w:p>
      <w:pPr>
        <w:jc w:val="both"/>
        <w:ind w:left="660" w:right="640"/>
        <w:spacing w:after="0" w:line="273" w:lineRule="auto"/>
        <w:rPr>
          <w:sz w:val="20"/>
          <w:szCs w:val="20"/>
          <w:color w:val="auto"/>
        </w:rPr>
      </w:pPr>
      <w:r>
        <w:rPr>
          <w:rFonts w:ascii="Arial" w:cs="Arial" w:eastAsia="Arial" w:hAnsi="Arial"/>
          <w:sz w:val="17"/>
          <w:szCs w:val="17"/>
          <w:color w:val="auto"/>
        </w:rPr>
        <w:t>THESE SECURITIES HAVE NOT BEEN REGISTERED UNDER THE U.S. SECURITIES ACT OF 1933, AS AMENDED, OR THE SECURITIES LAWS OF ANY STATE AND ARE “RESTRICTED SECURITIES” AS THAT TERM IS DEFINED IN RULE 144 UNDER THE SECURITIES ACT. SUCH SECURITIES MAY NOT BE OFFERED FOR SALE, SOLD, OR OTHERWISE TRANSFERRED EXCEPT PURSUANT TO AN EFFECTIVE REGISTRATION STATEMENT UNDER THE SECURITIES ACT AND THE APPLICABLE STATE SECURITIES LAWS OR PURSUANT TO AN EXEMPTION FROM REGISTRATION THEREUNDER, THE AVAILABILITY OF WHICH IS TO BE ESTABLISHED TO THE REASONABLE SATISFACTION OF COUNSEL TO THE ISSUER.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The Buyer is an “accredited investor” as that term is defined in Rule 501(a) of Regulation D, as promulgated under the Securities Act.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Reliance on Exemptions</w:t>
      </w:r>
      <w:r>
        <w:rPr>
          <w:rFonts w:ascii="Arial" w:cs="Arial" w:eastAsia="Arial" w:hAnsi="Arial"/>
          <w:sz w:val="17"/>
          <w:szCs w:val="17"/>
          <w:color w:val="auto"/>
        </w:rPr>
        <w:t>. The Buyer understands that the Securities are being offered and sold to it in reliance on specific exemptions from the registration requirements of United States federal and state securities Laws and that the Company is relying in part upon the truth and accuracy of, and the Buyer’s compliance with, the representations, warranties, agreements, acknowledgments and understandings of the Buyer set forth herein in order to determine the availability of such exemptions and the eligibility of the Buyer to acquire the Securities.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Information</w:t>
      </w:r>
      <w:r>
        <w:rPr>
          <w:rFonts w:ascii="Arial" w:cs="Arial" w:eastAsia="Arial" w:hAnsi="Arial"/>
          <w:sz w:val="16"/>
          <w:szCs w:val="16"/>
          <w:color w:val="auto"/>
        </w:rPr>
        <w:t>. The Buyer and its advisors, if any, have been furnished with all materials relating to the business, finances and operations of the Company and other information the Buyer deemed material to making an informed investment decision regarding its purchase of the Units, which have been requested by such Buyer. The Buyer acknowledges that it has received and reviewed a copy of the SEC Documents. The Buyer and its advisors, if any, have been afforded the opportunity to ask questions of the Company and its management. The Buyer understands that its investment in the Securities involves a high degree of risk. Neither such inquiries, nor any other due diligence investigations conducted by any Buyer or its advisors, if any, or its representatives, shall modify, amend or affect each Buyer’s right to rely on the Company’s and Operating Subs’ representations and warranties contained in Article VI below. The Buyer is in a position regarding the Company, which, based upon employment, family relationship or economic bargaining power, enabled and enables such Buyer to obtain information from the Company in order to evaluate the merits and risks of this investment. The Buyer has sought such accounting, legal and tax advice as it has considered necessary to make an informed investment decision with respect to its acquisition of the Securities. Without limiting the foregoing, the Buyer has carefully considered the potential risks relating to the Company and a purchase of the Securities, and fully understands that the Securities are a speculative investment that involves a high degree of risk of loss of the Buyer’s entire investment. Among other things, the Buyer has carefully considered each of the risks described under the heading “Risk Factors” in the Company’s Form 10-K filed March 23, 2016, which is attached hereto as Appendix I, as updated in the Company’s Form 10-Q filed November 14, 2016, which is attached hereto as Appendix II.</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Minimum Offering</w:t>
      </w:r>
      <w:r>
        <w:rPr>
          <w:rFonts w:ascii="Arial" w:cs="Arial" w:eastAsia="Arial" w:hAnsi="Arial"/>
          <w:sz w:val="18"/>
          <w:szCs w:val="18"/>
          <w:color w:val="auto"/>
        </w:rPr>
        <w:t>. The Buyer understands that the Company may accept such Buyer’s purchase of Units hereunder, at any time once the Company shall have received an aggregate Purchase Price in the amount of $5 million. Any officer or director of the Company or the Placement Agent, or any of such parties affiliates, may participate in this offering and their investment, if any, will count towards the foregoing minimum amount. As such, the Buyer understands that the Company may not receive proceeds hereunder in any amount greater than $5 million, which may limit the Company’s ability to execute upon its intended business plan.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 Governmental Review</w:t>
      </w:r>
      <w:r>
        <w:rPr>
          <w:rFonts w:ascii="Arial" w:cs="Arial" w:eastAsia="Arial" w:hAnsi="Arial"/>
          <w:sz w:val="18"/>
          <w:szCs w:val="18"/>
          <w:color w:val="auto"/>
        </w:rPr>
        <w:t>. The Buyer understands that no United States federal or state Governmental Authority has passed on or made any recommendation or endorsement of the Securities, or the fairness or suitability of the investment in the Securities, nor have such Governmental Authorities passed upon or endorsed the merits of the offering of the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Authorization, Enforcement</w:t>
      </w:r>
      <w:r>
        <w:rPr>
          <w:rFonts w:ascii="Arial" w:cs="Arial" w:eastAsia="Arial" w:hAnsi="Arial"/>
          <w:sz w:val="18"/>
          <w:szCs w:val="18"/>
          <w:color w:val="auto"/>
        </w:rPr>
        <w:t>. This Agreement has been duly and validly authorized, executed and delivered on behalf of the Buyer and is a valid and binding agreement of the Buyer, enforceable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General Solicitation</w:t>
      </w:r>
      <w:r>
        <w:rPr>
          <w:rFonts w:ascii="Arial" w:cs="Arial" w:eastAsia="Arial" w:hAnsi="Arial"/>
          <w:sz w:val="18"/>
          <w:szCs w:val="18"/>
          <w:color w:val="auto"/>
        </w:rPr>
        <w:t>. The Buyer is not purchasing the Units as a result of any advertisement, article, notice or other communication regarding the Units published in any newspaper, magazine or similar media or broadcast over television or radio or presented at any seminar or any other general solicitation or general advertisement. The Buyer represents that it has a relationship with the Placement Agent or the Company preceding its decision to purchase the Units from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Except as set forth and disclosed in the Company’s disclosure schedules (“</w:t>
      </w:r>
      <w:r>
        <w:rPr>
          <w:rFonts w:ascii="Arial" w:cs="Arial" w:eastAsia="Arial" w:hAnsi="Arial"/>
          <w:sz w:val="16"/>
          <w:szCs w:val="16"/>
          <w:b w:val="1"/>
          <w:bCs w:val="1"/>
          <w:color w:val="auto"/>
        </w:rPr>
        <w:t>Disclosure Schedules</w:t>
      </w:r>
      <w:r>
        <w:rPr>
          <w:rFonts w:ascii="Arial" w:cs="Arial" w:eastAsia="Arial" w:hAnsi="Arial"/>
          <w:sz w:val="16"/>
          <w:szCs w:val="16"/>
          <w:color w:val="auto"/>
        </w:rPr>
        <w:t xml:space="preserve">”) attached to this Agreement and made a part hereof, the Company and Operating Sub each hereby makes the following representations and warranties to the Buyer. The Disclosure Schedules shall be arranged in sections corresponding to the numbered and lettered sections and subsections contained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certain other sections of this Agreement, and the disclosures in any section or subsection of the Disclosure Schedules shall qualify other sections and subsections in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only to the extent it is readily apparent from a reading of the disclosure that such disclosure is applicable to such other sections and subsections.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Except for those subsidiaries set forth in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(each an “</w:t>
      </w:r>
      <w:r>
        <w:rPr>
          <w:rFonts w:ascii="Arial" w:cs="Arial" w:eastAsia="Arial" w:hAnsi="Arial"/>
          <w:sz w:val="18"/>
          <w:szCs w:val="18"/>
          <w:b w:val="1"/>
          <w:bCs w:val="1"/>
          <w:color w:val="auto"/>
        </w:rPr>
        <w:t>Operating Sub</w:t>
      </w:r>
      <w:r>
        <w:rPr>
          <w:rFonts w:ascii="Arial" w:cs="Arial" w:eastAsia="Arial" w:hAnsi="Arial"/>
          <w:sz w:val="18"/>
          <w:szCs w:val="18"/>
          <w:color w:val="auto"/>
        </w:rPr>
        <w:t xml:space="preserve">”), the Company has no subsidiaries and the Company does not own, directly or indirectly, any outstanding voting securities of or other interests in, or have any control over, any other Person. Except as set forth in </w:t>
      </w:r>
      <w:r>
        <w:rPr>
          <w:rFonts w:ascii="Arial" w:cs="Arial" w:eastAsia="Arial" w:hAnsi="Arial"/>
          <w:sz w:val="18"/>
          <w:szCs w:val="18"/>
          <w:u w:val="single" w:color="auto"/>
          <w:color w:val="auto"/>
        </w:rPr>
        <w:t>Schedule 6.1</w:t>
      </w:r>
      <w:r>
        <w:rPr>
          <w:rFonts w:ascii="Arial" w:cs="Arial" w:eastAsia="Arial" w:hAnsi="Arial"/>
          <w:sz w:val="18"/>
          <w:szCs w:val="18"/>
          <w:color w:val="auto"/>
        </w:rPr>
        <w:t>, the Company wholly-owns each Operating Sub. With respect to each Operating Sub, all representations and warranties in this Article VI and elsewhere in this Agreement shall be deemed repeated and re-made from and by each Operating Sub, as if such representations and warranties were independently made by each Operating Sub, in this Agreement (but modified as necessary in order to give effect to the intent of the parties that such representation and warranty is being made by the Operating Sub, rather than the Company, as applicable). In addition, each representation and warranty contained in this Article VI or otherwise set forth in this Agreement shall be deemed to mean and be construed to include the Company and each of its subsidiaries, as applicable, regardless of whether each of such representations and warranties in Article VI specifically refers to the Company’s subsidiaries or not.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jc w:val="both"/>
        <w:ind w:firstLine="648"/>
        <w:spacing w:after="0" w:line="29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Organization</w:t>
      </w:r>
      <w:r>
        <w:rPr>
          <w:rFonts w:ascii="Arial" w:cs="Arial" w:eastAsia="Arial" w:hAnsi="Arial"/>
          <w:sz w:val="16"/>
          <w:szCs w:val="16"/>
          <w:color w:val="auto"/>
        </w:rPr>
        <w:t>. The Company and its subsidiaries are corporations, duly organized, validly existing and in good standing under the Laws of the jurisdiction in which they are incorporated. The Company has the full corporate power and authority and all necessary certificates, licenses, approvals and Permits to: (i) enter into and execute this Agreement and the Transaction Documents and to perform all of its Obligations hereunder and thereunder; and (ii) own and operate its Assets and properties and to conduct and carry on its business as and to the extent now conducted. The Company is duly qualified to transact business and is in good standing as a foreign corporation in each jurisdiction where the character of its business or the ownership or use and operation of its Assets or properties requires such qualification, except to the extent that failure to so qualify will not result in a Material Adverse Effect.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Authority and Approval of Agreement; Binding Effect</w:t>
      </w:r>
      <w:r>
        <w:rPr>
          <w:rFonts w:ascii="Arial" w:cs="Arial" w:eastAsia="Arial" w:hAnsi="Arial"/>
          <w:sz w:val="17"/>
          <w:szCs w:val="17"/>
          <w:color w:val="auto"/>
        </w:rPr>
        <w:t>. The execution and delivery by the Company of this Agreement and the Transaction Documents, and the performance by the Company of all of its Obligations hereunder and thereunder, including the issuance of the Securities, have been duly and validly authorized and approved by the Company and its board of directors pursuant to all applicable Laws and no other corporate action or Consent on the part of the Company, its board of directors, stockholders or any other Person is necessary or required by the Company to execute this Agreement and the Transaction Documents, consummate the transactions contemplated herein and therein, perform all of Company’s Obligations hereunder and thereunder, or to issue the Securities. This Agreement and each of the Transaction Documents have been duly and validly executed by the Company (and the officer executing this Agreement and all such other Transaction Documents is duly authorized to act and execute same on behalf of the Company) and constitute the valid and legally binding agreements of the Company, enforceable against the Company in accordance with their respective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Immediately prior to the Initial Closing, the authorized capital stock of the Company will consist of 90,000,000 shares of Common Stock, of which 13,253,796 shares of Common Stock are issued and outstanding. All of such outstanding shares have been validly issued and are fully paid and nonassessable. The Common Stock is currently quoted on the Nasdaq Capital Market under the trading symbol “IMMY.” The Company has received no notice, either oral or written, with respect to the continued eligibility of the Common Stock for quotation on the Principal Trading Market, and the Company has maintained all requirements on its part for the continuation of such quotation. Except as set forth on </w:t>
      </w:r>
      <w:r>
        <w:rPr>
          <w:rFonts w:ascii="Arial" w:cs="Arial" w:eastAsia="Arial" w:hAnsi="Arial"/>
          <w:sz w:val="16"/>
          <w:szCs w:val="16"/>
          <w:u w:val="single" w:color="auto"/>
          <w:color w:val="auto"/>
        </w:rPr>
        <w:t>Schedule 6.4</w:t>
      </w:r>
      <w:r>
        <w:rPr>
          <w:rFonts w:ascii="Arial" w:cs="Arial" w:eastAsia="Arial" w:hAnsi="Arial"/>
          <w:sz w:val="16"/>
          <w:szCs w:val="16"/>
          <w:color w:val="auto"/>
        </w:rPr>
        <w:t xml:space="preserve">, no shares of Common Stock are subject to preemptive rights or any other similar rights or any Encumbrances suffered or permitted by the Company. Except as set forth on </w:t>
      </w:r>
      <w:r>
        <w:rPr>
          <w:rFonts w:ascii="Arial" w:cs="Arial" w:eastAsia="Arial" w:hAnsi="Arial"/>
          <w:sz w:val="16"/>
          <w:szCs w:val="16"/>
          <w:u w:val="single" w:color="auto"/>
          <w:color w:val="auto"/>
        </w:rPr>
        <w:t>Schedule 6.4</w:t>
      </w:r>
      <w:r>
        <w:rPr>
          <w:rFonts w:ascii="Arial" w:cs="Arial" w:eastAsia="Arial" w:hAnsi="Arial"/>
          <w:sz w:val="16"/>
          <w:szCs w:val="16"/>
          <w:color w:val="auto"/>
        </w:rPr>
        <w:t>, as of the date hereof: (i) there are no outstanding options, warrants, scrip, rights to subscribe to, calls or commitments of any character whatsoever relating to, or securities or rights convertible into, any shares of capital stock of the Company or any of its subsidiaries, or Contracts, commitments, understandings or arrangements by which the Company or any of its subsidiaries is or may become bound to issue additional shares of capital stock of the Company or any of its subsidiaries, or options, warrants, scrip, rights to subscribe to, calls or commitments of any character whatsoever relating to, or securities or rights convertible into, any shares of capital stock of the Company or any of its subsidiaries; (collectively, “</w:t>
      </w:r>
      <w:r>
        <w:rPr>
          <w:rFonts w:ascii="Arial" w:cs="Arial" w:eastAsia="Arial" w:hAnsi="Arial"/>
          <w:sz w:val="16"/>
          <w:szCs w:val="16"/>
          <w:b w:val="1"/>
          <w:bCs w:val="1"/>
          <w:color w:val="auto"/>
        </w:rPr>
        <w:t>Derivative Securities</w:t>
      </w:r>
      <w:r>
        <w:rPr>
          <w:rFonts w:ascii="Arial" w:cs="Arial" w:eastAsia="Arial" w:hAnsi="Arial"/>
          <w:sz w:val="16"/>
          <w:szCs w:val="16"/>
          <w:color w:val="auto"/>
        </w:rPr>
        <w:t xml:space="preserve">”); (ii) there are no outstanding debt securities, notes, credit agreements, credit facilities or other Contracts or instruments evidencing indebtedness of the Company or any of its subsidiaries, or by which the Company or any of its subsidiaries is or may become bound; (iii) there are no outstanding registration statements with respect to the Company or any of its securities (other than registration statements on Form S-8); (iv) there are no agreements or arrangements under which the Company or any of its subsidiaries is obligated to register the sale of any of their securities under the Securities Act (except pursuant to this Agreement); (v) there are no financing statements securing obligations filed in connection with the Company or any of its Assets; (vi) there are no securities or instruments containing anti-dilution or similar provisions that will be triggered by this Agreement or any related agreement or the consummation of the transactions described herein or therein; and (vii) there are no outstanding securities or instruments of the Company which contain any redemption or similar provisions, and there are no Contracts by which the Company is or may become bound to redeem a security of the Company. Except as set forth on </w:t>
      </w:r>
      <w:r>
        <w:rPr>
          <w:rFonts w:ascii="Arial" w:cs="Arial" w:eastAsia="Arial" w:hAnsi="Arial"/>
          <w:sz w:val="16"/>
          <w:szCs w:val="16"/>
          <w:u w:val="single" w:color="auto"/>
          <w:color w:val="auto"/>
        </w:rPr>
        <w:t>Schedule 6.4</w:t>
      </w:r>
      <w:r>
        <w:rPr>
          <w:rFonts w:ascii="Arial" w:cs="Arial" w:eastAsia="Arial" w:hAnsi="Arial"/>
          <w:sz w:val="16"/>
          <w:szCs w:val="16"/>
          <w:color w:val="auto"/>
        </w:rPr>
        <w:t xml:space="preserve">, there are no stockholders agreements, voting agreements or other similar agreements with respect to the Company’s capital stock to which the Company is a party or, to the knowledge of the Company, between or among any of the Company’s stockholders. </w:t>
      </w:r>
      <w:r>
        <w:rPr>
          <w:rFonts w:ascii="Arial" w:cs="Arial" w:eastAsia="Arial" w:hAnsi="Arial"/>
          <w:sz w:val="16"/>
          <w:szCs w:val="16"/>
          <w:u w:val="single" w:color="auto"/>
          <w:color w:val="auto"/>
        </w:rPr>
        <w:t>Schedule 6.4</w:t>
      </w:r>
      <w:r>
        <w:rPr>
          <w:rFonts w:ascii="Arial" w:cs="Arial" w:eastAsia="Arial" w:hAnsi="Arial"/>
          <w:sz w:val="16"/>
          <w:szCs w:val="16"/>
          <w:color w:val="auto"/>
        </w:rPr>
        <w:t xml:space="preserve"> sets forth a detailed calculation of the total number of shares of Common Stock outstanding as of the date hereof assuming (i) the issuance of 5.1 million Units pursuant to this Agreement; (ii) the exercise in full of all outstanding Derivative Securities taking into account all applicable anti-dilution or similar adjustments or rights, including without limitation those resulting from the issuance of Units and the exercise of the Warrants made part thereof pursuant to this Agreement; and (iii) the exercise of all Derivative Securities authorized for issuance, but not yet issued, under any plan of the Company.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both"/>
        <w:ind w:firstLine="648"/>
        <w:spacing w:after="0" w:line="285"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 Conflicts; Consents and Approvals</w:t>
      </w:r>
      <w:r>
        <w:rPr>
          <w:rFonts w:ascii="Arial" w:cs="Arial" w:eastAsia="Arial" w:hAnsi="Arial"/>
          <w:sz w:val="16"/>
          <w:szCs w:val="16"/>
          <w:color w:val="auto"/>
        </w:rPr>
        <w:t>. The execution, delivery and performance of this Agreement and the Transaction Documents, and the consummation of the transactions contemplated hereby and thereby, will not: (i) constitute a violation of or conflict with any provision of the Company’s or any Operating Sub’s certificate or articles of incorporation, bylaws or other organizational or charter documents; (ii) constitute a violation of, or a default or breach under (either immediately, upon notice, upon lapse of time, or both), or conflict with, or give to any other Person any rights of termination, amendment, acceleration or cancellation of, any provision of any Material Contract; (iii) constitute a violation of, or a default or breach under (either immediately, upon notice, upon lapse of time, or both), or conflict with, any Judgment; (iv) assuming the accuracy of the representations and warranties of the Buyers set forth in Article V above, constitute a violation of, or conflict with, any Law (including United States federal and state securities Laws and the rules and regulations of any market or exchange on which the Common Stock is quoted); or (v) result in the loss or adverse modification of, or the imposition of any fine, penalty or other Encumbrance with respect to, any Permit granted or issued to, or otherwise held by or for the use of, Company or any of Company’s Assets. The Company is not in violation of its articles of incorporation, bylaws or other organizational or governing documents and the Company is not in default or breach (and no event has occurred which with notice or lapse of time or both could put the Company in default or breach) under, and the Company has not taken any action or failed to take any action that would give to any other Person any rights of termination, amendment, acceleration or cancellation of, any Material Contract. Except as specifically contemplated by this Agreement, the Company is not required to obtain any Consent of, from, or with any Governmental Authority, or any other Person, in order for it to execute, deliver or perform any of its Obligations under this Agreement or the Transaction Documents in accordance with the terms hereof or thereof, or to issue and sell the Securities in accordance with the terms hereof. All Consents which the Company is required to obtain pursuant to the immediately preceding sentence have been obtained or effected on or prior to the date hereof.</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Issuance of Securities</w:t>
      </w:r>
      <w:r>
        <w:rPr>
          <w:rFonts w:ascii="Arial" w:cs="Arial" w:eastAsia="Arial" w:hAnsi="Arial"/>
          <w:sz w:val="17"/>
          <w:szCs w:val="17"/>
          <w:color w:val="auto"/>
        </w:rPr>
        <w:t>. The Shares and the Warrant Shares are duly authorized and, upon issuance in accordance with the terms hereof or the Warrant, as the case may be, shall be duly issued, fully paid and non-assessable, and free from all Encumbrances with respect to the issue thereof, and, assuming the accuracy of the representations and warranties of the Buyers set forth in Article V above, will be issued in compliance with all applicable United States federal and state securities Laws. Assuming the accuracy of the representations and warranties of the Buyers set forth in Article V above, the offer and sale by the Company of the Securities is exempt from: (i) the registration and prospectus delivery requirements of the Securities Act; and (ii) the registration and/or qualification provisions of all applicable state and provincial securities and “blue sky” laws.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SEC Documents; Financial Statements</w:t>
      </w:r>
      <w:r>
        <w:rPr>
          <w:rFonts w:ascii="Arial" w:cs="Arial" w:eastAsia="Arial" w:hAnsi="Arial"/>
          <w:sz w:val="16"/>
          <w:szCs w:val="16"/>
          <w:color w:val="auto"/>
        </w:rPr>
        <w:t>. The Common Stock is registered pursuant to Section 12 of the Exchange Act and the Company has timely filed all reports, schedules, forms, statements and other documents required to be filed by it with the SEC under the Exchange Act (all of the foregoing filed within the two (2) years preceding the date hereof or amended after the date hereof and all exhibits included therein and financial statements and schedules thereto and documents incorporated by reference therein, being hereinafter referred to as the “</w:t>
      </w:r>
      <w:r>
        <w:rPr>
          <w:rFonts w:ascii="Arial" w:cs="Arial" w:eastAsia="Arial" w:hAnsi="Arial"/>
          <w:sz w:val="16"/>
          <w:szCs w:val="16"/>
          <w:b w:val="1"/>
          <w:bCs w:val="1"/>
          <w:color w:val="auto"/>
        </w:rPr>
        <w:t>SEC Documents</w:t>
      </w:r>
      <w:r>
        <w:rPr>
          <w:rFonts w:ascii="Arial" w:cs="Arial" w:eastAsia="Arial" w:hAnsi="Arial"/>
          <w:sz w:val="16"/>
          <w:szCs w:val="16"/>
          <w:color w:val="auto"/>
        </w:rPr>
        <w:t>”). The Company is current with its filing obligations under the Exchange Act and all SEC Documents have been filed on a timely basis or the Company has received a valid extension of such time of filing and has filed any such SEC Document prior to the expiration of any such extension. The Company represents and warrants that true and complete copies of the SEC Documents are available on the SEC’s website (</w:t>
      </w:r>
      <w:r>
        <w:rPr>
          <w:rFonts w:ascii="Arial" w:cs="Arial" w:eastAsia="Arial" w:hAnsi="Arial"/>
          <w:sz w:val="16"/>
          <w:szCs w:val="16"/>
          <w:u w:val="single" w:color="auto"/>
          <w:color w:val="auto"/>
        </w:rPr>
        <w:t>www.sec.gov</w:t>
      </w:r>
      <w:r>
        <w:rPr>
          <w:rFonts w:ascii="Arial" w:cs="Arial" w:eastAsia="Arial" w:hAnsi="Arial"/>
          <w:sz w:val="16"/>
          <w:szCs w:val="16"/>
          <w:color w:val="auto"/>
        </w:rPr>
        <w:t>) at no charge to Buyers, and Buyers acknowledge that each of them may retrieve all SEC Documents from such website and each Buyer’s access to such SEC Documents through such website shall constitute delivery of the SEC Documents to Buyers. As of their respective dates, the SEC Documents complied in all material respects with the requirements of the Exchange Act, and none of the SEC Documents, at the time they were filed with the SEC, contained any untrue statement of a material fact or omitted to state a material fact required to be stated therein or necessary in order to make the statements therein, in light of the circumstances under which they were made, not misleading. None of the statements made in any such SEC Documents is, or has been, required to be amended or updated under applicable Law (except as such statements have been amended or updated in subsequent filings prior to the date hereof, which amendments or updates are also part of the SEC Documents). As of their respective dates, the financial statements of the Company included in the SEC Documents (“</w:t>
      </w:r>
      <w:r>
        <w:rPr>
          <w:rFonts w:ascii="Arial" w:cs="Arial" w:eastAsia="Arial" w:hAnsi="Arial"/>
          <w:sz w:val="16"/>
          <w:szCs w:val="16"/>
          <w:b w:val="1"/>
          <w:bCs w:val="1"/>
          <w:color w:val="auto"/>
        </w:rPr>
        <w:t>Financial Statements</w:t>
      </w:r>
      <w:r>
        <w:rPr>
          <w:rFonts w:ascii="Arial" w:cs="Arial" w:eastAsia="Arial" w:hAnsi="Arial"/>
          <w:sz w:val="16"/>
          <w:szCs w:val="16"/>
          <w:color w:val="auto"/>
        </w:rPr>
        <w:t>”) complied in all material respects with applicable accounting requirements and the published rules and regulations of the SEC with respect thereto (except as such Financial Statements have been amended or updated in subsequent filings prior to the date hereof, which amendments or updates are also part of the SEC Documents). All of the Financial Statements have been prepared in accordance with GAAP,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consolidated financial position of the Company as of the dates thereof and the consolidated results of its operations and cash flows for the periods then ended (subject, in the case of unaudited statements, to normal year-end audit adjustments). To the knowledge of the Company and its officers, no other information provided by or on behalf of the Company to the Buyers which is not included in the SEC Documents contains any untrue statement of a material fact or omits to state any material fact necessary in order to make the statements therein, in the light of the circumstance under which they are or were made, not misleading.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ind w:left="660"/>
        <w:spacing w:after="0"/>
        <w:tabs>
          <w:tab w:leader="none" w:pos="11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Since the date the last of the SEC Documents was filed with the SEC, none of the following have occurred:</w:t>
      </w:r>
    </w:p>
    <w:p>
      <w:pPr>
        <w:spacing w:after="0" w:line="225" w:lineRule="exact"/>
        <w:rPr>
          <w:sz w:val="20"/>
          <w:szCs w:val="20"/>
          <w:color w:val="auto"/>
        </w:rPr>
      </w:pPr>
    </w:p>
    <w:p>
      <w:pPr>
        <w:ind w:right="20" w:firstLine="1305"/>
        <w:spacing w:after="0" w:line="277" w:lineRule="auto"/>
        <w:tabs>
          <w:tab w:leader="none" w:pos="180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been no event or circumstance of any nature whatsoever that has resulted in, or could reasonably be expected to result in, a Material Adverse Effect; or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031"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Except for this Agreement and the other Transaction Documents, there has been no transaction, event, action, development, payment, or other matter of any nature whatsoever entered into by the Company that requires disclosure in an SEC Document which has not been so disclosed.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Absence of Litigation or Adverse Matters</w:t>
      </w:r>
      <w:r>
        <w:rPr>
          <w:rFonts w:ascii="Arial" w:cs="Arial" w:eastAsia="Arial" w:hAnsi="Arial"/>
          <w:sz w:val="18"/>
          <w:szCs w:val="18"/>
          <w:color w:val="auto"/>
        </w:rPr>
        <w:t>. Except as disclosed in the SEC Documents: (i) there is no Proceeding before or by any Governmental Authority or any other Person, pending, or the best of Company’s knowledge, threatened or contemplated by, against or affecting the Company, its business or Assets; (ii) there is no outstanding Judgments against or affecting the Company, its business or Assets; and (iii) the Company is not in breach or violation of any Material Contract.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Liabilities of the Company</w:t>
      </w:r>
      <w:r>
        <w:rPr>
          <w:rFonts w:ascii="Arial" w:cs="Arial" w:eastAsia="Arial" w:hAnsi="Arial"/>
          <w:sz w:val="18"/>
          <w:szCs w:val="18"/>
          <w:color w:val="auto"/>
        </w:rPr>
        <w:t>. The Company does not have any Obligations of a nature required by GAAP to be disclosed on a consolidated balance sheet of the Company, except: (i) as disclosed in the Financial Statements; or (ii) incurred in the Ordinary Course of Business since the date of the last Financial Statements filed by the Company with the SEC that have not had, and would not reasonably be expected to have, individually or in the aggregate,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Title to Assets</w:t>
      </w:r>
      <w:r>
        <w:rPr>
          <w:rFonts w:ascii="Arial" w:cs="Arial" w:eastAsia="Arial" w:hAnsi="Arial"/>
          <w:sz w:val="18"/>
          <w:szCs w:val="18"/>
          <w:color w:val="auto"/>
        </w:rPr>
        <w:t>. The Company has good and marketable title to, or a valid license or leasehold interest in, all of its Assets which are material to the business and operations of the Company as presently conducted, free and clear of all Encumbrances or restrictions on the transfer or use of same, other than restrictions on transfer or use arising under a license or Lease with respect to such Assets that, individually or in the aggregate, would not have, or be reasonably expected to, materially interfere with the purposes for which they are currently used and for the purposes for which they are proposed to be used. Except as would not have a Material Adverse Effect, the Company’s Assets are in good operating condition and repair, ordinary wear and tear excepted, and are free of any latent or patent defects which might impair their usefulness, and are suitable for the purposes for which they are currently used and for the purposes for which they are proposed to be used.</w:t>
      </w:r>
    </w:p>
    <w:p>
      <w:pPr>
        <w:spacing w:after="0" w:line="189"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5"/>
          <w:szCs w:val="15"/>
          <w:u w:val="single" w:color="auto"/>
          <w:color w:val="auto"/>
        </w:rPr>
        <w:t>Real Estate</w:t>
      </w:r>
      <w:r>
        <w:rPr>
          <w:rFonts w:ascii="Arial" w:cs="Arial" w:eastAsia="Arial" w:hAnsi="Arial"/>
          <w:sz w:val="15"/>
          <w:szCs w:val="15"/>
          <w:color w:val="auto"/>
        </w:rPr>
        <w:t>.</w:t>
      </w:r>
    </w:p>
    <w:p>
      <w:pPr>
        <w:spacing w:after="0" w:line="225" w:lineRule="exact"/>
        <w:rPr>
          <w:sz w:val="20"/>
          <w:szCs w:val="20"/>
          <w:color w:val="auto"/>
        </w:rPr>
      </w:pPr>
    </w:p>
    <w:p>
      <w:pPr>
        <w:ind w:left="5640" w:right="4280" w:hanging="4335"/>
        <w:spacing w:after="0" w:line="528" w:lineRule="auto"/>
        <w:tabs>
          <w:tab w:leader="none" w:pos="182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Real Property Ownership</w:t>
      </w:r>
      <w:r>
        <w:rPr>
          <w:rFonts w:ascii="Arial" w:cs="Arial" w:eastAsia="Arial" w:hAnsi="Arial"/>
          <w:sz w:val="18"/>
          <w:szCs w:val="18"/>
          <w:color w:val="auto"/>
        </w:rPr>
        <w:t>. The Company does not own any Real Property.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ind w:firstLine="1305"/>
        <w:spacing w:after="0" w:line="288" w:lineRule="auto"/>
        <w:tabs>
          <w:tab w:leader="none" w:pos="183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Real Property Leases</w:t>
      </w:r>
      <w:r>
        <w:rPr>
          <w:rFonts w:ascii="Arial" w:cs="Arial" w:eastAsia="Arial" w:hAnsi="Arial"/>
          <w:sz w:val="16"/>
          <w:szCs w:val="16"/>
          <w:color w:val="auto"/>
        </w:rPr>
        <w:t>. Except pursuant to the Leases described in the SEC Documents (the “</w:t>
      </w:r>
      <w:r>
        <w:rPr>
          <w:rFonts w:ascii="Arial" w:cs="Arial" w:eastAsia="Arial" w:hAnsi="Arial"/>
          <w:sz w:val="16"/>
          <w:szCs w:val="16"/>
          <w:b w:val="1"/>
          <w:bCs w:val="1"/>
          <w:color w:val="auto"/>
        </w:rPr>
        <w:t>Company Leases</w:t>
      </w:r>
      <w:r>
        <w:rPr>
          <w:rFonts w:ascii="Arial" w:cs="Arial" w:eastAsia="Arial" w:hAnsi="Arial"/>
          <w:sz w:val="16"/>
          <w:szCs w:val="16"/>
          <w:color w:val="auto"/>
        </w:rPr>
        <w:t xml:space="preserve">”), the Company does not lease any Real Property. With respect to each of the Company Leases, except as set forth on </w:t>
      </w:r>
      <w:r>
        <w:rPr>
          <w:rFonts w:ascii="Arial" w:cs="Arial" w:eastAsia="Arial" w:hAnsi="Arial"/>
          <w:sz w:val="16"/>
          <w:szCs w:val="16"/>
          <w:u w:val="single" w:color="auto"/>
          <w:color w:val="auto"/>
        </w:rPr>
        <w:t>Schedule 6.12</w:t>
      </w:r>
      <w:r>
        <w:rPr>
          <w:rFonts w:ascii="Arial" w:cs="Arial" w:eastAsia="Arial" w:hAnsi="Arial"/>
          <w:sz w:val="16"/>
          <w:szCs w:val="16"/>
          <w:color w:val="auto"/>
        </w:rPr>
        <w:t>, (i) the Company has been in peaceful possession of the property leased thereunder and neither the Company nor, to the Company’s knowledge, the landlord is in default thereunder; (ii) no waiver, indulgence or postponement of any of the Obligations thereunder has been granted by the Company or landlord thereunder; and (iii) there exists no event, occurrence, condition or act known to the Company which, upon notice or lapse of time or both, would be or could become a default thereunder or which could result in the termination of the Company Leases, or any of them, or have a Material Adverse Effect on the business of the Company, its Assets or its operations or financial results. The Company has not violated nor breached any provision of any such Company Leases, and all Obligations required to be performed by the Company under any of such Company Leases have been fully, timely and properly performed. If requested by any of the Buyers, the Company has delivered to such Buyers true, correct and complete copies of all Company Leases, including all modifications and amendments thereto, whether in writing or otherwise. The Company has not received any written or oral notice to the effect that any of the Company Leases will not be renewed at the termination of the term of such Company Leases, or that any of such Company Leases will be renewed only at higher rents.</w:t>
      </w:r>
    </w:p>
    <w:p>
      <w:pPr>
        <w:spacing w:after="0" w:line="16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Material Contracts</w:t>
      </w:r>
      <w:r>
        <w:rPr>
          <w:rFonts w:ascii="Arial" w:cs="Arial" w:eastAsia="Arial" w:hAnsi="Arial"/>
          <w:sz w:val="16"/>
          <w:szCs w:val="16"/>
          <w:color w:val="auto"/>
        </w:rPr>
        <w:t>. An accurate, current and complete copy of each of the Material Contracts has been furnished to Buyers and/or is readily available as part of the SEC Documents, and each of the Material Contracts constitutes the entire agreement of the respective parties thereto relating to the subject matter thereof. Each of the Material Contracts is in full force and effect and is a valid and binding Obligation of the parties thereto in accordance with the terms and conditions thereof. To the knowledge of the Company and its officers, all Obligations required to be performed under the terms of each of the Material Contracts by any party thereto have been fully performed by all parties thereto, and no party to any Material Contracts is in default with respect to any term or condition thereof, nor has any event occurred which, through the passage of time or the giving of notice, or both, would constitute a default thereunder or would cause the acceleration or modification of any Obligation of any party thereto or the creation of any Encumbrance upon any of the Assets of the Company. Further, the Company has received no notice, nor does the Company have any knowledge, of any pending or contemplated termination of any of the Material Contracts and, no such termination is proposed or has been threatened, whether in writing or orally.</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Except as would not have a Material Adverse Effect, the Company is and at all times has been in material compliance with all Laws. The Company has not received any notice that it is in violation of, has violated, or is under investigation with respect to, or has been threatened to be charged with, any violation of any Law.</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Company owns or possesses adequate and legally enforceable rights or licenses to use all trademarks, trade names, service marks, service mark registrations, service names, patents, patent rights, copyrights, inventions, licenses, approvals, governmental authorizations, trade secrets and all other intellectual property rights necessary to conduct its business as now conducted. The Company does not have any knowledge of any infringement by the Company of trademark, trade name rights, patents, patent rights, copyrights, inventions, licenses, service names, service marks, service mark registrations, trade secret or other intellectual property rights of others, and, to the knowledge of the Company, there is no Claim being made or brought against, or to the Company’s knowledge, being threatened against, the Company regarding trademark, trade name, patents, patent rights, invention, copyright, license, service names, service marks, service mark registrations, trade secret or other intellectual property infringement; and the Company is unaware of any facts or circumstances which might give rise to any of the foregoing.</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 The Company is not involved in any labor dispute or, to the knowledge of the Company, is any such dispute threatened. To the knowledge of the Company and its officers, none of the Company’s employees is a member of a union and the Company believes that its relations with its employees are good. To the knowledge of the Company and its officers, the Company has complied in all material respects with all Laws relating to employment matters, civil rights and equal employment opportunities.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Employee Benefit Plans</w:t>
      </w:r>
      <w:r>
        <w:rPr>
          <w:rFonts w:ascii="Arial" w:cs="Arial" w:eastAsia="Arial" w:hAnsi="Arial"/>
          <w:sz w:val="16"/>
          <w:szCs w:val="16"/>
          <w:color w:val="auto"/>
        </w:rPr>
        <w:t>. The Company is in compliance in all material respects with all presently applicable provisions of the Employee Retirement Income Security Act of 1974, as amended, including the regulations and published interpretations thereunder (“</w:t>
      </w:r>
      <w:r>
        <w:rPr>
          <w:rFonts w:ascii="Arial" w:cs="Arial" w:eastAsia="Arial" w:hAnsi="Arial"/>
          <w:sz w:val="16"/>
          <w:szCs w:val="16"/>
          <w:b w:val="1"/>
          <w:bCs w:val="1"/>
          <w:color w:val="auto"/>
        </w:rPr>
        <w:t>ERISA</w:t>
      </w:r>
      <w:r>
        <w:rPr>
          <w:rFonts w:ascii="Arial" w:cs="Arial" w:eastAsia="Arial" w:hAnsi="Arial"/>
          <w:sz w:val="16"/>
          <w:szCs w:val="16"/>
          <w:color w:val="auto"/>
        </w:rPr>
        <w:t>”); no “reportable event” (as defined in ERISA) has occurred with respect to any “pension plan” (as defined in ERISA) for which the Company would have any liability; the Company has not incurred and does not expect to incur liability under (i) Title IV of ERISA with respect to termination of, or withdrawal from, any “pension plan” or</w:t>
      </w:r>
    </w:p>
    <w:p>
      <w:pPr>
        <w:spacing w:after="0" w:line="2" w:lineRule="exact"/>
        <w:rPr>
          <w:sz w:val="20"/>
          <w:szCs w:val="20"/>
          <w:color w:val="auto"/>
        </w:rPr>
      </w:pPr>
    </w:p>
    <w:p>
      <w:pPr>
        <w:jc w:val="both"/>
        <w:ind w:firstLine="8"/>
        <w:spacing w:after="0" w:line="271" w:lineRule="auto"/>
        <w:tabs>
          <w:tab w:leader="none" w:pos="267"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Sections 412 or 4971 of the Internal Revenue Code of 1986, as amended, including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and each “pension plan” for which the Company would have any liability that is intended to be qualified under Section 401(a) of the Code is so qualified in all material respects and nothing has occurred, whether by action or by failure to act, which would cause the loss of such qualification. To the Company’s knowledge, the Company has promptly paid and discharged all Obligations arising under ERISA of a character which if unpaid or unperformed might result in the imposition of an Encumbrance against any of its Assets or otherwise have a Material Adverse Effect.</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Tax Matters</w:t>
      </w:r>
      <w:r>
        <w:rPr>
          <w:rFonts w:ascii="Arial" w:cs="Arial" w:eastAsia="Arial" w:hAnsi="Arial"/>
          <w:sz w:val="17"/>
          <w:szCs w:val="17"/>
          <w:color w:val="auto"/>
        </w:rPr>
        <w:t>. The Company has made and timely filed all Tax Returns required by any jurisdiction to which it is subject, and each such Tax Return has been prepared in compliance with all applicable Laws, and all such Tax Returns are true and accurate in all respects. Except and only to the extent that the Company has set aside on its books provisions reasonably adequate for the payment of all unpaid and unreported Taxes, the Company has timely paid all Taxes shown or determined to be due on such Tax Returns, except those being contested in good faith, and the Company has set aside on its books provision reasonably adequate for the payment of all Taxes for periods subsequent to the periods to which such Tax Returns apply. There are no unpaid Taxes in any material amount claimed to be due by the taxing authority of any jurisdiction, and the officers of the Company know of no basis for any such claim. The Company has withheld and paid all Taxes to the appropriate Governmental Authority required to have been withheld and paid in connection with amounts paid or owing to any Person. There is no Proceeding or Claim for refund now in progress, pending or, to the Company’s knowledge, threatened against or with respect to the Company regarding Taxes.</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6.19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is covered by valid, outstanding and enforceable policies of insurance which were issued to it by reputable insurers of recognized financial responsibility, covering its properties, Assets and businesses against losses and risks normally insured against by other corporations or entities in the same or similar lines of businesses as the Company is engaged and in coverage amounts which are prudent and typically and reasonably carried by such other corporations or entities (the “</w:t>
      </w:r>
      <w:r>
        <w:rPr>
          <w:rFonts w:ascii="Arial" w:cs="Arial" w:eastAsia="Arial" w:hAnsi="Arial"/>
          <w:sz w:val="17"/>
          <w:szCs w:val="17"/>
          <w:b w:val="1"/>
          <w:bCs w:val="1"/>
          <w:color w:val="auto"/>
        </w:rPr>
        <w:t>Insurance Policies</w:t>
      </w:r>
      <w:r>
        <w:rPr>
          <w:rFonts w:ascii="Arial" w:cs="Arial" w:eastAsia="Arial" w:hAnsi="Arial"/>
          <w:sz w:val="17"/>
          <w:szCs w:val="17"/>
          <w:color w:val="auto"/>
        </w:rPr>
        <w:t>”). Such Insurance Policies are in full force and effect, and all premiums due thereon have been paid. None of the Insurance Policies will lapse or terminate as a result of the transactions contemplated by this Agreement. The Company has complied with the provisions of such Insurance Policies. The Company has not been refused any insurance coverage sought or applied for and the Company does not have any reason to believe that it will not be able to renew its existing Insurance Policies as and when such Insurance Policies expire or to obtain similar coverage from similar insurers as may be necessary to continue its business at a cost that would not materially and adversely affect the condition, financial or otherwise, or the earnings, business or operations of the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both"/>
        <w:ind w:firstLine="648"/>
        <w:spacing w:after="0" w:line="264"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Permits</w:t>
      </w:r>
      <w:r>
        <w:rPr>
          <w:rFonts w:ascii="Arial" w:cs="Arial" w:eastAsia="Arial" w:hAnsi="Arial"/>
          <w:sz w:val="18"/>
          <w:szCs w:val="18"/>
          <w:color w:val="auto"/>
        </w:rPr>
        <w:t>. The Company possesses all Permits necessary to conduct its business, and the Company has not received any notice of, or is otherwise involved in any Proceedings relating to, the revocation or modification of any such Permits. All such Permits are valid and in full force and effect and the Company is in material compliance with the respective requirements of all such Permits.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Business Location</w:t>
      </w:r>
      <w:r>
        <w:rPr>
          <w:rFonts w:ascii="Arial" w:cs="Arial" w:eastAsia="Arial" w:hAnsi="Arial"/>
          <w:sz w:val="18"/>
          <w:szCs w:val="18"/>
          <w:color w:val="auto"/>
        </w:rPr>
        <w:t>. The Company has no office or place of business other than as identified in the SEC Documents and the Company’s principal executive offices are located in San Diego, California. All books and records of the Company and other material Assets of the Company are held or located at the offices and places of business identified in the SEC Documents.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Environmental Laws</w:t>
      </w:r>
      <w:r>
        <w:rPr>
          <w:rFonts w:ascii="Arial" w:cs="Arial" w:eastAsia="Arial" w:hAnsi="Arial"/>
          <w:sz w:val="18"/>
          <w:szCs w:val="18"/>
          <w:color w:val="auto"/>
        </w:rPr>
        <w:t>. The Company is and has at all times been in compliance in all material respects with any and all applicable Environmental Requirements, and there are no pending Claims against the Company relating to any Environmental Requirements, nor to the best knowledge of the Company, is there any basis for any such Claims.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Illegal Payments</w:t>
      </w:r>
      <w:r>
        <w:rPr>
          <w:rFonts w:ascii="Arial" w:cs="Arial" w:eastAsia="Arial" w:hAnsi="Arial"/>
          <w:sz w:val="17"/>
          <w:szCs w:val="17"/>
          <w:color w:val="auto"/>
        </w:rPr>
        <w:t>. Neither the Company, nor any director, officer, agent, employee or other Person acting on behalf of the Company has, in the course of his actions for, or on behalf of, the Company: (i) used any corporate funds for any unlawful contribution, gift, entertainment or other unlawful expenses relating to political activity; (ii) made any direct or indirect unlawful payment to any foreign or domestic government official or employee from corporate funds; (iii) violated or is in violation of any provision of the U.S. Foreign Corrupt Practices Act of 1977, as amended; or (iv) made any bribe, rebate, payoff, influence payment, kickback or other unlawful payment to any foreign or domestic government official or employee.</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6.24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Except as disclosed in the SEC Documents, and except for arm’s length transactions pursuant to which the Company makes payments in the Ordinary Course of Business upon terms no less favorable than the Company could obtain from third parties, none of the officers, directors or employees of the Company, nor any stockholders who own, legally or beneficially, five percent (5%) or more of the issued and outstanding shares of any class of the Company’s capital stock (each a “</w:t>
      </w:r>
      <w:r>
        <w:rPr>
          <w:rFonts w:ascii="Arial" w:cs="Arial" w:eastAsia="Arial" w:hAnsi="Arial"/>
          <w:sz w:val="17"/>
          <w:szCs w:val="17"/>
          <w:b w:val="1"/>
          <w:bCs w:val="1"/>
          <w:color w:val="auto"/>
        </w:rPr>
        <w:t>Material Shareholder</w:t>
      </w:r>
      <w:r>
        <w:rPr>
          <w:rFonts w:ascii="Arial" w:cs="Arial" w:eastAsia="Arial" w:hAnsi="Arial"/>
          <w:sz w:val="17"/>
          <w:szCs w:val="17"/>
          <w:color w:val="auto"/>
        </w:rPr>
        <w:t>”), is presently a party to any transaction with the Company (other than for services as employees, officers and directors), including any Contract providing for the furnishing of services to or by, providing for rental of real or personal property to or from, or otherwise requiring payments to or from, any officer, director or such employee or Material Shareholder or, to the best knowledge of the Company, any other Person in which any officer, director, or any such employee or Material Shareholder has a substantial or material interest in or of which any officer, director or employee of the Company or Material Shareholder is an officer, director, trustee or partner. There are no Claims or disputes of any nature or kind between the Company and any officer, director or employee of the Company or any Material Shareholder, or, to the Company’s knowledge, between any of them, relating to the Company and its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jc w:val="both"/>
        <w:ind w:firstLine="648"/>
        <w:spacing w:after="0" w:line="297" w:lineRule="auto"/>
        <w:rPr>
          <w:sz w:val="20"/>
          <w:szCs w:val="20"/>
          <w:color w:val="auto"/>
        </w:rPr>
      </w:pPr>
      <w:r>
        <w:rPr>
          <w:rFonts w:ascii="Arial" w:cs="Arial" w:eastAsia="Arial" w:hAnsi="Arial"/>
          <w:sz w:val="16"/>
          <w:szCs w:val="16"/>
          <w:color w:val="auto"/>
        </w:rPr>
        <w:t xml:space="preserve">6.25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Except as set forth in the SEC Documents,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6.26 </w:t>
      </w:r>
      <w:r>
        <w:rPr>
          <w:rFonts w:ascii="Arial" w:cs="Arial" w:eastAsia="Arial" w:hAnsi="Arial"/>
          <w:sz w:val="17"/>
          <w:szCs w:val="17"/>
          <w:u w:val="single" w:color="auto"/>
          <w:color w:val="auto"/>
        </w:rPr>
        <w:t>Acknowledgment Regarding Buyers’ Purchase of the Units</w:t>
      </w:r>
      <w:r>
        <w:rPr>
          <w:rFonts w:ascii="Arial" w:cs="Arial" w:eastAsia="Arial" w:hAnsi="Arial"/>
          <w:sz w:val="17"/>
          <w:szCs w:val="17"/>
          <w:color w:val="auto"/>
        </w:rPr>
        <w:t>. The Company acknowledges and agrees that each Buyer is acting solely in the capacity of an arm’s length purchaser with respect to this Agreement and the transactions contemplated hereby. The Company further acknowledges that no Buyer is acting as a financial advisor or fiduciary of the Company (or in any similar capacity) with respect to this Agreement and the transactions contemplated hereby and any advice given by any Buyer or any of its representatives or agents in connection with this Agreement and the transactions contemplated hereby is merely incidental to such Buyer’s purchase of the Units. The Company further represents to each Buyer that the Company’s decision to enter into this Agreement has been based solely on the independent evaluation by the Company and its representatives.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6.27 </w:t>
      </w:r>
      <w:r>
        <w:rPr>
          <w:rFonts w:ascii="Arial" w:cs="Arial" w:eastAsia="Arial" w:hAnsi="Arial"/>
          <w:sz w:val="17"/>
          <w:szCs w:val="17"/>
          <w:u w:val="single" w:color="auto"/>
          <w:color w:val="auto"/>
        </w:rPr>
        <w:t>Listing and Maintenance Requirements</w:t>
      </w:r>
      <w:r>
        <w:rPr>
          <w:rFonts w:ascii="Arial" w:cs="Arial" w:eastAsia="Arial" w:hAnsi="Arial"/>
          <w:sz w:val="17"/>
          <w:szCs w:val="17"/>
          <w:color w:val="auto"/>
        </w:rPr>
        <w:t>. The Company’s Common Stock is registered pursuant to Section 12 of the Exchange Act, and the Company has taken no action designed to, or which to the best of its knowledge is likely to have the effect of, terminating the registration of the Common Stock under the Exchange Act, nor has the Company received any notification that the SEC is contemplating terminating such registration.</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6.28 </w:t>
      </w:r>
      <w:r>
        <w:rPr>
          <w:rFonts w:ascii="Arial" w:cs="Arial" w:eastAsia="Arial" w:hAnsi="Arial"/>
          <w:sz w:val="18"/>
          <w:szCs w:val="18"/>
          <w:u w:val="single" w:color="auto"/>
          <w:color w:val="auto"/>
        </w:rPr>
        <w:t>Bad Actor</w:t>
      </w:r>
      <w:r>
        <w:rPr>
          <w:rFonts w:ascii="Arial" w:cs="Arial" w:eastAsia="Arial" w:hAnsi="Arial"/>
          <w:sz w:val="18"/>
          <w:szCs w:val="18"/>
          <w:color w:val="auto"/>
        </w:rPr>
        <w:t>. No “bad actor” disqualifying event described in Rule 506(d)(1)(i)-(viii) of the Securities Act (a “</w:t>
      </w:r>
      <w:r>
        <w:rPr>
          <w:rFonts w:ascii="Arial" w:cs="Arial" w:eastAsia="Arial" w:hAnsi="Arial"/>
          <w:sz w:val="18"/>
          <w:szCs w:val="18"/>
          <w:b w:val="1"/>
          <w:bCs w:val="1"/>
          <w:color w:val="auto"/>
        </w:rPr>
        <w:t>Disqualification Event</w:t>
      </w:r>
      <w:r>
        <w:rPr>
          <w:rFonts w:ascii="Arial" w:cs="Arial" w:eastAsia="Arial" w:hAnsi="Arial"/>
          <w:sz w:val="18"/>
          <w:szCs w:val="18"/>
          <w:color w:val="auto"/>
        </w:rPr>
        <w:t>”) is applicable to the Company or, to the Company’s knowledge, any Company Covered Person. As used in this Section 6.28, the term “</w:t>
      </w:r>
      <w:r>
        <w:rPr>
          <w:rFonts w:ascii="Arial" w:cs="Arial" w:eastAsia="Arial" w:hAnsi="Arial"/>
          <w:sz w:val="18"/>
          <w:szCs w:val="18"/>
          <w:b w:val="1"/>
          <w:bCs w:val="1"/>
          <w:color w:val="auto"/>
        </w:rPr>
        <w:t>Company Covered</w:t>
      </w:r>
      <w:r>
        <w:rPr>
          <w:rFonts w:ascii="Arial" w:cs="Arial" w:eastAsia="Arial" w:hAnsi="Arial"/>
          <w:sz w:val="18"/>
          <w:szCs w:val="18"/>
          <w:color w:val="auto"/>
        </w:rPr>
        <w:t xml:space="preserve"> </w:t>
      </w:r>
      <w:r>
        <w:rPr>
          <w:rFonts w:ascii="Arial" w:cs="Arial" w:eastAsia="Arial" w:hAnsi="Arial"/>
          <w:sz w:val="18"/>
          <w:szCs w:val="18"/>
          <w:b w:val="1"/>
          <w:bCs w:val="1"/>
          <w:color w:val="auto"/>
        </w:rPr>
        <w:t>Person</w:t>
      </w:r>
      <w:r>
        <w:rPr>
          <w:rFonts w:ascii="Arial" w:cs="Arial" w:eastAsia="Arial" w:hAnsi="Arial"/>
          <w:sz w:val="18"/>
          <w:szCs w:val="18"/>
          <w:color w:val="auto"/>
        </w:rPr>
        <w:t>” means, with respect to the Company as an “issuer” for purposes of Rule 506 promulgated under the Securities Act, any Person listed in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of Rule 506(d)(1).</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6.29 </w:t>
      </w:r>
      <w:r>
        <w:rPr>
          <w:rFonts w:ascii="Arial" w:cs="Arial" w:eastAsia="Arial" w:hAnsi="Arial"/>
          <w:sz w:val="18"/>
          <w:szCs w:val="18"/>
          <w:u w:val="single" w:color="auto"/>
          <w:color w:val="auto"/>
        </w:rPr>
        <w:t>Brokerage Fees</w:t>
      </w:r>
      <w:r>
        <w:rPr>
          <w:rFonts w:ascii="Arial" w:cs="Arial" w:eastAsia="Arial" w:hAnsi="Arial"/>
          <w:sz w:val="18"/>
          <w:szCs w:val="18"/>
          <w:color w:val="auto"/>
        </w:rPr>
        <w:t>. Except for the Placement Agent, there is no Person acting on behalf of the Company who is entitled to or has any claim for any financial advisory, brokerage or finder’s fee or commission in connection with the execution of this Agreement or the consummation of the transactions contemplated hereby. The Company has agreed to pay the Placement Agent a cash amount equal to 7.5% of the gross proceeds from the sale of the Units. The Company has agreed to issue to the Placement Agent, or its designees, a three-year warrant to purchase up to the number of shares of Common Stock equal to 4% of the shares of Common Stock included in the Units (excluding the shares of Common Stock underlying the Warrants). The exercise price per share will be equal to the exercise price of the Warrants made part of the Units, and the warrant will be exercisable commencing six months after the Closing Date. The warrant to be issued to the Placement Agent will have a cashless exercise provision, and the shares issuable upon exercise of the warrant will have registration rights. The Company has also agreed to reimburse the Placement Agent up to $40,000 for its legal fees and other expenses in connection with the sale of the Units.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ind w:left="520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Best Efforts</w:t>
      </w:r>
      <w:r>
        <w:rPr>
          <w:rFonts w:ascii="Arial" w:cs="Arial" w:eastAsia="Arial" w:hAnsi="Arial"/>
          <w:sz w:val="18"/>
          <w:szCs w:val="18"/>
          <w:color w:val="auto"/>
        </w:rPr>
        <w:t>. Each party shall use its best efforts to timely satisfy each of the conditions to be satisfied by it as provided in Articles VIII and IX of this Agreement.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Form D</w:t>
      </w:r>
      <w:r>
        <w:rPr>
          <w:rFonts w:ascii="Arial" w:cs="Arial" w:eastAsia="Arial" w:hAnsi="Arial"/>
          <w:sz w:val="18"/>
          <w:szCs w:val="18"/>
          <w:color w:val="auto"/>
        </w:rPr>
        <w:t>. If required by applicable Law, the Company agrees to file a Form D with respect to the Units as required under Regulation D of the Securities Act and to provide a copy thereof to the Placement Agent. The Company shall, on or before the Closing Date, take such action as the Company shall reasonably determine is necessary to qualify the Units, or obtain an exemption for the Units for sale to each of the Buyers at Closing pursuant to this Agreement under applicable securities or “Blue Sky” Laws of the states of the United States, and shall provide evidence of any such action so taken to the Placement Agent on or prior to the Closing Date.</w:t>
      </w:r>
    </w:p>
    <w:p>
      <w:pPr>
        <w:spacing w:after="0" w:line="18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Affirmative Covenants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0" w:lineRule="auto"/>
        <w:tabs>
          <w:tab w:leader="none" w:pos="185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Reporting Status; Listing</w:t>
      </w:r>
      <w:r>
        <w:rPr>
          <w:rFonts w:ascii="Arial" w:cs="Arial" w:eastAsia="Arial" w:hAnsi="Arial"/>
          <w:sz w:val="17"/>
          <w:szCs w:val="17"/>
          <w:color w:val="auto"/>
        </w:rPr>
        <w:t>. Until the earlier of three (3) years from the date hereof or when the Shares, Warrants and Warrant Shares are no longer registered in the names of the Buyers on the books and records of the Company, the Company shall: (i) file in a timely manner all reports required to be filed under the Securities Act, the Exchange Act or any securities Laws and regulations thereof applicable to the Company of any state of the United States, or by the rules and regulations of the Principal Trading Market, and, if not otherwise publicly available, to provide a copy thereof to a Buyer upon request; (ii) not terminate its status as an issuer required to file reports under the Exchange Act even if the Exchange Act or the rules and regulations thereunder would otherwise permit such termination; (iii) if required by the rules and regulations of the Principal Trading Market, promptly secure the listing of any of the Shares or Warrant Shares upon the Principal Trading Market (subject to official notice of issuance) and, take all reasonable action under its control to maintain the continued listing, quotation and trading of its Common Stock on the Principal Trading Market, and the Company shall comply in all respects with the Company’s reporting, filing and other Obligations under the bylaws or rules of the Principal Trading Market, the Financial Industry Regulatory Authority, Inc. and such other Governmental Authorities, as applicable.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jc w:val="both"/>
        <w:ind w:firstLine="1305"/>
        <w:spacing w:after="0" w:line="270" w:lineRule="auto"/>
        <w:tabs>
          <w:tab w:leader="none" w:pos="1902"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Rule 144</w:t>
      </w:r>
      <w:r>
        <w:rPr>
          <w:rFonts w:ascii="Arial" w:cs="Arial" w:eastAsia="Arial" w:hAnsi="Arial"/>
          <w:sz w:val="17"/>
          <w:szCs w:val="17"/>
          <w:color w:val="auto"/>
        </w:rPr>
        <w:t>. With a view to making available to each Buyer the benefits of Rule 144 under the Securities Act (“</w:t>
      </w:r>
      <w:r>
        <w:rPr>
          <w:rFonts w:ascii="Arial" w:cs="Arial" w:eastAsia="Arial" w:hAnsi="Arial"/>
          <w:sz w:val="17"/>
          <w:szCs w:val="17"/>
          <w:b w:val="1"/>
          <w:bCs w:val="1"/>
          <w:color w:val="auto"/>
        </w:rPr>
        <w:t>Rule 144</w:t>
      </w:r>
      <w:r>
        <w:rPr>
          <w:rFonts w:ascii="Arial" w:cs="Arial" w:eastAsia="Arial" w:hAnsi="Arial"/>
          <w:sz w:val="17"/>
          <w:szCs w:val="17"/>
          <w:color w:val="auto"/>
        </w:rPr>
        <w:t>”), or any similar rule or regulation of the SEC that may at any time permit Buyers to sell any of the Shares or Warrant Shares to the public without registration, the Company represents and warrants that: (i) the Company is, and has been for a period of at least ninety (90) days immediately preceding the date hereof, subject to the reporting requirements of Section 13 or 15(d) of the Exchange Act; (ii) the Company has filed all required reports under Section 13 or 15(d) of the Exchange Act, as applicable, during the twelve (12) months preceding the Closing Date (or for such shorter period that the Company was required to file such reports); (iii) the Company is not an issuer defined as a “Shell Company” (as hereinafter defined); and (iv) if the Company has, at any time, been an issuer defined as a Shell Company, the Company has: (A) not been an issuer defined as a Shell Company for at least six (6) months prior to the Closing Date; and (B) has satisfied the requirements of Rule 144(i) (including, without limitation, the proper filing of “Form 10 information” at least six (6) months prior to the Closing Date). For the purposes hereof, the term “</w:t>
      </w:r>
      <w:r>
        <w:rPr>
          <w:rFonts w:ascii="Arial" w:cs="Arial" w:eastAsia="Arial" w:hAnsi="Arial"/>
          <w:sz w:val="17"/>
          <w:szCs w:val="17"/>
          <w:b w:val="1"/>
          <w:bCs w:val="1"/>
          <w:color w:val="auto"/>
        </w:rPr>
        <w:t>Shell Company</w:t>
      </w:r>
      <w:r>
        <w:rPr>
          <w:rFonts w:ascii="Arial" w:cs="Arial" w:eastAsia="Arial" w:hAnsi="Arial"/>
          <w:sz w:val="17"/>
          <w:szCs w:val="17"/>
          <w:color w:val="auto"/>
        </w:rPr>
        <w:t>” shall mean an issuer that meets the description set forth under Rule 144(i)(1)(i). In addition, until the earlier of five (5) years from the date hereof or when the Shares and Warrant Shares no longer bear a restrictive legend, the Company shall, at its sole expense:</w:t>
      </w:r>
    </w:p>
    <w:p>
      <w:pPr>
        <w:spacing w:after="0" w:line="178" w:lineRule="exact"/>
        <w:rPr>
          <w:rFonts w:ascii="Arial" w:cs="Arial" w:eastAsia="Arial" w:hAnsi="Arial"/>
          <w:sz w:val="17"/>
          <w:szCs w:val="17"/>
          <w:color w:val="auto"/>
        </w:rPr>
      </w:pPr>
    </w:p>
    <w:p>
      <w:pPr>
        <w:ind w:left="2440" w:hanging="487"/>
        <w:spacing w:after="0"/>
        <w:tabs>
          <w:tab w:leader="none" w:pos="2440" w:val="left"/>
        </w:tabs>
        <w:numPr>
          <w:ilvl w:val="2"/>
          <w:numId w:val="10"/>
        </w:numPr>
        <w:rPr>
          <w:rFonts w:ascii="Arial" w:cs="Arial" w:eastAsia="Arial" w:hAnsi="Arial"/>
          <w:sz w:val="16"/>
          <w:szCs w:val="16"/>
          <w:color w:val="auto"/>
        </w:rPr>
      </w:pPr>
      <w:r>
        <w:rPr>
          <w:rFonts w:ascii="Arial" w:cs="Arial" w:eastAsia="Arial" w:hAnsi="Arial"/>
          <w:sz w:val="16"/>
          <w:szCs w:val="16"/>
          <w:color w:val="auto"/>
        </w:rPr>
        <w:t>make, keep and ensure that adequate current public information with respect to the Company, as required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144, is publicly available;</w:t>
      </w:r>
    </w:p>
    <w:p>
      <w:pPr>
        <w:spacing w:after="0" w:line="210" w:lineRule="exact"/>
        <w:rPr>
          <w:rFonts w:ascii="Arial" w:cs="Arial" w:eastAsia="Arial" w:hAnsi="Arial"/>
          <w:sz w:val="16"/>
          <w:szCs w:val="16"/>
          <w:color w:val="auto"/>
        </w:rPr>
      </w:pPr>
    </w:p>
    <w:p>
      <w:pPr>
        <w:jc w:val="both"/>
        <w:ind w:firstLine="1953"/>
        <w:spacing w:after="0" w:line="286" w:lineRule="auto"/>
        <w:tabs>
          <w:tab w:leader="none" w:pos="2487" w:val="left"/>
        </w:tabs>
        <w:numPr>
          <w:ilvl w:val="2"/>
          <w:numId w:val="10"/>
        </w:numPr>
        <w:rPr>
          <w:rFonts w:ascii="Arial" w:cs="Arial" w:eastAsia="Arial" w:hAnsi="Arial"/>
          <w:sz w:val="17"/>
          <w:szCs w:val="17"/>
          <w:color w:val="auto"/>
        </w:rPr>
      </w:pPr>
      <w:r>
        <w:rPr>
          <w:rFonts w:ascii="Arial" w:cs="Arial" w:eastAsia="Arial" w:hAnsi="Arial"/>
          <w:sz w:val="17"/>
          <w:szCs w:val="17"/>
          <w:color w:val="auto"/>
        </w:rPr>
        <w:t>furnish to each Buyer, promptly upon reasonable request: (A) a written statement by the Company that it has complied with the reporting requirements of Rule 144, the Securities Act and the Exchange Act; and (B) such other information as may be reasonably requested by each Buyer to permit each Buyer to sell any of the Shares or Warrant Shares pursuant to Rule 144 without limitation or restriction; and</w:t>
      </w:r>
    </w:p>
    <w:p>
      <w:pPr>
        <w:spacing w:after="0" w:line="165" w:lineRule="exact"/>
        <w:rPr>
          <w:rFonts w:ascii="Arial" w:cs="Arial" w:eastAsia="Arial" w:hAnsi="Arial"/>
          <w:sz w:val="17"/>
          <w:szCs w:val="17"/>
          <w:color w:val="auto"/>
        </w:rPr>
      </w:pPr>
    </w:p>
    <w:p>
      <w:pPr>
        <w:jc w:val="both"/>
        <w:ind w:firstLine="1953"/>
        <w:spacing w:after="0" w:line="288" w:lineRule="auto"/>
        <w:tabs>
          <w:tab w:leader="none" w:pos="2581" w:val="left"/>
        </w:tabs>
        <w:numPr>
          <w:ilvl w:val="2"/>
          <w:numId w:val="10"/>
        </w:numPr>
        <w:rPr>
          <w:rFonts w:ascii="Arial" w:cs="Arial" w:eastAsia="Arial" w:hAnsi="Arial"/>
          <w:sz w:val="16"/>
          <w:szCs w:val="16"/>
          <w:color w:val="auto"/>
        </w:rPr>
      </w:pPr>
      <w:r>
        <w:rPr>
          <w:rFonts w:ascii="Arial" w:cs="Arial" w:eastAsia="Arial" w:hAnsi="Arial"/>
          <w:sz w:val="16"/>
          <w:szCs w:val="16"/>
          <w:color w:val="auto"/>
        </w:rPr>
        <w:t>promptly at the request of each Buyer, give the Company’s transfer agent instructions to the effect that, upon the transfer agent’s receipt from any Buyer of a certificate (a “</w:t>
      </w:r>
      <w:r>
        <w:rPr>
          <w:rFonts w:ascii="Arial" w:cs="Arial" w:eastAsia="Arial" w:hAnsi="Arial"/>
          <w:sz w:val="16"/>
          <w:szCs w:val="16"/>
          <w:b w:val="1"/>
          <w:bCs w:val="1"/>
          <w:color w:val="auto"/>
        </w:rPr>
        <w:t>Rule 144 Certificate</w:t>
      </w:r>
      <w:r>
        <w:rPr>
          <w:rFonts w:ascii="Arial" w:cs="Arial" w:eastAsia="Arial" w:hAnsi="Arial"/>
          <w:sz w:val="16"/>
          <w:szCs w:val="16"/>
          <w:color w:val="auto"/>
        </w:rPr>
        <w:t>”) certifying that such Buyer’s holding period (as determined in accordance with the provisions of Rule 144) for any portion of the Shares or Warrant Shares which such Buyer proposes to sell (the “</w:t>
      </w:r>
      <w:r>
        <w:rPr>
          <w:rFonts w:ascii="Arial" w:cs="Arial" w:eastAsia="Arial" w:hAnsi="Arial"/>
          <w:sz w:val="16"/>
          <w:szCs w:val="16"/>
          <w:b w:val="1"/>
          <w:bCs w:val="1"/>
          <w:color w:val="auto"/>
        </w:rPr>
        <w:t>Securities Being Sold</w:t>
      </w:r>
      <w:r>
        <w:rPr>
          <w:rFonts w:ascii="Arial" w:cs="Arial" w:eastAsia="Arial" w:hAnsi="Arial"/>
          <w:sz w:val="16"/>
          <w:szCs w:val="16"/>
          <w:color w:val="auto"/>
        </w:rPr>
        <w:t>”) is not less than six</w:t>
      </w:r>
    </w:p>
    <w:p>
      <w:pPr>
        <w:jc w:val="both"/>
        <w:ind w:firstLine="8"/>
        <w:spacing w:after="0" w:line="267" w:lineRule="auto"/>
        <w:tabs>
          <w:tab w:leader="none" w:pos="258" w:val="left"/>
        </w:tabs>
        <w:numPr>
          <w:ilvl w:val="0"/>
          <w:numId w:val="11"/>
        </w:numPr>
        <w:rPr>
          <w:rFonts w:ascii="Arial" w:cs="Arial" w:eastAsia="Arial" w:hAnsi="Arial"/>
          <w:sz w:val="17"/>
          <w:szCs w:val="17"/>
          <w:color w:val="auto"/>
        </w:rPr>
      </w:pPr>
      <w:r>
        <w:rPr>
          <w:rFonts w:ascii="Arial" w:cs="Arial" w:eastAsia="Arial" w:hAnsi="Arial"/>
          <w:sz w:val="17"/>
          <w:szCs w:val="17"/>
          <w:color w:val="auto"/>
        </w:rPr>
        <w:t>months, and receipt by the transfer agent of the “Rule 144 Opinion” (as hereinafter defined) from the Company or its counsel (or from such Buyer and its counsel as permitted below), the transfer agent is to effect the transfer of the Securities Being Sold and issue to such Buyer or transferee(s) thereof one or more stock certificates representing the transferred Securities Being Sold without any restrictive legend and without recording any restrictions on the transferability of such Securities Being Sold on the transfer agent’s books and records or, at the Buyer’s option, the Securities Being Sold shall be transmitted by the transfer agent to the Buyer by crediting the account of the Buyer’s or its designee’s balance account with The Depository Trust Company through its Deposit or Withdrawal at Custodian system if the transfer agent is then a participant in such system. In this regard, upon each Buyer’s request, the Company shall have an affirmative obligation at its expense to cause its counsel to promptly issue to the transfer agent a legal opinion providing that, based on the Rule 144 Certificate, the Securities Being Sold were or may be sold, as applicable, pursuant to the provisions of Rule 144, even in the absence of an effective registration statement (the “</w:t>
      </w:r>
      <w:r>
        <w:rPr>
          <w:rFonts w:ascii="Arial" w:cs="Arial" w:eastAsia="Arial" w:hAnsi="Arial"/>
          <w:sz w:val="17"/>
          <w:szCs w:val="17"/>
          <w:b w:val="1"/>
          <w:bCs w:val="1"/>
          <w:color w:val="auto"/>
        </w:rPr>
        <w:t>Rule 144 Opinion</w:t>
      </w:r>
      <w:r>
        <w:rPr>
          <w:rFonts w:ascii="Arial" w:cs="Arial" w:eastAsia="Arial" w:hAnsi="Arial"/>
          <w:sz w:val="17"/>
          <w:szCs w:val="17"/>
          <w:color w:val="auto"/>
        </w:rPr>
        <w:t>”). If the transfer agent requires any additional documentation in connection with any proposed transfer by any Buyer of any Securities Being Sold, the Company shall promptly deliver or cause to be delivered to the transfer agent or to any other Person, all such additional documentation as may be necessary to effectuate the transfer of the Securities Being Sold and the issuance of an unlegended certificate to any transferee thereof, all at the Company’s expense.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ind w:left="1800" w:hanging="515"/>
        <w:spacing w:after="0"/>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Matters With Respect to Shares and Transfer Agent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953"/>
        <w:spacing w:after="0" w:line="287" w:lineRule="auto"/>
        <w:tabs>
          <w:tab w:leader="none" w:pos="2437" w:val="left"/>
        </w:tabs>
        <w:numPr>
          <w:ilvl w:val="1"/>
          <w:numId w:val="12"/>
        </w:numPr>
        <w:rPr>
          <w:rFonts w:ascii="Arial" w:cs="Arial" w:eastAsia="Arial" w:hAnsi="Arial"/>
          <w:sz w:val="16"/>
          <w:szCs w:val="16"/>
          <w:color w:val="auto"/>
        </w:rPr>
      </w:pPr>
      <w:r>
        <w:rPr>
          <w:rFonts w:ascii="Arial" w:cs="Arial" w:eastAsia="Arial" w:hAnsi="Arial"/>
          <w:sz w:val="16"/>
          <w:szCs w:val="16"/>
          <w:u w:val="single" w:color="auto"/>
          <w:color w:val="auto"/>
        </w:rPr>
        <w:t>Removal of Restrictive Legends</w:t>
      </w:r>
      <w:r>
        <w:rPr>
          <w:rFonts w:ascii="Arial" w:cs="Arial" w:eastAsia="Arial" w:hAnsi="Arial"/>
          <w:sz w:val="16"/>
          <w:szCs w:val="16"/>
          <w:color w:val="auto"/>
        </w:rPr>
        <w:t>. In the event that any Buyer has any shares of the Company’s Common Stock bearing any restrictive legends, and such Buyer, through its counsel or other representatives, submits to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any such shares for the removal of the restrictive legends thereon, whether in connection with a sale of such shares pursuant to any exemption to the registration requirements under the Securities Act, or otherwise, and the Company and or its counsel refuses or fails for any reason (except to the extent that such refusal or failure is based solely on applicable Law that would prevent the removal of such restrictive legends) to render an opinion of counsel or any other documents or certificates required for the removal of the restrictive legends, then the Company hereby agrees and acknowledges that such Buyer is hereby irrevocably and expressly authorized to have counsel to such Buyer render any and all opinions and other certificates or instruments which may be required for purposes of removing such restrictive legends, and the Company hereby irrevocably authorizes and directs the Transfer Agent to, without any further confirmation or instructions from the Company, issue any such shares without restrictive legends as instructed by such Buyer, and surrender to a common carrier for overnight delivery to the address as specified by such Buyer, certificates, registered in the name of such Buyer or its designees, representing the shares of Common Stock to which such Buyer is entitled, without any restrictive legends and otherwise freely transferable on the books and records of the Company.</w:t>
      </w:r>
    </w:p>
    <w:p>
      <w:pPr>
        <w:spacing w:after="0" w:line="172" w:lineRule="exact"/>
        <w:rPr>
          <w:rFonts w:ascii="Arial" w:cs="Arial" w:eastAsia="Arial" w:hAnsi="Arial"/>
          <w:sz w:val="16"/>
          <w:szCs w:val="16"/>
          <w:color w:val="auto"/>
        </w:rPr>
      </w:pPr>
    </w:p>
    <w:p>
      <w:pPr>
        <w:jc w:val="both"/>
        <w:ind w:left="-20" w:firstLine="1953"/>
        <w:spacing w:after="0" w:line="270" w:lineRule="auto"/>
        <w:tabs>
          <w:tab w:leader="none" w:pos="2460" w:val="left"/>
        </w:tabs>
        <w:numPr>
          <w:ilvl w:val="1"/>
          <w:numId w:val="12"/>
        </w:numPr>
        <w:rPr>
          <w:rFonts w:ascii="Arial" w:cs="Arial" w:eastAsia="Arial" w:hAnsi="Arial"/>
          <w:sz w:val="17"/>
          <w:szCs w:val="17"/>
          <w:color w:val="auto"/>
        </w:rPr>
      </w:pPr>
      <w:r>
        <w:rPr>
          <w:rFonts w:ascii="Arial" w:cs="Arial" w:eastAsia="Arial" w:hAnsi="Arial"/>
          <w:sz w:val="17"/>
          <w:szCs w:val="17"/>
          <w:u w:val="single" w:color="auto"/>
          <w:color w:val="auto"/>
        </w:rPr>
        <w:t>Authorized Agent of the Company</w:t>
      </w:r>
      <w:r>
        <w:rPr>
          <w:rFonts w:ascii="Arial" w:cs="Arial" w:eastAsia="Arial" w:hAnsi="Arial"/>
          <w:sz w:val="17"/>
          <w:szCs w:val="17"/>
          <w:color w:val="auto"/>
        </w:rPr>
        <w:t xml:space="preserve">. The Company hereby irrevocably appoints each Buyer and each Buyer’s counsel and its representatives, each as the Company’s duly authorized agent and attorney-in-fact for the Company solely for the purposes of authorizing and instructing the Transfer Agent to process issuances, transfers and legend removals upon instructions from each Buyer, or any counsel or representatives of each Buyer, in strict compliance with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The authorization and power of attorney granted hereby is coupled with an interest and is irrevocable so long as any Buyer owns or has the right to receive, any shares of the Company’s Common Stock hereunder. In this regard, the Company hereby confirms to the Transfer Agent and each Buyer that it can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and will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give instructions, including stop orders or otherwise, inconsistent with the terms of this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with regard to the matters contemplated herein, and that each Buyer shall have the absolute right to provide a copy of this Agreement to the Transfer Agent as evidence of the Company’s irrevocable authority for each Buyer and Transfer Agent to process issuances, transfers and legend removals upon instructions from each Buyer, or any counsel or representatives of each Buyer, in each case as specifically contemplated in this </w:t>
      </w:r>
      <w:r>
        <w:rPr>
          <w:rFonts w:ascii="Arial" w:cs="Arial" w:eastAsia="Arial" w:hAnsi="Arial"/>
          <w:sz w:val="17"/>
          <w:szCs w:val="17"/>
          <w:u w:val="single" w:color="auto"/>
          <w:color w:val="auto"/>
        </w:rPr>
        <w:t>Section 7.3(c)</w:t>
      </w:r>
      <w:r>
        <w:rPr>
          <w:rFonts w:ascii="Arial" w:cs="Arial" w:eastAsia="Arial" w:hAnsi="Arial"/>
          <w:sz w:val="17"/>
          <w:szCs w:val="17"/>
          <w:color w:val="auto"/>
        </w:rPr>
        <w:t>, without any further instructions, orders or confirmations from the Company.</w:t>
      </w:r>
    </w:p>
    <w:p>
      <w:pPr>
        <w:spacing w:after="0" w:line="177" w:lineRule="exact"/>
        <w:rPr>
          <w:rFonts w:ascii="Arial" w:cs="Arial" w:eastAsia="Arial" w:hAnsi="Arial"/>
          <w:sz w:val="17"/>
          <w:szCs w:val="17"/>
          <w:color w:val="auto"/>
        </w:rPr>
      </w:pPr>
    </w:p>
    <w:p>
      <w:pPr>
        <w:jc w:val="both"/>
        <w:ind w:left="-20" w:firstLine="1953"/>
        <w:spacing w:after="0" w:line="255" w:lineRule="auto"/>
        <w:tabs>
          <w:tab w:leader="none" w:pos="2537"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Injunction and Specific Performance</w:t>
      </w:r>
      <w:r>
        <w:rPr>
          <w:rFonts w:ascii="Arial" w:cs="Arial" w:eastAsia="Arial" w:hAnsi="Arial"/>
          <w:sz w:val="18"/>
          <w:szCs w:val="18"/>
          <w:color w:val="auto"/>
        </w:rPr>
        <w:t xml:space="preserve">. The Company specifically acknowledges and agrees that in the event of a breach or threatened breach by the Company of any provision of this </w:t>
      </w:r>
      <w:r>
        <w:rPr>
          <w:rFonts w:ascii="Arial" w:cs="Arial" w:eastAsia="Arial" w:hAnsi="Arial"/>
          <w:sz w:val="18"/>
          <w:szCs w:val="18"/>
          <w:u w:val="single" w:color="auto"/>
          <w:color w:val="auto"/>
        </w:rPr>
        <w:t>Section 7.3(c)</w:t>
      </w:r>
      <w:r>
        <w:rPr>
          <w:rFonts w:ascii="Arial" w:cs="Arial" w:eastAsia="Arial" w:hAnsi="Arial"/>
          <w:sz w:val="18"/>
          <w:szCs w:val="18"/>
          <w:color w:val="auto"/>
        </w:rPr>
        <w:t xml:space="preserve">, each Buyer will be irreparably damaged and that damages at law would be an inadequate remedy if this Agreement were not specifically enforced. Therefore, in the event of a breach or threatened breach of any provision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7.3(c)</w:t>
      </w:r>
      <w:r>
        <w:rPr>
          <w:rFonts w:ascii="Arial" w:cs="Arial" w:eastAsia="Arial" w:hAnsi="Arial"/>
          <w:sz w:val="18"/>
          <w:szCs w:val="18"/>
          <w:color w:val="auto"/>
        </w:rPr>
        <w:t xml:space="preserve"> by the Company, each Buyer shall be entitled to seek, in addition to all other rights or remedies such Buyer may have, at law or in equity, an injunction restraining such breach, without being required to show any actual damage or to post any bond or other security, and/or to a decree for specific performance of the provisions of this </w:t>
      </w:r>
      <w:r>
        <w:rPr>
          <w:rFonts w:ascii="Arial" w:cs="Arial" w:eastAsia="Arial" w:hAnsi="Arial"/>
          <w:sz w:val="18"/>
          <w:szCs w:val="18"/>
          <w:u w:val="single" w:color="auto"/>
          <w:color w:val="auto"/>
        </w:rPr>
        <w:t>Section 7.3(c)</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23" w:name="page24"/>
    <w:bookmarkEnd w:id="23"/>
    <w:p>
      <w:pPr>
        <w:jc w:val="both"/>
        <w:ind w:right="20"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use the net proceeds from the sale of the Units for working capital and general corporate purposes, including marketing and product promotion, capital expenditures and payment of the fees and expenses of this offering.</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Fees and Expenses</w:t>
      </w:r>
      <w:r>
        <w:rPr>
          <w:rFonts w:ascii="Arial" w:cs="Arial" w:eastAsia="Arial" w:hAnsi="Arial"/>
          <w:sz w:val="17"/>
          <w:szCs w:val="17"/>
          <w:color w:val="auto"/>
        </w:rPr>
        <w:t>. The Company agrees to pay to each Buyer (or any designee or agent of the Buyers), upon demand, or to otherwise be responsible for the payment of, any and all costs, fees, charges and expenses, including the reasonable fees, costs, expenses and disbursements of counsel for any Buyer, and of any experts and agents, which any Buyer may incur or which may otherwise be due and payable in connection with: (i) any documentary stamp taxes, intangibles taxes, recording fees, filing fees, or other similar taxes, fees or charges imposed by or due to any Governmental Authority in connection with this Agreement or any other Transaction Documents; (ii) the exercise or enforcement of any of the rights of any Buyer under this Agreement or the Transaction Documents; or (iii) the failure by the Company to perform or observe any of the provisions of this Agreement or any of the Transaction Documents. The provisions of this Subsection shall survive the termination of this Agreement.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Public Disclosure of Buyers</w:t>
      </w:r>
      <w:r>
        <w:rPr>
          <w:rFonts w:ascii="Arial" w:cs="Arial" w:eastAsia="Arial" w:hAnsi="Arial"/>
          <w:sz w:val="18"/>
          <w:szCs w:val="18"/>
          <w:color w:val="auto"/>
        </w:rPr>
        <w:t>. The Company shall not publicly disclose the name of any Buyer, or include the name of any Buyer in any filing with the SEC or any regulatory agency or Principal Trading Market, without the prior written consent of such Buyer except: (a) as required by federal securities law in connection with any registration statement contemplated by the Registration Rights Agreement or (b) to the extent such disclosure is required by Law or Principal Trading Market regulations, in which case the Company shall provide Buyers with prior written notice of such disclosure permitted under this clause (b).</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THE COMPANY’S OBLIGATIONS TO SELL</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 of the Company hereunder to issue and sell the Units to a Buyer at the Closing is subject to the satisfaction, at or before the Closing Date, of each of the following conditions, provided that these conditions are for the Company’s sole benefit and may be waived by the Company at any time in its sole discretion:</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Buyer shall have executed the Transaction Documents that require the Buyer’s execution, and delivered them to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8.2 The Buyer shall have paid the Buyer’s Purchase Price to the Company, which payment may be made by the release of the Buyer’s Purchase Price from escrow in accordance with the Escrow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8.3 The Buyer’s representations and warranties shall be true and correct in all material respects as of the date when made and as of the applicable Closing Date as though made at that time (except for representations and warranties that speak as of a specific date), and the Buyer shall have performed, satisfied and complied in all material respects with the covenants, agreements and conditions required by this Agreement to be performed, satisfied or complied with by the Buyer at or prior to the applicable Closing Date.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left="660"/>
        <w:spacing w:after="0"/>
        <w:tabs>
          <w:tab w:leader="none" w:pos="11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Company shall have obtained all governmental, regulatory or third party consents and approvals necessary for the sale of the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8.5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8.6 Since the date of execution of this Agreement, no event or series of events shall have occurred that resulted, or could reasonably be expected to result, in a Material Adverse Effect.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8.7 Trading in the Common Stock shall not have been suspended by the SEC or any Principal Trading Market (except for any suspensions of trading of not more than one trading day solely to permit dissemination of material information regarding the Company) at any time since the date of execution of this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8.8 In connection with the Initial Closing, the Company shall have received an aggregate Purchase Price in the amount of, at least, the Minimum Purchase Proceeds. Any officer or director of the Company or the Placement Agent, or any of such parties affiliates, may participate in this offering and their investment, if any, will count towards the foregoing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 PRECEDENT TO A BUYER’S OBLIGATIONS TO PURCHASE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obligation of a Buyer hereunder to purchase the Units at the Closing is subject to the satisfaction, at or before the Closing Date, of each of the following conditions (in addition to any other conditions precedent elsewhere in this Agreement), provided that these conditions are for the Buyer’s sole benefit and may be waived by the Buyer at any time in its sole discretion:</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Company shall have executed and delivered the Transaction Documents and delivered the same to the Placement Agent.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9.2 The Company shall have delivered to the transfer agent for the Company’s Common Stock instructions and all such other documents required by the transfer agent to issue, in certificate form and in such Buyer’s name, the number of Shares underlying the Units that such Buyer is purchasing.</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9.3 The Company shall have delivered to the Placement Agent the Warrants made part of the Units purchased at the Closing, with each Warrant in the appropriate Buyer’s name and executed by a duly authorized officer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jc w:val="both"/>
        <w:ind w:firstLine="648"/>
        <w:spacing w:after="0" w:line="291" w:lineRule="auto"/>
        <w:rPr>
          <w:sz w:val="20"/>
          <w:szCs w:val="20"/>
          <w:color w:val="auto"/>
        </w:rPr>
      </w:pPr>
      <w:r>
        <w:rPr>
          <w:rFonts w:ascii="Arial" w:cs="Arial" w:eastAsia="Arial" w:hAnsi="Arial"/>
          <w:sz w:val="16"/>
          <w:szCs w:val="16"/>
          <w:color w:val="auto"/>
        </w:rPr>
        <w:t>9.4 The representations and warranties of the Company and each of the Operating Subs shall be true and correct in all material respects (except to the extent that any of such representations and warranties are already qualified as to materiality in Article VI above, in which case, such representations and warranties shall be true and correct in all respects without further qualification) as of the date when made and as of the Closing Date as though made at that time (except for representations and warranties that speak as of a specific date) and the Company and each of the Operating Subs shall have performed, satisfied and complied in all material respects with the covenants, agreements and conditions required by this Agreement to be performed, satisfied or complied with by the Company and the Operating Subs at or prior to the Closing Date. The Placement Agent shall have received a certificate, executed by the Chief Executive Officer or Chief Financial Officer of the Company, dated as of the Closing Date, to the foregoing effect.</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9.5 The Company shall have delivered to the Placement Agent a certificate evidencing the formation and good standing of the Company and each Operating Sub in its jurisdiction of formation issued by the Secretary of State (or comparable office) of such jurisdiction of formation as of a date within ten (10) days of the Closing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9.6 The Company shall have delivered to the Placement Agent a certificate or other reasonably acceptable evidence evidencing the Company’s qualification as a foreign corporation and good standing issued by the Secretary of State (or comparable office) of each jurisdiction in which the Company conducts business and is required to so qualify, as of a date within twenty (20) days of the Closing Date.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9.7 The Company shall have delivered to the Placement Agent a certificate, in the form acceptable to the Placement Agent, executed by the Secretary of the Company dated as of the Closing Date, as to (i) the resolutions consistent with Section 6.3 as adopted by the Company’s board of directors, and (ii) the Certificate of Incorporation and the Bylaws of the Company, each in effect at the Closing.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9.8 The Company shall have delivered to the Placement Agent an opinion of counsel to the Company, as of the Closing Date, in a form satisfactory to the Placement Agent and its counsel.</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color w:val="auto"/>
        </w:rPr>
        <w:t>No event shall have occurred which could reasonably be expected to have a Material Adverse Effect.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9.10 In connection with the Initial Closing, the Company shall have received an aggregate Purchase Price in the amount of, at least, the Minimum Purchase Proceeds. Any officer or director of the Company or the Placement Agent, or any of such parties affiliates, may participate in this offering and their investment, if any, will count towards the foregoing amount.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Company’s Obligation to Indemnify</w:t>
      </w:r>
      <w:r>
        <w:rPr>
          <w:rFonts w:ascii="Arial" w:cs="Arial" w:eastAsia="Arial" w:hAnsi="Arial"/>
          <w:sz w:val="16"/>
          <w:szCs w:val="16"/>
          <w:color w:val="auto"/>
        </w:rPr>
        <w:t>. In consideration of the Buyers’ execution and delivery of this Agreement, and in addition to all of the Company’s other obligations under this Agreement, the Company hereby agrees to defend and indemnify each Buyer and each Buyer’s Affiliates and subsidiaries, and their respective directors, officers, employees, agents and representatives, and the successors and assigns of each of them (collectively, the “</w:t>
      </w:r>
      <w:r>
        <w:rPr>
          <w:rFonts w:ascii="Arial" w:cs="Arial" w:eastAsia="Arial" w:hAnsi="Arial"/>
          <w:sz w:val="16"/>
          <w:szCs w:val="16"/>
          <w:b w:val="1"/>
          <w:bCs w:val="1"/>
          <w:color w:val="auto"/>
        </w:rPr>
        <w:t>Buyer Indemnified Parties</w:t>
      </w:r>
      <w:r>
        <w:rPr>
          <w:rFonts w:ascii="Arial" w:cs="Arial" w:eastAsia="Arial" w:hAnsi="Arial"/>
          <w:sz w:val="16"/>
          <w:szCs w:val="16"/>
          <w:color w:val="auto"/>
        </w:rPr>
        <w:t>”) and the Company hereby agrees to hold the Buyer Indemnified Parties harmless, from and against any and all Claims made, brought or asserted against the Buyer Indemnified Parties, or any one of them, and the Company hereby agrees to pay or reimburse the Buyer Indemnified Parties for any and all Claims payable by any of the Buyer Indemnified Parties to any Person, including reasonable attorneys’ and paralegals’ fees and expenses, court costs, settlement amounts, costs of investigation and interest thereon from the time such amounts are due at the highest non-usurious rate of interest permitted by applicable Law, through all negotiations, mediations, arbitrations, trial and appellate levels, as a result of, or arising out of, or relating to:</w:t>
      </w:r>
    </w:p>
    <w:p>
      <w:pPr>
        <w:spacing w:after="0" w:line="1" w:lineRule="exact"/>
        <w:rPr>
          <w:sz w:val="20"/>
          <w:szCs w:val="20"/>
          <w:color w:val="auto"/>
        </w:rPr>
      </w:pPr>
    </w:p>
    <w:p>
      <w:pPr>
        <w:jc w:val="both"/>
        <w:ind w:firstLine="8"/>
        <w:spacing w:after="0" w:line="267" w:lineRule="auto"/>
        <w:tabs>
          <w:tab w:leader="none" w:pos="241"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misrepresentation or breach of any representation or warranty made by the Company or any Operating Subs in this Agreement, the Transaction Documents or any other certificate, instrument or document contemplated hereby or thereby; (ii) any breach of any covenant, agreement or Obligation of the Company or any Operating Sub contained in this Agreement, the Transaction Documents or any other certificate, instrument or document contemplated hereby or thereby; or (iii) any Claims brought or made against the Buyer Indemnified Parties, or any one of them, by any Person and arising out of or resulting from the execution, delivery, performance or enforcement of this Agreement, the Transaction Documents or any other instrument, document or agreement executed pursuant hereto or thereto. To the extent that the foregoing undertaking by the Company may be unenforceable for any reason, the Company shall make the maximum contribution to the payment and satisfaction of each of the Claims covered hereby, which is permissible under applicable Law. The Company will not be liable to any Buyer under this indemnity: (i) for any settlement by a Buyer in connection with any Claim effected without the Company’s prior written consent, which consent shall not be unreasonably withheld, conditioned or delayed; or (ii) to the extent, but only to the extent, that a Claim is attributable to any Buyer’s breach of any of the representations, warranties, covenants or agreements made by such Buyer in this Agreement or in the other Transaction Documents.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MATTERS RELATING TO THE BUYERS</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Independent Nature of Buyers’ Obligations and Rights</w:t>
      </w:r>
      <w:r>
        <w:rPr>
          <w:rFonts w:ascii="Arial" w:cs="Arial" w:eastAsia="Arial" w:hAnsi="Arial"/>
          <w:sz w:val="16"/>
          <w:szCs w:val="16"/>
          <w:color w:val="auto"/>
        </w:rPr>
        <w:t>. The obligations of each Buyer under this Agreement and the Transaction Documents are several and not joint with the obligations of any other Buyer, and no Buyer shall be responsible in any way for the performance of the obligations of any other Buyer under any one or more of the Transaction Documents. The decision of each Buyer to purchase the Units pursuant to the Transaction Documents has been made by each such Buyer independently of any other Buyer and independently of any information, materials, statements or opinions as to the business, affairs, operations, assets, properties, liabilities, results of operations, condition (financial or otherwise) or prospects of the Company or of its subsidiaries, if any, which may have been made or given by any other Buyer or any of their respective officers, directors, principals, employees, agents, counsel or representatives (collectively, including the Buyer in question, the “</w:t>
      </w:r>
      <w:r>
        <w:rPr>
          <w:rFonts w:ascii="Arial" w:cs="Arial" w:eastAsia="Arial" w:hAnsi="Arial"/>
          <w:sz w:val="16"/>
          <w:szCs w:val="16"/>
          <w:b w:val="1"/>
          <w:bCs w:val="1"/>
          <w:color w:val="auto"/>
        </w:rPr>
        <w:t>Buyer Representatives</w:t>
      </w:r>
      <w:r>
        <w:rPr>
          <w:rFonts w:ascii="Arial" w:cs="Arial" w:eastAsia="Arial" w:hAnsi="Arial"/>
          <w:sz w:val="16"/>
          <w:szCs w:val="16"/>
          <w:color w:val="auto"/>
        </w:rPr>
        <w:t>”). No Buyer Representative shall have any liability to any other Buyer or the Company relating to or arising from any such information, materials, statements or opinions, if any. Each Buyer acknowledges that no other Buyer has acted as agent for such Buyer in connection with making its investment hereunder and that no Buyer will be acting as agent of such other Buyer in connection with monitoring its investment in the Securities or enforcing its rights under the Transaction Documents. Each Buyer shall be entitled to independently protect and enforce its rights, including, without limitation, the rights arising out of this Agreement or out of the other Transaction Documents, and it shall not be necessary for any other Buyer to be joined as an additional party in any Proceeding for such purpose. The Company and each of the Buyers acknowledge that, for reasons of administrative convenience the Company has elected to provide each of the Buyers with the same Transaction Documents for the purpose of closing a transaction with multiple Buyers and not because it was required or requested to do so by any Buyer. In furtherance of the foregoing, and not in limitation thereof, the Company and the Buyers acknowledge that nothing contained in this Agreement or in any Transaction Document, and no action taken by any Buyer pursuant thereto, shall be deemed to constitute any two or more Buyers as a partnership, an association, a joint venture or any other kind of entity, or create a presumption that the Buyers are in any way acting in concert or as a group with respect to such obligations or the transactions contemplated by the Transaction Documents.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both"/>
        <w:ind w:firstLine="648"/>
        <w:spacing w:after="0" w:line="342"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Equal Treatment of Buyers</w:t>
      </w:r>
      <w:r>
        <w:rPr>
          <w:rFonts w:ascii="Arial" w:cs="Arial" w:eastAsia="Arial" w:hAnsi="Arial"/>
          <w:sz w:val="16"/>
          <w:szCs w:val="16"/>
          <w:color w:val="auto"/>
        </w:rPr>
        <w:t>. No consideration shall be offered or paid to any Buyer to amend or consent to a waiver or modification of any provision of any of the Transaction Documents, unless the same consideration is also offered to all of the other Buyers parties to the Transaction Documents.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TERMINATION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prior to Closing (i) by written agreement of the Buyers and the Company or (ii) by either the Company or a Buyer (as to itself but no other Buyer) upon written notice to the other, if the Closing shall not have taken place by December 23, 2016, or such later date approved by the Company’s Board of Directors, but in no event later than December 31, 2016 (“</w:t>
      </w:r>
      <w:r>
        <w:rPr>
          <w:rFonts w:ascii="Arial" w:cs="Arial" w:eastAsia="Arial" w:hAnsi="Arial"/>
          <w:sz w:val="18"/>
          <w:szCs w:val="18"/>
          <w:b w:val="1"/>
          <w:bCs w:val="1"/>
          <w:color w:val="auto"/>
        </w:rPr>
        <w:t>Outside Closing Date</w:t>
      </w:r>
      <w:r>
        <w:rPr>
          <w:rFonts w:ascii="Arial" w:cs="Arial" w:eastAsia="Arial" w:hAnsi="Arial"/>
          <w:sz w:val="18"/>
          <w:szCs w:val="18"/>
          <w:color w:val="auto"/>
        </w:rPr>
        <w:t xml:space="preserve">”); provided, that the right to terminate this Agreement under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shall not be available to any party whose failure to comply with its obligations under this Agreement has been the cause of or resulted in the failure of the Closing to occur on or before such time.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Consequences of Termination</w:t>
      </w:r>
      <w:r>
        <w:rPr>
          <w:rFonts w:ascii="Arial" w:cs="Arial" w:eastAsia="Arial" w:hAnsi="Arial"/>
          <w:sz w:val="18"/>
          <w:szCs w:val="18"/>
          <w:color w:val="auto"/>
        </w:rPr>
        <w:t>. No termination of this Agreement shall release any party from any liability for breach by such party of the terms and provisions of this Agreement or the other Transaction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of request, demand and other communications hereunder shall be addressed to the parties as follows:</w:t>
      </w:r>
    </w:p>
    <w:p>
      <w:pPr>
        <w:sectPr>
          <w:pgSz w:w="11900" w:h="16838" w:orient="portrait"/>
          <w:cols w:equalWidth="0" w:num="1">
            <w:col w:w="11420"/>
          </w:cols>
          <w:pgMar w:left="240" w:top="665" w:right="239" w:bottom="144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12264 El Camino Real, Suite 350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Mark L. Baum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mark@imprimispharma.com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(858) 345-1743</w:t>
      </w:r>
    </w:p>
    <w:p>
      <w:pPr>
        <w:spacing w:after="0" w:line="200" w:lineRule="exact"/>
        <w:rPr>
          <w:sz w:val="20"/>
          <w:szCs w:val="20"/>
          <w:color w:val="auto"/>
        </w:rPr>
      </w:pPr>
    </w:p>
    <w:p>
      <w:pPr>
        <w:sectPr>
          <w:pgSz w:w="11900" w:h="16838" w:orient="portrait"/>
          <w:cols w:equalWidth="0" w:num="2">
            <w:col w:w="2020" w:space="580"/>
            <w:col w:w="8820"/>
          </w:cols>
          <w:pgMar w:left="240" w:top="665"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Golenbock Eiseman Assor Bell &amp; Peskoe LLP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Andrew D. Hudders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ahudders@golenbock.com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818-8881</w:t>
      </w:r>
    </w:p>
    <w:p>
      <w:pPr>
        <w:spacing w:after="0" w:line="200" w:lineRule="exact"/>
        <w:rPr>
          <w:sz w:val="20"/>
          <w:szCs w:val="20"/>
          <w:color w:val="auto"/>
        </w:rPr>
      </w:pPr>
    </w:p>
    <w:p>
      <w:pPr>
        <w:sectPr>
          <w:pgSz w:w="11900" w:h="16838" w:orient="portrait"/>
          <w:cols w:equalWidth="0" w:num="2">
            <w:col w:w="1880" w:space="720"/>
            <w:col w:w="8820"/>
          </w:cols>
          <w:pgMar w:left="240" w:top="665"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Buyers: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each Buyer based on the information set forth in the Schedule of Buyers attached hereto</w:t>
      </w:r>
    </w:p>
    <w:p>
      <w:pPr>
        <w:spacing w:after="0" w:line="200" w:lineRule="exact"/>
        <w:rPr>
          <w:sz w:val="20"/>
          <w:szCs w:val="20"/>
          <w:color w:val="auto"/>
        </w:rPr>
      </w:pPr>
    </w:p>
    <w:p>
      <w:pPr>
        <w:sectPr>
          <w:pgSz w:w="11900" w:h="16838" w:orient="portrait"/>
          <w:cols w:equalWidth="0" w:num="2">
            <w:col w:w="1880" w:space="720"/>
            <w:col w:w="8820"/>
          </w:cols>
          <w:pgMar w:left="240" w:top="665" w:right="239" w:bottom="1440" w:gutter="0" w:footer="0" w:header="0"/>
          <w:type w:val="continuous"/>
        </w:sectPr>
      </w:pPr>
    </w:p>
    <w:p>
      <w:pPr>
        <w:spacing w:after="0" w:line="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unless the address is changed by the party by like notice given to the other parties. Notice shall be in writing and shall be deemed delivered: (i) if mailed by certified mail, return receipt requested, postage prepaid and properly addressed to the address below, then three (3) business days after deposit of same in a regularly maintained U.S. Mail receptacle; or (ii) if mailed by Federal Express, UPS or other nationally recognized overnight courier service, next business morning delivery, then one (1) business day after deposit of same in a regularly maintained receptacle of such overnight courier; or (iii) if hand delivered, then upon hand delivery thereof to the address indicated on or prior to 5:00 p.m., New York time, on a business day. Any notice hand delivered after 5:00 p.m., New York time, shall be deemed delivered on the following business day. Notwithstanding the foregoing, notice, consents, waivers or other communications referred to in this Agreement may be sent by facsimile, e-mail, or other method of delivery, but shall be deemed to have been delivered only when the sending party has confirmed (by reply e-mail or some other form of written confirmation from the receiving party) that the notice has been received by the other party.</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the Exhibits and Schedules attached hereto and the documents delivered pursuant hereto, including the Transaction Documents, set forth all the promises, covenants, agreements, conditions and understandings between the parties hereto with respect to the subject matter hereof and thereof, and supersede all prior and contemporaneous agreements, understandings, inducements or conditions, expressed or implied, oral or written, except as contained herein and in the Transaction Documents; provided, however, except as explicitly stated herein, nothing contained in this Agreement or any other Transaction Document shall (or shall be deemed to) (i) have any effect on any agreements any Buyer has entered into with, or any instruments any Buyer has received from, the Company prior to the date hereof with respect to any prior investment made by such Buyer in the Company or (ii) waive, alter, modify or amend in any respect any obligations of the Company, or any rights of or benefits to any Buyer or any other Person, in any agreement entered into prior to the date hereof between or among the Company and any Buyer, or any instruments any Buyer received from the Company prior to the date hereof, and all such agreements and instruments shall continue in full force and effect..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type w:val="continuous"/>
        </w:sectPr>
      </w:pPr>
    </w:p>
    <w:bookmarkStart w:id="28" w:name="page29"/>
    <w:bookmarkEnd w:id="28"/>
    <w:p>
      <w:pPr>
        <w:jc w:val="both"/>
        <w:ind w:firstLine="648"/>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and any and all rights, duties and obligations hereunder, shall not be assigned, transferred, delegated or sublicensed by the Company without the prior written consent of each Buyer. Subject to the foregoing and except as otherwise provided herein, the provisions of this Agreement shall inure to the benefit of, and be binding upon, the successors, assigns, heirs, executors and administrators of the parties hereto.</w:t>
      </w:r>
    </w:p>
    <w:p>
      <w:pPr>
        <w:spacing w:after="0" w:line="187"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the parties hereto, their respective successors and permitted assigns.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Amendment</w:t>
      </w:r>
      <w:r>
        <w:rPr>
          <w:rFonts w:ascii="Arial" w:cs="Arial" w:eastAsia="Arial" w:hAnsi="Arial"/>
          <w:sz w:val="17"/>
          <w:szCs w:val="17"/>
          <w:color w:val="auto"/>
        </w:rPr>
        <w:t>. Except as specifically set forth 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Buyers. Any amendment to any provision of this Agreement made in conformity with the provisions of this Section 13.5 shall be binding on all Buyers and holders of Securities, as applicable, provided that no such amendment shall be effective to the extent that it (1) applies to less than all of the holders of the Securities then outstanding or (2) imposes any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Buyers may waive any provision of this Agreement, and any waiver of any provision of this Agreement made in conformity with the provisions of this Section 13.5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shall be offered or paid to any Person to amend or consent to a waiver or modification of any provision of any of the Transaction Documents unless the same consideration also is offered to all of the parties to the Transaction Documents who are holders of Securities.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or otherwise. As a material inducement for each Buyer to enter into this Agreement, the Company expressly acknowledges and agrees that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w:t>
      </w:r>
      <w:r>
        <w:rPr>
          <w:rFonts w:ascii="Arial" w:cs="Arial" w:eastAsia="Arial" w:hAnsi="Arial"/>
          <w:sz w:val="17"/>
          <w:szCs w:val="17"/>
          <w:b w:val="1"/>
          <w:bCs w:val="1"/>
          <w:color w:val="auto"/>
        </w:rPr>
        <w:t>Required Buyers</w:t>
      </w:r>
      <w:r>
        <w:rPr>
          <w:rFonts w:ascii="Arial" w:cs="Arial" w:eastAsia="Arial" w:hAnsi="Arial"/>
          <w:sz w:val="17"/>
          <w:szCs w:val="17"/>
          <w:color w:val="auto"/>
        </w:rPr>
        <w:t>” means Buyers holding a majority of the Units sold pursuant to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jc w:val="both"/>
        <w:ind w:right="20" w:firstLine="648"/>
        <w:spacing w:after="0" w:line="27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Gender and Use of Singular and Plural</w:t>
      </w:r>
      <w:r>
        <w:rPr>
          <w:rFonts w:ascii="Arial" w:cs="Arial" w:eastAsia="Arial" w:hAnsi="Arial"/>
          <w:sz w:val="18"/>
          <w:szCs w:val="18"/>
          <w:color w:val="auto"/>
        </w:rPr>
        <w:t>. All pronouns shall be deemed to refer to the masculine, feminine, neuter, singular or plural, as the identity of the party or parties or their personal representatives, successors and assigns may require.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Execution</w:t>
      </w:r>
      <w:r>
        <w:rPr>
          <w:rFonts w:ascii="Arial" w:cs="Arial" w:eastAsia="Arial" w:hAnsi="Arial"/>
          <w:sz w:val="18"/>
          <w:szCs w:val="18"/>
          <w:color w:val="auto"/>
        </w:rPr>
        <w:t xml:space="preserve">. This Agreement may be executed in one or more counterparts, all of which taken together shall be deemed and considered one and the same Agreement, and same shall become effective when counterparts have been signed by each party and each party has delivered its signed counterpart to the other party. A digital reproduction, portable document format (“.pdf”) or other reproduction of this Agreement may be executed by one or more parties hereto and delivered by such party by electronic signature (including signature via </w:t>
      </w:r>
      <w:r>
        <w:rPr>
          <w:rFonts w:ascii="Arial" w:cs="Arial" w:eastAsia="Arial" w:hAnsi="Arial"/>
          <w:sz w:val="18"/>
          <w:szCs w:val="18"/>
          <w:i w:val="1"/>
          <w:iCs w:val="1"/>
          <w:color w:val="auto"/>
        </w:rPr>
        <w:t>DocuSign</w:t>
      </w:r>
      <w:r>
        <w:rPr>
          <w:rFonts w:ascii="Arial" w:cs="Arial" w:eastAsia="Arial" w:hAnsi="Arial"/>
          <w:sz w:val="18"/>
          <w:szCs w:val="18"/>
          <w:color w:val="auto"/>
        </w:rPr>
        <w:t xml:space="preserve"> or similar services), electronic mail or any similar electronic transmission device pursuant to which the signature of or on behalf of such party can be seen. Such execution and delivery shall be considered valid, binding and effective for all purposes.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inserted for convenience only and shall not affect in any way the meaning or interpretation of the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Governing Law</w:t>
      </w:r>
      <w:r>
        <w:rPr>
          <w:rFonts w:ascii="Arial" w:cs="Arial" w:eastAsia="Arial" w:hAnsi="Arial"/>
          <w:sz w:val="16"/>
          <w:szCs w:val="16"/>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employees or agents) shall be commenced exclusively in the state and federal courts sitting in the State of New York. Each party hereby irrevocably submits to the exclusive jurisdiction of the state and federal courts sitting in the State of New York,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Each party hereby irrevocably waives any right it may have, and agrees not to request, a jury trial for the adjudication of any dispute hereunder or in connection with or arising out of this Agreement or any transaction contemplated hereby. If either party shall commence an action or proceeding to enforce any provisions of the Transaction Documents,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will execute and deliver such further instruments and do such further acts and things as may be reasonably required to carry out the intent and purposes of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jc w:val="both"/>
        <w:ind w:firstLine="648"/>
        <w:spacing w:after="0" w:line="277"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contained herein shall survive the Closing. Each Buyer shall be responsible only for its own representations, warranties and covenants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Joint Preparation</w:t>
      </w:r>
      <w:r>
        <w:rPr>
          <w:rFonts w:ascii="Arial" w:cs="Arial" w:eastAsia="Arial" w:hAnsi="Arial"/>
          <w:sz w:val="18"/>
          <w:szCs w:val="18"/>
          <w:color w:val="auto"/>
        </w:rPr>
        <w:t>. The preparation of this Agreement has been a joint effort of the parties and the resulting documents shall not, solely as a matter of judicial construction, be construed more severely against one of the parties than the other.</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one of the provisions contained in this Agreement, for any reason, shall be held invalid, illegal or unenforceable in any respect, such invalidity, illegality or unenforceability shall not affect any other provision of this Agreement, and this Agreement shall remain in full force and effect and be construed as if the invalid, illegal or unenforceable provision had never been contained herein.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intended for the benefit of the parties hereto and their respective permitted successors and assigns, and is not for the benefit of, nor may any provision hereof be enforced by, any other Person.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BUYERS AND THE COMPANY, AFTER CONSULTING OR HAVING HAD THE OPPORTUNITY TO CONSULT WITH COUNSEL, EACH KNOWINGLY, VOLUNTARILY AND INTENTIONALLY WAIVES, IRREVOCABLY, THE RIGHT TO TRIAL BY JURY WITH RESPECT TO ANY LEGAL PROCEEDING BASED HEREON, OR ARISING OUT OF, UNDER OR IN CONNECTION WITH THIS AGREEMENT OR ANY OTHER TRANSACTION DOCUMENT OR ANY OTHER AGREEMENT EXECUTED OR CONTEMPLATED TO BE EXECUTED IN CONJUNCTION WITH THIS AGREEMENT, OR ANY COURSE OF CONDUCT OR COURSE OF DEALING IN WHICH THE BUYERS AND THE COMPANY ARE ADVERSE PARTIES. THIS PROVISION IS A MATERIAL INDUCEMENT FOR THE BUYERS TO PURCHASE THE UNITS.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13.16 </w:t>
      </w:r>
      <w:r>
        <w:rPr>
          <w:rFonts w:ascii="Arial" w:cs="Arial" w:eastAsia="Arial" w:hAnsi="Arial"/>
          <w:sz w:val="18"/>
          <w:szCs w:val="18"/>
          <w:u w:val="single" w:color="auto"/>
          <w:color w:val="auto"/>
        </w:rPr>
        <w:t>Compliance with Federal Law</w:t>
      </w:r>
      <w:r>
        <w:rPr>
          <w:rFonts w:ascii="Arial" w:cs="Arial" w:eastAsia="Arial" w:hAnsi="Arial"/>
          <w:sz w:val="18"/>
          <w:szCs w:val="18"/>
          <w:color w:val="auto"/>
        </w:rPr>
        <w:t>. The Company shall: (i) ensure that no Person who owns a controlling interest in or otherwise controls the Company is or shall at any time be listed on the Specially Designated Nationals and Blocked Person List or other similar lists maintained by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the Department of the Treasury, included in any Executive Orders or in any other similar lists of any Governmental Authority; (ii) not use or permit the use of the proceeds of the purchase of the Shares to violate any of the foreign asset control regulations of OFAC or any enabling statute, Executive Order relating thereto or any other requirements or restrictions imposed by any Governmental Authority; and (iii) comply with all applicable Lender Secrecy Act (“</w:t>
      </w:r>
      <w:r>
        <w:rPr>
          <w:rFonts w:ascii="Arial" w:cs="Arial" w:eastAsia="Arial" w:hAnsi="Arial"/>
          <w:sz w:val="18"/>
          <w:szCs w:val="18"/>
          <w:b w:val="1"/>
          <w:bCs w:val="1"/>
          <w:color w:val="auto"/>
        </w:rPr>
        <w:t>BSA</w:t>
      </w:r>
      <w:r>
        <w:rPr>
          <w:rFonts w:ascii="Arial" w:cs="Arial" w:eastAsia="Arial" w:hAnsi="Arial"/>
          <w:sz w:val="18"/>
          <w:szCs w:val="18"/>
          <w:color w:val="auto"/>
        </w:rPr>
        <w:t>”) laws and regulations, as amended.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THE FOLLOWING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IN WITNESS WHEREOF, the parties hereto have caused this Agreement to be executed as of the date and year set forth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14605</wp:posOffset>
            </wp:positionV>
            <wp:extent cx="3404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BUYERS:</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See Signature pages for each Buyer attached</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Company 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665"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BUYER SIGNATURE PAGE FOR SECURITIES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IMPRIMIS PHARMACEUTICALS, INC.</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its execution below, the undersigned Buyer hereby acknowledges and agrees to the terms set forth in the Securities Purchase Agreement to which this signature page is attached.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4"/>
          </w:tcPr>
          <w:p>
            <w:pPr>
              <w:spacing w:after="0"/>
              <w:rPr>
                <w:sz w:val="20"/>
                <w:szCs w:val="20"/>
                <w:color w:val="auto"/>
              </w:rPr>
            </w:pPr>
            <w:r>
              <w:rPr>
                <w:rFonts w:ascii="Arial" w:cs="Arial" w:eastAsia="Arial" w:hAnsi="Arial"/>
                <w:sz w:val="18"/>
                <w:szCs w:val="18"/>
                <w:color w:val="auto"/>
              </w:rPr>
              <w:t>FOR ENTITY INVESTORS:</w:t>
            </w:r>
          </w:p>
        </w:tc>
        <w:tc>
          <w:tcPr>
            <w:tcW w:w="220" w:type="dxa"/>
            <w:vAlign w:val="bottom"/>
          </w:tcPr>
          <w:p>
            <w:pPr>
              <w:spacing w:after="0"/>
              <w:rPr>
                <w:sz w:val="17"/>
                <w:szCs w:val="17"/>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FOR INDIVIDUAL INVESTORS:</w:t>
            </w:r>
          </w:p>
        </w:tc>
      </w:tr>
      <w:tr>
        <w:trPr>
          <w:trHeight w:val="460"/>
        </w:trPr>
        <w:tc>
          <w:tcPr>
            <w:tcW w:w="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28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Entity]</w:t>
            </w:r>
          </w:p>
        </w:tc>
        <w:tc>
          <w:tcPr>
            <w:tcW w:w="220" w:type="dxa"/>
            <w:vAlign w:val="bottom"/>
          </w:tcPr>
          <w:p>
            <w:pPr>
              <w:spacing w:after="0"/>
              <w:rPr>
                <w:sz w:val="19"/>
                <w:szCs w:val="19"/>
                <w:color w:val="auto"/>
              </w:rPr>
            </w:pPr>
          </w:p>
        </w:tc>
        <w:tc>
          <w:tcPr>
            <w:tcW w:w="7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180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r>
      <w:tr>
        <w:trPr>
          <w:trHeight w:val="439"/>
        </w:trPr>
        <w:tc>
          <w:tcPr>
            <w:tcW w:w="5860" w:type="dxa"/>
            <w:vAlign w:val="bottom"/>
            <w:gridSpan w:val="4"/>
          </w:tcPr>
          <w:p>
            <w:pPr>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Signature:</w:t>
            </w:r>
          </w:p>
        </w:tc>
      </w:tr>
      <w:tr>
        <w:trPr>
          <w:trHeight w:val="223"/>
        </w:trPr>
        <w:tc>
          <w:tcPr>
            <w:tcW w:w="1360" w:type="dxa"/>
            <w:vAlign w:val="bottom"/>
            <w:gridSpan w:val="2"/>
          </w:tcPr>
          <w:p>
            <w:pPr>
              <w:spacing w:after="0" w:line="203" w:lineRule="exact"/>
              <w:rPr>
                <w:sz w:val="20"/>
                <w:szCs w:val="20"/>
                <w:color w:val="auto"/>
              </w:rPr>
            </w:pPr>
            <w:r>
              <w:rPr>
                <w:rFonts w:ascii="Arial" w:cs="Arial" w:eastAsia="Arial" w:hAnsi="Arial"/>
                <w:sz w:val="18"/>
                <w:szCs w:val="18"/>
                <w:color w:val="auto"/>
              </w:rPr>
              <w:t>Name:</w:t>
            </w:r>
          </w:p>
        </w:tc>
        <w:tc>
          <w:tcPr>
            <w:tcW w:w="78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180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r>
      <w:tr>
        <w:trPr>
          <w:trHeight w:val="223"/>
        </w:trPr>
        <w:tc>
          <w:tcPr>
            <w:tcW w:w="1360" w:type="dxa"/>
            <w:vAlign w:val="bottom"/>
            <w:gridSpan w:val="2"/>
          </w:tcPr>
          <w:p>
            <w:pPr>
              <w:spacing w:after="0" w:line="202" w:lineRule="exact"/>
              <w:rPr>
                <w:sz w:val="20"/>
                <w:szCs w:val="20"/>
                <w:color w:val="auto"/>
              </w:rPr>
            </w:pPr>
            <w:r>
              <w:rPr>
                <w:rFonts w:ascii="Arial" w:cs="Arial" w:eastAsia="Arial" w:hAnsi="Arial"/>
                <w:sz w:val="18"/>
                <w:szCs w:val="18"/>
                <w:color w:val="auto"/>
              </w:rPr>
              <w:t>Title:</w:t>
            </w:r>
          </w:p>
        </w:tc>
        <w:tc>
          <w:tcPr>
            <w:tcW w:w="7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2"/>
        </w:trPr>
        <w:tc>
          <w:tcPr>
            <w:tcW w:w="5860" w:type="dxa"/>
            <w:vAlign w:val="bottom"/>
            <w:gridSpan w:val="4"/>
          </w:tcPr>
          <w:p>
            <w:pPr>
              <w:spacing w:after="0"/>
              <w:rPr>
                <w:sz w:val="20"/>
                <w:szCs w:val="20"/>
                <w:color w:val="auto"/>
              </w:rPr>
            </w:pPr>
            <w:r>
              <w:rPr>
                <w:rFonts w:ascii="Arial" w:cs="Arial" w:eastAsia="Arial" w:hAnsi="Arial"/>
                <w:sz w:val="18"/>
                <w:szCs w:val="18"/>
                <w:color w:val="auto"/>
              </w:rPr>
              <w:t>WORK ADDRESS:</w:t>
            </w:r>
          </w:p>
        </w:tc>
        <w:tc>
          <w:tcPr>
            <w:tcW w:w="22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HOME ADDRESS:</w:t>
            </w:r>
          </w:p>
        </w:tc>
      </w:tr>
      <w:tr>
        <w:trPr>
          <w:trHeight w:val="439"/>
        </w:trPr>
        <w:tc>
          <w:tcPr>
            <w:tcW w:w="20" w:type="dxa"/>
            <w:vAlign w:val="bottom"/>
          </w:tcPr>
          <w:p>
            <w:pPr>
              <w:spacing w:after="0"/>
              <w:rPr>
                <w:sz w:val="24"/>
                <w:szCs w:val="24"/>
                <w:color w:val="auto"/>
              </w:rPr>
            </w:pPr>
          </w:p>
        </w:tc>
        <w:tc>
          <w:tcPr>
            <w:tcW w:w="2120" w:type="dxa"/>
            <w:vAlign w:val="bottom"/>
            <w:tcBorders>
              <w:bottom w:val="single" w:sz="8" w:color="auto"/>
            </w:tcBorders>
            <w:gridSpan w:val="2"/>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bottom w:val="single" w:sz="8" w:color="auto"/>
            </w:tcBorders>
            <w:gridSpan w:val="2"/>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Attention:</w:t>
            </w:r>
          </w:p>
        </w:tc>
        <w:tc>
          <w:tcPr>
            <w:tcW w:w="22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Phone:</w:t>
            </w:r>
          </w:p>
        </w:tc>
      </w:tr>
      <w:tr>
        <w:trPr>
          <w:trHeight w:val="223"/>
        </w:trPr>
        <w:tc>
          <w:tcPr>
            <w:tcW w:w="1360" w:type="dxa"/>
            <w:vAlign w:val="bottom"/>
            <w:gridSpan w:val="2"/>
          </w:tcPr>
          <w:p>
            <w:pPr>
              <w:spacing w:after="0" w:line="203" w:lineRule="exact"/>
              <w:rPr>
                <w:sz w:val="20"/>
                <w:szCs w:val="20"/>
                <w:color w:val="auto"/>
              </w:rPr>
            </w:pPr>
            <w:r>
              <w:rPr>
                <w:rFonts w:ascii="Arial" w:cs="Arial" w:eastAsia="Arial" w:hAnsi="Arial"/>
                <w:sz w:val="18"/>
                <w:szCs w:val="18"/>
                <w:color w:val="auto"/>
              </w:rPr>
              <w:t>Phone:</w:t>
            </w:r>
          </w:p>
        </w:tc>
        <w:tc>
          <w:tcPr>
            <w:tcW w:w="780" w:type="dxa"/>
            <w:vAlign w:val="bottom"/>
            <w:tcBorders>
              <w:top w:val="single" w:sz="8" w:color="auto"/>
              <w:bottom w:val="single" w:sz="8" w:color="auto"/>
            </w:tcBorders>
          </w:tcPr>
          <w:p>
            <w:pPr>
              <w:spacing w:after="0"/>
              <w:rPr>
                <w:sz w:val="19"/>
                <w:szCs w:val="19"/>
                <w:color w:val="auto"/>
              </w:rPr>
            </w:pPr>
          </w:p>
        </w:tc>
        <w:tc>
          <w:tcPr>
            <w:tcW w:w="37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line="203" w:lineRule="exact"/>
              <w:rPr>
                <w:sz w:val="20"/>
                <w:szCs w:val="20"/>
                <w:color w:val="auto"/>
              </w:rPr>
            </w:pPr>
            <w:r>
              <w:rPr>
                <w:rFonts w:ascii="Arial" w:cs="Arial" w:eastAsia="Arial" w:hAnsi="Arial"/>
                <w:sz w:val="18"/>
                <w:szCs w:val="18"/>
                <w:color w:val="auto"/>
              </w:rPr>
              <w:t>SSN:</w:t>
            </w:r>
          </w:p>
        </w:tc>
        <w:tc>
          <w:tcPr>
            <w:tcW w:w="1800" w:type="dxa"/>
            <w:vAlign w:val="bottom"/>
            <w:tcBorders>
              <w:top w:val="single" w:sz="8" w:color="auto"/>
              <w:bottom w:val="single" w:sz="8" w:color="auto"/>
            </w:tcBorders>
          </w:tcPr>
          <w:p>
            <w:pPr>
              <w:spacing w:after="0"/>
              <w:rPr>
                <w:sz w:val="19"/>
                <w:szCs w:val="19"/>
                <w:color w:val="auto"/>
              </w:rPr>
            </w:pPr>
          </w:p>
        </w:tc>
        <w:tc>
          <w:tcPr>
            <w:tcW w:w="2800" w:type="dxa"/>
            <w:vAlign w:val="bottom"/>
            <w:tcBorders>
              <w:top w:val="single" w:sz="8" w:color="auto"/>
              <w:bottom w:val="single" w:sz="8" w:color="auto"/>
            </w:tcBorders>
          </w:tcPr>
          <w:p>
            <w:pPr>
              <w:spacing w:after="0"/>
              <w:rPr>
                <w:sz w:val="19"/>
                <w:szCs w:val="19"/>
                <w:color w:val="auto"/>
              </w:rPr>
            </w:pPr>
          </w:p>
        </w:tc>
      </w:tr>
      <w:tr>
        <w:trPr>
          <w:trHeight w:val="223"/>
        </w:trPr>
        <w:tc>
          <w:tcPr>
            <w:tcW w:w="1360" w:type="dxa"/>
            <w:vAlign w:val="bottom"/>
            <w:gridSpan w:val="2"/>
          </w:tcPr>
          <w:p>
            <w:pPr>
              <w:spacing w:after="0" w:line="202" w:lineRule="exact"/>
              <w:rPr>
                <w:sz w:val="20"/>
                <w:szCs w:val="20"/>
                <w:color w:val="auto"/>
              </w:rPr>
            </w:pPr>
            <w:r>
              <w:rPr>
                <w:rFonts w:ascii="Arial" w:cs="Arial" w:eastAsia="Arial" w:hAnsi="Arial"/>
                <w:sz w:val="18"/>
                <w:szCs w:val="18"/>
                <w:color w:val="auto"/>
              </w:rPr>
              <w:t>Fax:</w:t>
            </w:r>
          </w:p>
        </w:tc>
        <w:tc>
          <w:tcPr>
            <w:tcW w:w="7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23"/>
        </w:trPr>
        <w:tc>
          <w:tcPr>
            <w:tcW w:w="1360" w:type="dxa"/>
            <w:vAlign w:val="bottom"/>
            <w:gridSpan w:val="2"/>
          </w:tcPr>
          <w:p>
            <w:pPr>
              <w:spacing w:after="0" w:line="202" w:lineRule="exact"/>
              <w:rPr>
                <w:sz w:val="20"/>
                <w:szCs w:val="20"/>
                <w:color w:val="auto"/>
              </w:rPr>
            </w:pPr>
            <w:r>
              <w:rPr>
                <w:rFonts w:ascii="Arial" w:cs="Arial" w:eastAsia="Arial" w:hAnsi="Arial"/>
                <w:sz w:val="18"/>
                <w:szCs w:val="18"/>
                <w:color w:val="auto"/>
              </w:rPr>
              <w:t>E-mail:</w:t>
            </w:r>
          </w:p>
        </w:tc>
        <w:tc>
          <w:tcPr>
            <w:tcW w:w="7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23"/>
        </w:trPr>
        <w:tc>
          <w:tcPr>
            <w:tcW w:w="1360" w:type="dxa"/>
            <w:vAlign w:val="bottom"/>
            <w:gridSpan w:val="2"/>
          </w:tcPr>
          <w:p>
            <w:pPr>
              <w:spacing w:after="0" w:line="202" w:lineRule="exact"/>
              <w:rPr>
                <w:sz w:val="20"/>
                <w:szCs w:val="20"/>
                <w:color w:val="auto"/>
              </w:rPr>
            </w:pPr>
            <w:r>
              <w:rPr>
                <w:rFonts w:ascii="Arial" w:cs="Arial" w:eastAsia="Arial" w:hAnsi="Arial"/>
                <w:sz w:val="18"/>
                <w:szCs w:val="18"/>
                <w:color w:val="auto"/>
              </w:rPr>
              <w:t>Taxpayer ID#:</w:t>
            </w:r>
          </w:p>
        </w:tc>
        <w:tc>
          <w:tcPr>
            <w:tcW w:w="7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80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Number of Units to be Purchased: 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Buyer 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BUYER ADDENDUM RE ESCROW</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this information is required</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6277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(Print Name of Buyer)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signing the Securities Purchase Agreement, the above named Buyer hereby certifies and confirms that: In the event that the Escrow Agent makes a disbursement to the Buyer, which may or may not occur, the Buyer hereby confirms that such disbursement is to be made by wire transfer using the following wire transfer instructions. The Escrow Agent, the Company and the Placement Agent can rely on this confirmation and the Buyer will not revoke this confirmation unless the Buyer confirms to the Company on this form, replacement wire transfer instructions at least two (2) Business Days before revoking this confirmation. The Company may instruct the Escrow Agent to, or the Escrow Agent may on its own, withhold any such disbursement until the Company is reasonably satisfied and the Escrow Agent is satisfied in its sole discretion with the instructions and procedures for making such disbursement.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Bank Name: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Address: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ABA Number: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Number: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Account Name: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Escrow Addendum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u w:val="single" w:color="auto"/>
          <w:color w:val="auto"/>
        </w:rPr>
        <w:t>SCHEDULE OF BUYERS</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Schedule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REGISTRATION RIGHTS AGREEMENT</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ESCROW AGREEMENT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u w:val="single" w:color="auto"/>
          <w:color w:val="auto"/>
        </w:rPr>
        <w:t>Appendix I</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Appendix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7"/>
          <w:szCs w:val="17"/>
          <w:b w:val="1"/>
          <w:bCs w:val="1"/>
          <w:u w:val="single" w:color="auto"/>
          <w:color w:val="auto"/>
        </w:rPr>
        <w:t>Appendix II</w:t>
      </w:r>
    </w:p>
    <w:p>
      <w:pPr>
        <w:sectPr>
          <w:pgSz w:w="11900" w:h="16838" w:orient="portrait"/>
          <w:cols w:equalWidth="0" w:num="1">
            <w:col w:w="9019"/>
          </w:cols>
          <w:pgMar w:left="1440" w:top="661"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Appendix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ind w:left="10280"/>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Registration Rights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this [●] day of December 2016 by and among Imprimis Pharmaceuticals,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investors identified on the signature pages hereto (each, including its successors and assigns,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the Company will sell up to $[●] of Units, with each Unit consisting of one (1) share of Common Stock and a Warrant to purchase one share of Common Stock, to certain of the Investors pursuant to that certain Securities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dated as of even date herewith by and among the Company and the Investors.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G R E E M E N 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the Investors agree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hereby agree as follows:</w:t>
      </w:r>
    </w:p>
    <w:p>
      <w:pPr>
        <w:spacing w:after="0" w:line="225" w:lineRule="exact"/>
        <w:rPr>
          <w:sz w:val="20"/>
          <w:szCs w:val="20"/>
          <w:color w:val="auto"/>
        </w:rPr>
      </w:pPr>
    </w:p>
    <w:p>
      <w:pPr>
        <w:ind w:left="1100" w:hanging="4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meanings: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a day which is a Federal legal holiday in the U.S.</w:t>
      </w:r>
    </w:p>
    <w:p>
      <w:pPr>
        <w:spacing w:after="0" w:line="22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$0.001 per share, and any securities into which such shares may hereinafter be reclassified.</w:t>
      </w:r>
    </w:p>
    <w:p>
      <w:pPr>
        <w:spacing w:after="0" w:line="16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1933 Act.</w:t>
      </w:r>
    </w:p>
    <w:p>
      <w:pPr>
        <w:spacing w:after="0" w:line="180"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registered</w:t>
      </w:r>
      <w:r>
        <w:rPr>
          <w:rFonts w:ascii="Arial" w:cs="Arial" w:eastAsia="Arial" w:hAnsi="Arial"/>
          <w:sz w:val="16"/>
          <w:szCs w:val="16"/>
          <w:color w:val="auto"/>
        </w:rPr>
        <w:t>” and “</w:t>
      </w:r>
      <w:r>
        <w:rPr>
          <w:rFonts w:ascii="Arial" w:cs="Arial" w:eastAsia="Arial" w:hAnsi="Arial"/>
          <w:sz w:val="16"/>
          <w:szCs w:val="16"/>
          <w:b w:val="1"/>
          <w:bCs w:val="1"/>
          <w:color w:val="auto"/>
        </w:rPr>
        <w:t>registration</w:t>
      </w:r>
      <w:r>
        <w:rPr>
          <w:rFonts w:ascii="Arial" w:cs="Arial" w:eastAsia="Arial" w:hAnsi="Arial"/>
          <w:sz w:val="16"/>
          <w:szCs w:val="16"/>
          <w:color w:val="auto"/>
        </w:rPr>
        <w:t>” refer to a registration made by preparing and filing a Registration Statement or similar document in compliance with the 1933 Act (as defined below), and the declaration or ordering of effectiveness of such Registration Statement or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jc w:val="both"/>
        <w:ind w:firstLine="129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Shares, (ii) the Warrant Shares, and (iii) any other securities issued or issuable with respect to or in exchange for Registrable Securities, whether by merger, charter amendment or otherwise; provided, that the Shares and/or Warrant Shares held by an Investor shall not be Registrable Securities if such Investor has not completed and delivered to the Company a Selling Stockholder Questionnaire prior to the filing of the Initial Registration Statement; and provided, further, that, an Investor’s security shall cease to be a Registrable Security upon the earliest to occur of the following: (A) sale of such security pursuant to a Registration Statement; or (B) such security becoming eligible for sale by the Investor without manner of sale or volume restrictions pursuant to Rule 144 under the 1933 Act.</w:t>
      </w:r>
    </w:p>
    <w:p>
      <w:pPr>
        <w:spacing w:after="0" w:line="17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of the Company filed under the 1933 Act (including a post-effective amendment to a previously filed registration statement) that covers the resale of any of the Registrable Securities pursuant to the provisions of this Agreement, amendments and supplements to such Registration Statement, including post-effective amendments, all exhibits and all material incorporated by reference in such Registration Statement.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Investors</w:t>
      </w:r>
      <w:r>
        <w:rPr>
          <w:rFonts w:ascii="Arial" w:cs="Arial" w:eastAsia="Arial" w:hAnsi="Arial"/>
          <w:sz w:val="18"/>
          <w:szCs w:val="18"/>
          <w:color w:val="auto"/>
        </w:rPr>
        <w:t>” means the Investors holding a majority of the Registrable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Selling Stockholder Questionnaire</w:t>
      </w:r>
      <w:r>
        <w:rPr>
          <w:rFonts w:ascii="Arial" w:cs="Arial" w:eastAsia="Arial" w:hAnsi="Arial"/>
          <w:sz w:val="16"/>
          <w:szCs w:val="16"/>
          <w:color w:val="auto"/>
        </w:rPr>
        <w:t>” means a questionnaire in the form as may reasonably be adopted by the Company from time to time.</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shares of Common Stock forming part of the Units issued pursuant to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the warrants forming part of the Units issued pursuant to the Purchase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Shares</w:t>
      </w:r>
      <w:r>
        <w:rPr>
          <w:rFonts w:ascii="Arial" w:cs="Arial" w:eastAsia="Arial" w:hAnsi="Arial"/>
          <w:sz w:val="18"/>
          <w:szCs w:val="18"/>
          <w:color w:val="auto"/>
        </w:rPr>
        <w:t>” means the shares of Common Stock issued or issuable upon exercise of the Warrants.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means the Securities Exchange Act of 1934, as amended, and the rules and regulations promulgated thereunder.</w:t>
      </w:r>
    </w:p>
    <w:p>
      <w:pPr>
        <w:spacing w:after="0" w:line="229" w:lineRule="exact"/>
        <w:rPr>
          <w:sz w:val="20"/>
          <w:szCs w:val="20"/>
          <w:color w:val="auto"/>
        </w:rPr>
      </w:pPr>
    </w:p>
    <w:p>
      <w:pPr>
        <w:ind w:left="1100" w:hanging="4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ind w:left="1860" w:hanging="555"/>
        <w:spacing w:after="0"/>
        <w:tabs>
          <w:tab w:leader="none" w:pos="186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Promptly following the final closing date of the transactions contemplated by the Purchase Agreement (the</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but no later than [●], 2017</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w:t>
      </w:r>
      <w:r>
        <w:rPr>
          <w:rFonts w:ascii="Arial" w:cs="Arial" w:eastAsia="Arial" w:hAnsi="Arial"/>
          <w:sz w:val="17"/>
          <w:szCs w:val="17"/>
          <w:b w:val="1"/>
          <w:bCs w:val="1"/>
          <w:color w:val="auto"/>
        </w:rPr>
        <w:t>Filing Deadline</w:t>
      </w:r>
      <w:r>
        <w:rPr>
          <w:rFonts w:ascii="Arial" w:cs="Arial" w:eastAsia="Arial" w:hAnsi="Arial"/>
          <w:sz w:val="17"/>
          <w:szCs w:val="17"/>
          <w:color w:val="auto"/>
        </w:rPr>
        <w:t xml:space="preserve">”), the Company shall prepare and file with the SEC one Registration Statement on Form S-3 (or, if Form S-3 is not then available to the Company, on such form of registration statement as is then available to effect a registration for resale of the Registrable Securities) covering the resale of the Registrable Securities. Subject to any SEC comments, such Registration Statement shall include the plan of distribution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provided, however, that no Investor shall be named as an “underwriter” in the Registration Statement without the Investor’s prior written consent. Such Registration Statement also shall cover, to the extent allowable under the 1933 Act and the rules promulgated thereunder (including Rule 416), such indeterminate number of additional shares of Common Stock resulting from stock splits, stock dividends or similar transactions with respect to the Registrable Securities. The Registration Statement (and each amendment or supplement thereto, and each request for acceleration of effectiveness thereof) shall be provided in accordance with Section 3(c) to the Investors and their counsel prior to its filing or other submission. If a Registration Statement covering the Registrable Securities is not filed with the SEC on or prior to the Filing Deadline, the Company will make pro rata payments to each Investor, as liquidated damages and not as a penalty, in an amount equal to 1.0% of the aggregate amount invested by such Investor for each 30-day period or pro rata for any portion thereof following the Filing Deadline for which no Registration Statement is filed with respect to the Registrable Securities. Such payments shall constitute the Investors’ exclusive monetary remedy for such events, but shall not affect the right of the Investors to seek injunctive relief. Such payments shall be made to each Investor in cash no later than three (3) Business Days after the end of each 30-day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8097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36" w:lineRule="exact"/>
        <w:rPr>
          <w:sz w:val="20"/>
          <w:szCs w:val="20"/>
          <w:color w:val="auto"/>
        </w:rPr>
      </w:pPr>
    </w:p>
    <w:p>
      <w:pPr>
        <w:ind w:left="120" w:hanging="112"/>
        <w:spacing w:after="0"/>
        <w:tabs>
          <w:tab w:leader="none" w:pos="12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30 days after close.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both"/>
        <w:ind w:firstLine="1305"/>
        <w:spacing w:after="0" w:line="257" w:lineRule="auto"/>
        <w:tabs>
          <w:tab w:leader="none" w:pos="187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pay all expenses associated with each registration, including filing and printing fees, the Company’s counsel and accounting fees and expenses, costs associated with clearing the Registrable Securities for sale under applicable state securities laws, listing fees, reasonable fees and expenses of one counsel to the Investors and the Investors’ reasonable expenses in connection with the registration, but excluding discounts, commissions, fees of underwriters, selling brokers, dealer managers or similar securities industry professionals with respect to the Registrable Securities being sold.</w:t>
      </w:r>
    </w:p>
    <w:p>
      <w:pPr>
        <w:spacing w:after="0" w:line="188" w:lineRule="exact"/>
        <w:rPr>
          <w:rFonts w:ascii="Arial" w:cs="Arial" w:eastAsia="Arial" w:hAnsi="Arial"/>
          <w:sz w:val="18"/>
          <w:szCs w:val="18"/>
          <w:color w:val="auto"/>
        </w:rPr>
      </w:pPr>
    </w:p>
    <w:p>
      <w:pPr>
        <w:ind w:left="1820" w:hanging="515"/>
        <w:spacing w:after="0"/>
        <w:tabs>
          <w:tab w:leader="none" w:pos="18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91" w:lineRule="auto"/>
        <w:tabs>
          <w:tab w:leader="none" w:pos="2517"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Company shall use commercially reasonable efforts to have the Registration Statement declared effective as soon as practicable. The Company shall notify the Investors by facsimile or e-mail as promptly as practicable after, and in any event, no later than 5:00 p.m. New</w:t>
      </w:r>
    </w:p>
    <w:p>
      <w:pPr>
        <w:jc w:val="both"/>
        <w:spacing w:after="0" w:line="255" w:lineRule="auto"/>
        <w:rPr>
          <w:sz w:val="20"/>
          <w:szCs w:val="20"/>
          <w:color w:val="auto"/>
        </w:rPr>
      </w:pPr>
      <w:r>
        <w:rPr>
          <w:rFonts w:ascii="Arial" w:cs="Arial" w:eastAsia="Arial" w:hAnsi="Arial"/>
          <w:sz w:val="16"/>
          <w:szCs w:val="16"/>
          <w:color w:val="auto"/>
        </w:rPr>
        <w:t>York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date, any Registration Statement is declared effective and shall simultaneously provide the Investors by facsimile or e-mail with copies of any related Prospectus to be used in connection with the sale or other disposition of the securities covered thereby. If (A) a Registration Statement covering the Registrable Securities is not declared effective by the SEC prior to the earlier of (i) five (5) Business Days after the SEC shall have informed the Company that no review of the Registration Statement will be made or that the SEC has no further comments 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Registration Statement or (ii) [●], 2017</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or (B) a Registration Statement has been declared effective by the SEC but sales cannot be made pursuant to such Registration Statement for any reason (including without limitation by reason of a stop order, or the Company’s failure to update the Registration Statement), but excluding any Allowed Delay (as defined below) or the inability of any Investor to sell the Registrable Securities covered thereby due to market conditions, then the Company will make pro rata payments to each Investor, as liquidated damages and not as a penalty, in an amount equal to 1.0% of the aggregate amount invested by such Investor for each 30-day period or pro rata for any portion thereof following the date by which such Registration Statement should have been effective (the “</w:t>
      </w:r>
      <w:r>
        <w:rPr>
          <w:rFonts w:ascii="Arial" w:cs="Arial" w:eastAsia="Arial" w:hAnsi="Arial"/>
          <w:sz w:val="17"/>
          <w:szCs w:val="17"/>
          <w:b w:val="1"/>
          <w:bCs w:val="1"/>
          <w:color w:val="auto"/>
        </w:rPr>
        <w:t>Blackout Period</w:t>
      </w:r>
      <w:r>
        <w:rPr>
          <w:rFonts w:ascii="Arial" w:cs="Arial" w:eastAsia="Arial" w:hAnsi="Arial"/>
          <w:sz w:val="17"/>
          <w:szCs w:val="17"/>
          <w:color w:val="auto"/>
        </w:rPr>
        <w:t>”). Such payments shall constitute the Investors’ exclusive monetary remedy for such events, but shall not affect the right of the Investors to seek injunctive relief. The amounts payable as liquidated damages pursuant to this paragraph shall be paid monthly within three (3) Business Days of the last day of each 30-day period following the commencement of the Blackout Period until the termination of the Blackout Period. Such payments shall be made to each Investor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097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38"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120 days after close.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left="-20" w:firstLine="1953"/>
        <w:spacing w:after="0" w:line="269" w:lineRule="auto"/>
        <w:tabs>
          <w:tab w:leader="none" w:pos="2578" w:val="left"/>
        </w:tabs>
        <w:numPr>
          <w:ilvl w:val="1"/>
          <w:numId w:val="20"/>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may suspend the use of any Prospectus included in any Registration Statement contemplated by this Section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Arial" w:cs="Arial" w:eastAsia="Arial" w:hAnsi="Arial"/>
          <w:sz w:val="17"/>
          <w:szCs w:val="17"/>
          <w:b w:val="1"/>
          <w:bCs w:val="1"/>
          <w:color w:val="auto"/>
        </w:rPr>
        <w:t>Allowed Delay</w:t>
      </w:r>
      <w:r>
        <w:rPr>
          <w:rFonts w:ascii="Arial" w:cs="Arial" w:eastAsia="Arial" w:hAnsi="Arial"/>
          <w:sz w:val="17"/>
          <w:szCs w:val="17"/>
          <w:color w:val="auto"/>
        </w:rPr>
        <w:t>”); provided, that the Company shall promptly (a) notify each Investor in writing of the commencement of and the reasons for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commercially reasonable efforts to terminate an Allowed Delay as promptly as practicable. The Company shall be entitled to exercise its right under this Section 2(c)(ii) to suspend the availability of a Registration Statement and Prospectus for a period not to exceed 20 calendar days (which need not be consecutive days) in any six-month period.</w:t>
      </w:r>
    </w:p>
    <w:p>
      <w:pPr>
        <w:spacing w:after="0" w:line="179" w:lineRule="exact"/>
        <w:rPr>
          <w:rFonts w:ascii="Arial" w:cs="Arial" w:eastAsia="Arial" w:hAnsi="Arial"/>
          <w:sz w:val="17"/>
          <w:szCs w:val="17"/>
          <w:color w:val="auto"/>
        </w:rPr>
      </w:pPr>
    </w:p>
    <w:p>
      <w:pPr>
        <w:jc w:val="both"/>
        <w:ind w:left="-20" w:firstLine="1953"/>
        <w:spacing w:after="0" w:line="264" w:lineRule="auto"/>
        <w:tabs>
          <w:tab w:leader="none" w:pos="26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shall the liquidated damages paid or to be paid by the Company to an Investor pursuant to Sections 2(a) and 2(c) of this Agreement exceed, in the aggregate, an amount equal to 10.0% of the aggregate amount invested by such Investor.</w:t>
      </w:r>
    </w:p>
    <w:p>
      <w:pPr>
        <w:spacing w:after="0" w:line="181" w:lineRule="exact"/>
        <w:rPr>
          <w:rFonts w:ascii="Arial" w:cs="Arial" w:eastAsia="Arial" w:hAnsi="Arial"/>
          <w:sz w:val="18"/>
          <w:szCs w:val="18"/>
          <w:color w:val="auto"/>
        </w:rPr>
      </w:pPr>
    </w:p>
    <w:p>
      <w:pPr>
        <w:jc w:val="both"/>
        <w:ind w:left="-20" w:firstLine="1305"/>
        <w:spacing w:after="0" w:line="286" w:lineRule="auto"/>
        <w:tabs>
          <w:tab w:leader="none" w:pos="1936"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Rule 415; Cutback</w:t>
      </w:r>
      <w:r>
        <w:rPr>
          <w:rFonts w:ascii="Arial" w:cs="Arial" w:eastAsia="Arial" w:hAnsi="Arial"/>
          <w:sz w:val="16"/>
          <w:szCs w:val="16"/>
          <w:color w:val="auto"/>
        </w:rPr>
        <w:t xml:space="preserve"> If at any time the SEC takes the position that the offering of some or all of the Registrable Securities in a Registration Statement (alone or together with previously or subsequently registered shares of Common Stock) are not eligible to be made on a delayed or continuous basis under the provisions of Rule 415 under the 1933 Act or requires any Investor to be named as an “underwriter”, the Company shall use its best efforts to persuade the SEC that the offering contemplated by the Registration Statement is a valid secondary offering and not an offering “by or on behalf of the issuer” as defined in Rule 415 and that none of the Investors is an “underwriter”. The Investors shall have the right to participate or have their counsel participate in any meetings or discussions with the SEC regarding the SEC’s position (unless in the reasonable opinion of the Company or its counsel, such participation will be to the detriment to the Company in that it may cause undue delays in the registration process or for other reasons) and to comment or have their counsel comment on any written submission made to the SEC with respect thereto. No such written submission shall be made to the SEC to which the Investors’ counsel reasonably objects. In the event that, despite the Company’s best efforts and compliance with the terms of this Section 2(d), the SEC refuses to alter its position, the Company shall (i) remove from the Registration Statement such portion of the Registrable Securities (the “</w:t>
      </w:r>
      <w:r>
        <w:rPr>
          <w:rFonts w:ascii="Arial" w:cs="Arial" w:eastAsia="Arial" w:hAnsi="Arial"/>
          <w:sz w:val="16"/>
          <w:szCs w:val="16"/>
          <w:b w:val="1"/>
          <w:bCs w:val="1"/>
          <w:color w:val="auto"/>
        </w:rPr>
        <w:t>Cut Back</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and/or (ii) agree to such restrictions and limitations on the registration and resale of the Registrable Securities as the SEC may require to assure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compliance with the requirements of Rule 415 (collectively, the “</w:t>
      </w:r>
      <w:r>
        <w:rPr>
          <w:rFonts w:ascii="Arial" w:cs="Arial" w:eastAsia="Arial" w:hAnsi="Arial"/>
          <w:sz w:val="16"/>
          <w:szCs w:val="16"/>
          <w:b w:val="1"/>
          <w:bCs w:val="1"/>
          <w:color w:val="auto"/>
        </w:rPr>
        <w:t>SEC Restrictions</w:t>
      </w:r>
      <w:r>
        <w:rPr>
          <w:rFonts w:ascii="Arial" w:cs="Arial" w:eastAsia="Arial" w:hAnsi="Arial"/>
          <w:sz w:val="16"/>
          <w:szCs w:val="16"/>
          <w:color w:val="auto"/>
        </w:rPr>
        <w:t>”); provided, however, that the Company shall not agree to name any Investor as an “underwriter” in such Registration Statement without the prior written consent of such Investor. Any cut-back imposed on the Investors pursuant to this Section 2(d) shall be allocated among the Investors (and the holders of any previously or subsequently registered shares of Common Stock whose shares are subject to the Rule 415 position taken by the SEC) on a pro rata basis,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(such date, the “</w:t>
      </w:r>
      <w:r>
        <w:rPr>
          <w:rFonts w:ascii="Arial" w:cs="Arial" w:eastAsia="Arial" w:hAnsi="Arial"/>
          <w:sz w:val="16"/>
          <w:szCs w:val="16"/>
          <w:b w:val="1"/>
          <w:bCs w:val="1"/>
          <w:color w:val="auto"/>
        </w:rPr>
        <w:t>Restriction Termination Date</w:t>
      </w:r>
      <w:r>
        <w:rPr>
          <w:rFonts w:ascii="Arial" w:cs="Arial" w:eastAsia="Arial" w:hAnsi="Arial"/>
          <w:sz w:val="16"/>
          <w:szCs w:val="16"/>
          <w:color w:val="auto"/>
        </w:rPr>
        <w:t>” of such Cut Back Shares). From and after the Restriction Termination Date applicable to any Cut Back Shares, all of the provisions of this Section 2 (including the liquidated damages provisions) shall again be applicable to such Cut Back Shares; provided, however, that (i) the Filing Deadline for the Registration Statement including such Cut Back Shares shall be ten (10) Business Days after such Restriction Termination Date, and (ii) the date by which the Company is required to obtain effectiveness with respect to such Cut Back Shares under Section 2(c) shall be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immediately after the Restriction Termination Date.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45" w:name="page46"/>
    <w:bookmarkEnd w:id="45"/>
    <w:p>
      <w:pPr>
        <w:ind w:left="-20" w:firstLine="656"/>
        <w:spacing w:after="0" w:line="277" w:lineRule="auto"/>
        <w:tabs>
          <w:tab w:leader="none" w:pos="125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Company Obligations</w:t>
      </w:r>
      <w:r>
        <w:rPr>
          <w:rFonts w:ascii="Arial" w:cs="Arial" w:eastAsia="Arial" w:hAnsi="Arial"/>
          <w:sz w:val="18"/>
          <w:szCs w:val="18"/>
          <w:color w:val="auto"/>
        </w:rPr>
        <w:t>. The Company will use commercially reasonable efforts to effect the registration of the Registrable Securities in accordance with the terms hereof, and pursuant thereto the Company will, as expeditiously as possible:</w:t>
      </w:r>
    </w:p>
    <w:p>
      <w:pPr>
        <w:spacing w:after="0" w:line="170" w:lineRule="exact"/>
        <w:rPr>
          <w:rFonts w:ascii="Arial" w:cs="Arial" w:eastAsia="Arial" w:hAnsi="Arial"/>
          <w:sz w:val="18"/>
          <w:szCs w:val="18"/>
          <w:color w:val="auto"/>
        </w:rPr>
      </w:pPr>
    </w:p>
    <w:p>
      <w:pPr>
        <w:jc w:val="both"/>
        <w:ind w:left="-20" w:firstLine="1305"/>
        <w:spacing w:after="0" w:line="279" w:lineRule="auto"/>
        <w:tabs>
          <w:tab w:leader="none" w:pos="1841" w:val="left"/>
        </w:tabs>
        <w:numPr>
          <w:ilvl w:val="1"/>
          <w:numId w:val="22"/>
        </w:numPr>
        <w:rPr>
          <w:rFonts w:ascii="Arial" w:cs="Arial" w:eastAsia="Arial" w:hAnsi="Arial"/>
          <w:sz w:val="17"/>
          <w:szCs w:val="17"/>
          <w:color w:val="auto"/>
        </w:rPr>
      </w:pPr>
      <w:r>
        <w:rPr>
          <w:rFonts w:ascii="Arial" w:cs="Arial" w:eastAsia="Arial" w:hAnsi="Arial"/>
          <w:sz w:val="17"/>
          <w:szCs w:val="17"/>
          <w:color w:val="auto"/>
        </w:rPr>
        <w:t>use commercially reasonable efforts to cause such Registration Statement to become effective and to remain continuously effective for a period that will terminate upon the earlier of (i) one (1) year from the date of effectiveness, (ii) the date on which all Registrable Securities covered by such Registration Statement as amended from time to time, have been sold, and (iii) the date on which all Registrable Securities covered by such Registration Statement may be sold without manner of sale or volume restrictions pursuant to Rule 144 (the “</w:t>
      </w:r>
      <w:r>
        <w:rPr>
          <w:rFonts w:ascii="Arial" w:cs="Arial" w:eastAsia="Arial" w:hAnsi="Arial"/>
          <w:sz w:val="17"/>
          <w:szCs w:val="17"/>
          <w:b w:val="1"/>
          <w:bCs w:val="1"/>
          <w:color w:val="auto"/>
        </w:rPr>
        <w:t>Effectiveness Period</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left="-20" w:firstLine="1305"/>
        <w:spacing w:after="0" w:line="264" w:lineRule="auto"/>
        <w:tabs>
          <w:tab w:leader="none" w:pos="18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post-effective amendments to the Registration Statement and the Prospectus as may be necessary to keep the Registration Statement effective for the Effectiveness Period and to comply with the provisions of the 1933 Act and the 1934 Act with respect to the distribution of all of the Registrable Securities covered thereby;</w:t>
      </w:r>
    </w:p>
    <w:p>
      <w:pPr>
        <w:spacing w:after="0" w:line="181" w:lineRule="exact"/>
        <w:rPr>
          <w:rFonts w:ascii="Arial" w:cs="Arial" w:eastAsia="Arial" w:hAnsi="Arial"/>
          <w:sz w:val="18"/>
          <w:szCs w:val="18"/>
          <w:color w:val="auto"/>
        </w:rPr>
      </w:pPr>
    </w:p>
    <w:p>
      <w:pPr>
        <w:jc w:val="both"/>
        <w:ind w:left="-20" w:firstLine="1305"/>
        <w:spacing w:after="0" w:line="286" w:lineRule="auto"/>
        <w:tabs>
          <w:tab w:leader="none" w:pos="1973" w:val="left"/>
        </w:tabs>
        <w:numPr>
          <w:ilvl w:val="1"/>
          <w:numId w:val="22"/>
        </w:numPr>
        <w:rPr>
          <w:rFonts w:ascii="Arial" w:cs="Arial" w:eastAsia="Arial" w:hAnsi="Arial"/>
          <w:sz w:val="17"/>
          <w:szCs w:val="17"/>
          <w:color w:val="auto"/>
        </w:rPr>
      </w:pPr>
      <w:r>
        <w:rPr>
          <w:rFonts w:ascii="Arial" w:cs="Arial" w:eastAsia="Arial" w:hAnsi="Arial"/>
          <w:sz w:val="17"/>
          <w:szCs w:val="17"/>
          <w:color w:val="auto"/>
        </w:rPr>
        <w:t>provide copies to counsel designated by the Investors and permit such counsel to review each Registration Statement and all amendments and supplements thereto no fewer than three (3) days, in the case of the initial Registration Statement, and two (2) days, in the case of any amendment or supplement, prior to their filing with the SEC and not file any document to which such counsel reasonably objects;</w:t>
      </w:r>
    </w:p>
    <w:p>
      <w:pPr>
        <w:spacing w:after="0" w:line="165" w:lineRule="exact"/>
        <w:rPr>
          <w:rFonts w:ascii="Arial" w:cs="Arial" w:eastAsia="Arial" w:hAnsi="Arial"/>
          <w:sz w:val="17"/>
          <w:szCs w:val="17"/>
          <w:color w:val="auto"/>
        </w:rPr>
      </w:pPr>
    </w:p>
    <w:p>
      <w:pPr>
        <w:jc w:val="both"/>
        <w:ind w:left="-20" w:firstLine="1305"/>
        <w:spacing w:after="0" w:line="271" w:lineRule="auto"/>
        <w:tabs>
          <w:tab w:leader="none" w:pos="1857" w:val="left"/>
        </w:tabs>
        <w:numPr>
          <w:ilvl w:val="1"/>
          <w:numId w:val="22"/>
        </w:numPr>
        <w:rPr>
          <w:rFonts w:ascii="Arial" w:cs="Arial" w:eastAsia="Arial" w:hAnsi="Arial"/>
          <w:sz w:val="17"/>
          <w:szCs w:val="17"/>
          <w:color w:val="auto"/>
        </w:rPr>
      </w:pPr>
      <w:r>
        <w:rPr>
          <w:rFonts w:ascii="Arial" w:cs="Arial" w:eastAsia="Arial" w:hAnsi="Arial"/>
          <w:sz w:val="17"/>
          <w:szCs w:val="17"/>
          <w:color w:val="auto"/>
        </w:rPr>
        <w:t>furnish to the Investors and to counsel designated by the Investors (i) promptly after the same is prepared and publicly distributed, filed with the SEC, or received by the Company (but not later than two (2) Business Days after the filing date, receipt date or sending date, as the case may be) one (1) copy of any Registration Statement and any amendment thereto, each preliminary prospectus and Prospectus and each amendment or supplement thereto, and each letter written by or on behalf of the Company to the SEC or the staff of the SEC, and each item of correspondence from the SEC or the staff of the SEC, in each case relating to such Registration Statement (other than any portion of any thereof which contains information for which the Company has sought confidential treatment), and (ii) such number of copies of a Prospectus, including a preliminary prospectus, and all amendments and supplements thereto and such other documents as each Investor may reasonably request in order to facilitate the disposition of the Registrable Securities owned by such Investor that are covered by the related Registration Statement;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46" w:name="page47"/>
    <w:bookmarkEnd w:id="46"/>
    <w:p>
      <w:pPr>
        <w:ind w:left="-20" w:firstLine="1305"/>
        <w:spacing w:after="0" w:line="277" w:lineRule="auto"/>
        <w:tabs>
          <w:tab w:leader="none" w:pos="18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use commercially reasonable efforts to (i) prevent the issuance of any stop order or other suspension of effectiveness and, (ii) if such order is issued, obtain the withdrawal of any such order at the earliest possible moment;</w:t>
      </w:r>
    </w:p>
    <w:p>
      <w:pPr>
        <w:spacing w:after="0" w:line="170" w:lineRule="exact"/>
        <w:rPr>
          <w:rFonts w:ascii="Arial" w:cs="Arial" w:eastAsia="Arial" w:hAnsi="Arial"/>
          <w:sz w:val="18"/>
          <w:szCs w:val="18"/>
          <w:color w:val="auto"/>
        </w:rPr>
      </w:pPr>
    </w:p>
    <w:p>
      <w:pPr>
        <w:jc w:val="both"/>
        <w:ind w:left="-20" w:firstLine="1305"/>
        <w:spacing w:after="0" w:line="272" w:lineRule="auto"/>
        <w:tabs>
          <w:tab w:leader="none" w:pos="179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prior to any public offering of Registrable Securities, use commercially reasonable efforts to register or qualify or cooperate with the Investors and their counsel in connection with the registration or qualification of such Registrable Securities for offer and sale under the securities or blue sky laws of such jurisdictions requested by the Investors and do any and all other commercially reasonable acts or things necessary or advisable to enable the distribution in such jurisdictions of the Registrable Securities covered by the Registration Statement; provided, however, that the Company shall not be required in connection therewith or as a condition thereto to (i) qualify to do business in any jurisdiction where it would not otherwise be required to qualify but for this Section 3(f), (ii) subject itself to general taxation in any jurisdiction where it would not otherwise be so subject but for this Section 3(f), or (iii) file a general consent to service of process in any such jurisdiction;</w:t>
      </w:r>
    </w:p>
    <w:p>
      <w:pPr>
        <w:spacing w:after="0" w:line="177" w:lineRule="exact"/>
        <w:rPr>
          <w:rFonts w:ascii="Arial" w:cs="Arial" w:eastAsia="Arial" w:hAnsi="Arial"/>
          <w:sz w:val="17"/>
          <w:szCs w:val="17"/>
          <w:color w:val="auto"/>
        </w:rPr>
      </w:pPr>
    </w:p>
    <w:p>
      <w:pPr>
        <w:ind w:left="-20" w:firstLine="1305"/>
        <w:spacing w:after="0" w:line="308" w:lineRule="auto"/>
        <w:tabs>
          <w:tab w:leader="none" w:pos="1919"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use commercially reasonable efforts to cause all Registrable Securities covered by a Registration Statement to be listed on each securities exchange, interdealer quotation system or other market on which similar securities issued by the Company are then listed;</w:t>
      </w:r>
    </w:p>
    <w:p>
      <w:pPr>
        <w:spacing w:after="0" w:line="146" w:lineRule="exact"/>
        <w:rPr>
          <w:rFonts w:ascii="Arial" w:cs="Arial" w:eastAsia="Arial" w:hAnsi="Arial"/>
          <w:sz w:val="17"/>
          <w:szCs w:val="17"/>
          <w:color w:val="auto"/>
        </w:rPr>
      </w:pPr>
    </w:p>
    <w:p>
      <w:pPr>
        <w:jc w:val="both"/>
        <w:ind w:left="-20" w:firstLine="1305"/>
        <w:spacing w:after="0" w:line="255" w:lineRule="auto"/>
        <w:tabs>
          <w:tab w:leader="none" w:pos="180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immediately notify the Investors, at any time prior to the end of the Effectiveness Period, upon discovery that, or upon the happening of any event as a result of which, the Prospectus includes an untrue statement of a material fact or omits to state any material fact required to be stated therein or necessary to make the statements therein not misleading in light of the circumstances then existing, and promptly prepare, file with the SEC and furnish to such holder a supplement to or an amendment of such Prospectus as may be necessary so that such Prospectus shall not include an untrue statement of a material fact or omit to state a material fact required to be stated therein or necessary to make the statements therein not misleading in light of the circumstances then existing; and</w:t>
      </w:r>
    </w:p>
    <w:p>
      <w:pPr>
        <w:spacing w:after="0" w:line="193" w:lineRule="exact"/>
        <w:rPr>
          <w:rFonts w:ascii="Arial" w:cs="Arial" w:eastAsia="Arial" w:hAnsi="Arial"/>
          <w:sz w:val="18"/>
          <w:szCs w:val="18"/>
          <w:color w:val="auto"/>
        </w:rPr>
      </w:pPr>
    </w:p>
    <w:p>
      <w:pPr>
        <w:jc w:val="both"/>
        <w:ind w:left="-20" w:firstLine="1305"/>
        <w:spacing w:after="0" w:line="288" w:lineRule="auto"/>
        <w:tabs>
          <w:tab w:leader="none" w:pos="17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Investors in writing if, at any time during the Effectiveness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1933 Act, including Rule 158 promulgated thereunder (for the purpose of this subsection 3(i), “</w:t>
      </w:r>
      <w:r>
        <w:rPr>
          <w:rFonts w:ascii="Arial" w:cs="Arial" w:eastAsia="Arial" w:hAnsi="Arial"/>
          <w:sz w:val="16"/>
          <w:szCs w:val="16"/>
          <w:b w:val="1"/>
          <w:bCs w:val="1"/>
          <w:color w:val="auto"/>
        </w:rPr>
        <w:t>Availability Date</w:t>
      </w:r>
      <w:r>
        <w:rPr>
          <w:rFonts w:ascii="Arial" w:cs="Arial" w:eastAsia="Arial" w:hAnsi="Arial"/>
          <w:sz w:val="16"/>
          <w:szCs w:val="16"/>
          <w:color w:val="auto"/>
        </w:rPr>
        <w:t>” means the 45th day following the end of the fourth fiscal quarter that includes the effective date of such Registration Statement, except that, if such fourth fiscal quarter is the last quarter of the Company’s fiscal year, “Availability Date” means the 90th day after the end of such fourth fiscal quarter).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47" w:name="page48"/>
    <w:bookmarkEnd w:id="47"/>
    <w:p>
      <w:pPr>
        <w:jc w:val="both"/>
        <w:ind w:left="-8" w:firstLine="1305"/>
        <w:spacing w:after="0" w:line="291" w:lineRule="auto"/>
        <w:tabs>
          <w:tab w:leader="none" w:pos="1828" w:val="left"/>
        </w:tabs>
        <w:numPr>
          <w:ilvl w:val="2"/>
          <w:numId w:val="24"/>
        </w:numPr>
        <w:rPr>
          <w:rFonts w:ascii="Arial" w:cs="Arial" w:eastAsia="Arial" w:hAnsi="Arial"/>
          <w:sz w:val="16"/>
          <w:szCs w:val="16"/>
          <w:color w:val="auto"/>
        </w:rPr>
      </w:pPr>
      <w:r>
        <w:rPr>
          <w:rFonts w:ascii="Arial" w:cs="Arial" w:eastAsia="Arial" w:hAnsi="Arial"/>
          <w:sz w:val="16"/>
          <w:szCs w:val="16"/>
          <w:color w:val="auto"/>
        </w:rPr>
        <w:t>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w:t>
      </w:r>
    </w:p>
    <w:p>
      <w:pPr>
        <w:jc w:val="both"/>
        <w:ind w:left="-8" w:firstLine="8"/>
        <w:spacing w:after="0" w:line="268"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make and keep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all of the Registrable Securities shall have been resold; (ii) file with the SEC in a timely manner all reports and other documents required of the Company under the 1934 Act; (iii) furnish to each Investor upon request, as long as such Investor owns any Registrable Securities, (A) a written statement by the Company that it has complied with the reporting requirements of the 1934 Act, (B) a copy of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and (iv) use commercially reasonable efforts to assist each Investor with the removal of any legends required under Rule 144 under the 1933 Act, including with respect to any opinions required thereby, provided that the Company’s obligations hereunder are subject to the reasonable determination of the Company and the Company’s counsel that any such legend removal complies with the 1933 Act.</w:t>
      </w:r>
    </w:p>
    <w:p>
      <w:pPr>
        <w:spacing w:after="0" w:line="179" w:lineRule="exact"/>
        <w:rPr>
          <w:rFonts w:ascii="Arial" w:cs="Arial" w:eastAsia="Arial" w:hAnsi="Arial"/>
          <w:sz w:val="17"/>
          <w:szCs w:val="17"/>
          <w:color w:val="auto"/>
        </w:rPr>
      </w:pPr>
    </w:p>
    <w:p>
      <w:pPr>
        <w:jc w:val="both"/>
        <w:ind w:left="-8" w:firstLine="656"/>
        <w:spacing w:after="0" w:line="270" w:lineRule="auto"/>
        <w:tabs>
          <w:tab w:leader="none" w:pos="115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Due Diligence Review; Information</w:t>
      </w:r>
      <w:r>
        <w:rPr>
          <w:rFonts w:ascii="Arial" w:cs="Arial" w:eastAsia="Arial" w:hAnsi="Arial"/>
          <w:sz w:val="17"/>
          <w:szCs w:val="17"/>
          <w:color w:val="auto"/>
        </w:rPr>
        <w:t>. Upon written request, the Company shall make available, during normal business hours, for inspection and review by the Investors, advisors to and representatives of the Investors (who may or may not be affiliated with the Investors and who are reasonably acceptable to the Company), all financial and other records, all SEC Filings and other filings with the SEC, and all other corporate documents and properties of the Company as may be reasonably necessary for the purpose of such review, and cause the Company’s officers, directors and employees, within a reasonable time period, to supply all such information reasonably requested by the Investors or any such representative, advisor or underwriter in connection with such Registration Statement (including, without limitation, in response to all questions and other inquiries reasonably made or submitted by any of them), prior to and from time to time after the filing and effectiveness of the Registration Statement for the sole purpose of enabling the Investors and such representatives, advisors and underwriters and their respective accountants and attorneys to conduct initial and ongoing due diligence with respect to the Company and the accuracy of such Registration Statement. As a condition to such inspection and review, the Company may require the Investors to enter into confidentiality agreements.</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48" w:name="page49"/>
    <w:bookmarkEnd w:id="48"/>
    <w:p>
      <w:pPr>
        <w:jc w:val="both"/>
        <w:ind w:firstLine="1297"/>
        <w:spacing w:after="0" w:line="279" w:lineRule="auto"/>
        <w:rPr>
          <w:sz w:val="20"/>
          <w:szCs w:val="20"/>
          <w:color w:val="auto"/>
        </w:rPr>
      </w:pPr>
      <w:r>
        <w:rPr>
          <w:rFonts w:ascii="Arial" w:cs="Arial" w:eastAsia="Arial" w:hAnsi="Arial"/>
          <w:sz w:val="17"/>
          <w:szCs w:val="17"/>
          <w:color w:val="auto"/>
        </w:rPr>
        <w:t>The Company shall not disclose material nonpublic information to the Investors, or to advisors to or representatives of the Investors, unless prior to disclosure of such information the Company identifies such information as being material nonpublic information and provides the Investors, such advisors and representatives with the opportunity to accept or refuse to accept such material nonpublic information for review and any Investor wishing to obtain such information enters into an appropriate confidentiality agreement with the Company with respect thereto.</w:t>
      </w:r>
    </w:p>
    <w:p>
      <w:pPr>
        <w:spacing w:after="0" w:line="171" w:lineRule="exact"/>
        <w:rPr>
          <w:sz w:val="20"/>
          <w:szCs w:val="20"/>
          <w:color w:val="auto"/>
        </w:rPr>
      </w:pPr>
    </w:p>
    <w:p>
      <w:pPr>
        <w:ind w:left="1100" w:hanging="444"/>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Obligations of the Investors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9" w:lineRule="auto"/>
        <w:tabs>
          <w:tab w:leader="none" w:pos="1823"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Each Investor shall furnish to the Company a completed and executed Selling Stockholder Questionnaire. The Company shall not be required to include the Registrable Securities of an Investor in a Registration Statement who fails to furnish to the Company a fully completed and executed Selling Stockholder Questionnaire at least two (2) Business Days prior to the first anticipated filing date of such Registration Statement. It is agreed and understood that if an Investor returns a Selling Stockholder Questionnaire after the deadline specified in the previous sentence, the Company shall use its commercially reasonable efforts to take such actions as are required to name such Investor as a selling security holder in the Registration Statement or any pre-effective or post-effective amendment thereto and to include (to the extent not theretofore included) in the Registration Statement the Registrable Securities identified in such late Selling Stockholder Questionnaire; provided that the Company shall not be obligated to file any additional Registration Statements solely for such shares or take any action that the Company reasonable concludes would cause the Company to miss the Filing Deadline or the deadline by which the Registration Statement must be declared effective by the SEC, or otherwise cause other Registrable Securities to be ineligible for sale.</w:t>
      </w:r>
    </w:p>
    <w:p>
      <w:pPr>
        <w:spacing w:after="0" w:line="166" w:lineRule="exact"/>
        <w:rPr>
          <w:rFonts w:ascii="Arial" w:cs="Arial" w:eastAsia="Arial" w:hAnsi="Arial"/>
          <w:sz w:val="16"/>
          <w:szCs w:val="16"/>
          <w:color w:val="auto"/>
        </w:rPr>
      </w:pPr>
    </w:p>
    <w:p>
      <w:pPr>
        <w:jc w:val="both"/>
        <w:ind w:firstLine="1305"/>
        <w:spacing w:after="0" w:line="264" w:lineRule="auto"/>
        <w:tabs>
          <w:tab w:leader="none" w:pos="186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Investor, by its acceptance of the Registrable Securities agrees to cooperate with the Company as reasonably requested by the Company in connection with the preparation and filing of a Registration Statement hereunder, unless such Investor has notified the Company in writing of its election to exclude all of its Registrable Securities from such Registration Statement.</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1951" w:val="left"/>
        </w:tabs>
        <w:numPr>
          <w:ilvl w:val="1"/>
          <w:numId w:val="26"/>
        </w:numPr>
        <w:rPr>
          <w:rFonts w:ascii="Arial" w:cs="Arial" w:eastAsia="Arial" w:hAnsi="Arial"/>
          <w:sz w:val="18"/>
          <w:szCs w:val="18"/>
          <w:color w:val="auto"/>
        </w:rPr>
      </w:pPr>
      <w:r>
        <w:rPr>
          <w:rFonts w:ascii="Arial" w:cs="Arial" w:eastAsia="Arial" w:hAnsi="Arial"/>
          <w:sz w:val="18"/>
          <w:szCs w:val="18"/>
          <w:color w:val="auto"/>
        </w:rPr>
        <w:t>Each Investor agrees that, upon receipt of any notice from the Company of either (i) the commencement of an Allowed Delay pursuant to Section 2(c)(ii) or (ii) the happening of an event pursuant to Section 3(h) hereof, such Investor will immediately discontinue disposition of Registrable Securities pursuant to the Registration Statement covering such Registrable Securities, until the Investor is advised by the Company that such dispositions may again be made.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ind w:left="1080" w:hanging="44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85" w:lineRule="auto"/>
        <w:tabs>
          <w:tab w:leader="none" w:pos="1791"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will indemnify and hold harmless each Investor and its officers, directors, members, managers, employees and agents, successors and assigns, and each other person, if any, who controls such Investor within the meaning of the 1933 Act, against any losses, claims, damages or liabilities, joint or several, to which they may become subject under the 1933 Act or otherwise, insofar as such losses, claims, damages or liabilities (or actions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(ii) any blue sky application or other document executed by the Company specifically for that purpose or based upon written information furnished by the Company filed in any state or other jurisdiction in order to qualify any or all of the Registrable Securities under the securities laws thereof (any such application, document or information herein called a “</w:t>
      </w:r>
      <w:r>
        <w:rPr>
          <w:rFonts w:ascii="Arial" w:cs="Arial" w:eastAsia="Arial" w:hAnsi="Arial"/>
          <w:sz w:val="16"/>
          <w:szCs w:val="16"/>
          <w:b w:val="1"/>
          <w:bCs w:val="1"/>
          <w:color w:val="auto"/>
        </w:rPr>
        <w:t>Blue Sky Application</w:t>
      </w:r>
      <w:r>
        <w:rPr>
          <w:rFonts w:ascii="Arial" w:cs="Arial" w:eastAsia="Arial" w:hAnsi="Arial"/>
          <w:sz w:val="16"/>
          <w:szCs w:val="16"/>
          <w:color w:val="auto"/>
        </w:rPr>
        <w:t xml:space="preserve">”); (iii) the omission or alleged omission to state in a Blue Sky Application a material fact required to be stated therein or necessary to make the statements therein not misleading; (iv) any violation by the Company or its agents of any rule or regulation promulgated under the 1933 Act applicable to the Company or its agents and relating to action or inaction required of the Company in connection with such registration; or (v) any failure to register or qualify the Registrable Securities included in any such Registration Statement in any state where the Company or its agents has affirmatively undertaken or agreed in writing that the Company will undertake such registration or qualification on an Investor’s behalf and will reimburse such Investor, and each such officer, director or member and each such controlling person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if and to the extent that any such loss, claim, damage or liability arises out of or is based upon an untrue statement or alleged untrue statement or omission or alleged omission so made in conformity with information furnished by such Investor or any such controlling person in writing specifically for use in such Registration Statement or Prospectus.</w:t>
      </w:r>
    </w:p>
    <w:p>
      <w:pPr>
        <w:spacing w:after="0" w:line="175" w:lineRule="exact"/>
        <w:rPr>
          <w:rFonts w:ascii="Arial" w:cs="Arial" w:eastAsia="Arial" w:hAnsi="Arial"/>
          <w:sz w:val="16"/>
          <w:szCs w:val="16"/>
          <w:color w:val="auto"/>
        </w:rPr>
      </w:pPr>
    </w:p>
    <w:p>
      <w:pPr>
        <w:jc w:val="both"/>
        <w:ind w:left="-20" w:firstLine="1305"/>
        <w:spacing w:after="0" w:line="270" w:lineRule="auto"/>
        <w:tabs>
          <w:tab w:leader="none" w:pos="1801"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Indemnification by the Investors</w:t>
      </w:r>
      <w:r>
        <w:rPr>
          <w:rFonts w:ascii="Arial" w:cs="Arial" w:eastAsia="Arial" w:hAnsi="Arial"/>
          <w:sz w:val="17"/>
          <w:szCs w:val="17"/>
          <w:color w:val="auto"/>
        </w:rPr>
        <w:t>. Each Investor agrees, severally but not jointly, to indemnify and hold harmless, to the fullest extent permitted by law, the Company, its directors, officers, employees, stockholders and each person who controls the Company (within the meaning of the 1933 Act) against any losses, claims, damages, liabilities and expense (including reasonable attorney fees) resulting from any untrue statement of a material fact or any omission of a material fact required to be stated in the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such Investor to the Company specifically for inclusion in such Registration Statement or Prospectus or amendment or supplement thereto.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the Registration Statement giving rise to such indemnification obligation.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50" w:name="page51"/>
    <w:bookmarkEnd w:id="50"/>
    <w:p>
      <w:pPr>
        <w:jc w:val="both"/>
        <w:ind w:firstLine="1305"/>
        <w:spacing w:after="0" w:line="286" w:lineRule="auto"/>
        <w:tabs>
          <w:tab w:leader="none" w:pos="1987"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71" w:lineRule="exact"/>
        <w:rPr>
          <w:rFonts w:ascii="Arial" w:cs="Arial" w:eastAsia="Arial" w:hAnsi="Arial"/>
          <w:sz w:val="16"/>
          <w:szCs w:val="16"/>
          <w:color w:val="auto"/>
        </w:rPr>
      </w:pPr>
    </w:p>
    <w:p>
      <w:pPr>
        <w:jc w:val="both"/>
        <w:ind w:firstLine="1305"/>
        <w:spacing w:after="0" w:line="253" w:lineRule="auto"/>
        <w:tabs>
          <w:tab w:leader="none" w:pos="201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If for any reason the indemnification provided for in the preceding paragraphs (a) and (b) is unavailable to an indemnified party or insufficient to hold it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1933 Act shall be entitled to contribution from any person not guilty of such fraudulent misrepresentation. In no event shall the contribution obligation of a holder of Registrable Securities be greater in amount than the dollar amount of the proceeds (net of all expenses paid by such holder in connection with any claim relating to this Section 6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97" w:lineRule="exact"/>
        <w:rPr>
          <w:rFonts w:ascii="Arial" w:cs="Arial" w:eastAsia="Arial" w:hAnsi="Arial"/>
          <w:sz w:val="18"/>
          <w:szCs w:val="18"/>
          <w:color w:val="auto"/>
        </w:rPr>
      </w:pPr>
    </w:p>
    <w:p>
      <w:pPr>
        <w:ind w:left="1100" w:hanging="444"/>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38"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Agreement may be amended only by a writing signed by the Company and the Required Investors. The Company may take any action herein prohibited, or omit to perform any act herein required to be performed by it, only if the Company shall have obtained the written consent to such amendment, action or omission to act, of the Required Investors.</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provided for or permitted hereunder shall be made as set forth in the Purchase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1" w:name="page52"/>
    <w:bookmarkEnd w:id="51"/>
    <w:p>
      <w:pPr>
        <w:jc w:val="both"/>
        <w:ind w:left="-20" w:firstLine="1305"/>
        <w:spacing w:after="0" w:line="257" w:lineRule="auto"/>
        <w:tabs>
          <w:tab w:leader="none" w:pos="189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Investors</w:t>
      </w:r>
      <w:r>
        <w:rPr>
          <w:rFonts w:ascii="Arial" w:cs="Arial" w:eastAsia="Arial" w:hAnsi="Arial"/>
          <w:sz w:val="18"/>
          <w:szCs w:val="18"/>
          <w:color w:val="auto"/>
        </w:rPr>
        <w:t>. The provisions of this Agreement shall be binding upon and inure to the benefit of the Investors and their respective successors and assigns. An Investor may transfer or assign, in whole or from time to time in part, to one or more persons its rights hereunder in connection with the transfer of Registrable Securities by such Investor to such person, provided that such Investor complies with all laws applicable thereto and provides written notice of assignment to the Company promptly after such assignment is effected and agrees in writing to be bound by the terms hereof.</w:t>
      </w:r>
    </w:p>
    <w:p>
      <w:pPr>
        <w:spacing w:after="0" w:line="188" w:lineRule="exact"/>
        <w:rPr>
          <w:rFonts w:ascii="Arial" w:cs="Arial" w:eastAsia="Arial" w:hAnsi="Arial"/>
          <w:sz w:val="18"/>
          <w:szCs w:val="18"/>
          <w:color w:val="auto"/>
        </w:rPr>
      </w:pPr>
    </w:p>
    <w:p>
      <w:pPr>
        <w:jc w:val="both"/>
        <w:ind w:left="-20" w:firstLine="1305"/>
        <w:spacing w:after="0" w:line="255" w:lineRule="auto"/>
        <w:tabs>
          <w:tab w:leader="none" w:pos="181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Assignments and Transfers by the Company</w:t>
      </w:r>
      <w:r>
        <w:rPr>
          <w:rFonts w:ascii="Arial" w:cs="Arial" w:eastAsia="Arial" w:hAnsi="Arial"/>
          <w:sz w:val="18"/>
          <w:szCs w:val="18"/>
          <w:color w:val="auto"/>
        </w:rPr>
        <w:t>. This Agreement may not be assigned by the Company (whether by operation of law or otherwise) without the prior written consent of the Required Investors, provided, however, that in the event that the Company is a party to a merger, consolidation, share exchange or similar business combination transaction in which the Common Stock is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Investors in connection with such transaction unless such securities are otherwise freely tradable by the Investors after giving effect to such transaction.</w:t>
      </w:r>
    </w:p>
    <w:p>
      <w:pPr>
        <w:spacing w:after="0" w:line="189" w:lineRule="exact"/>
        <w:rPr>
          <w:rFonts w:ascii="Arial" w:cs="Arial" w:eastAsia="Arial" w:hAnsi="Arial"/>
          <w:sz w:val="18"/>
          <w:szCs w:val="18"/>
          <w:color w:val="auto"/>
        </w:rPr>
      </w:pPr>
    </w:p>
    <w:p>
      <w:pPr>
        <w:jc w:val="both"/>
        <w:ind w:left="-20" w:firstLine="1305"/>
        <w:spacing w:after="0" w:line="259" w:lineRule="auto"/>
        <w:tabs>
          <w:tab w:leader="none" w:pos="1953"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Benefits of the Agreement</w:t>
      </w:r>
      <w:r>
        <w:rPr>
          <w:rFonts w:ascii="Arial" w:cs="Arial" w:eastAsia="Arial" w:hAnsi="Arial"/>
          <w:sz w:val="18"/>
          <w:szCs w:val="18"/>
          <w:color w:val="auto"/>
        </w:rPr>
        <w: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86" w:lineRule="exact"/>
        <w:rPr>
          <w:rFonts w:ascii="Arial" w:cs="Arial" w:eastAsia="Arial" w:hAnsi="Arial"/>
          <w:sz w:val="18"/>
          <w:szCs w:val="18"/>
          <w:color w:val="auto"/>
        </w:rPr>
      </w:pPr>
    </w:p>
    <w:p>
      <w:pPr>
        <w:jc w:val="both"/>
        <w:ind w:left="-20" w:firstLine="1305"/>
        <w:spacing w:after="0" w:line="276" w:lineRule="auto"/>
        <w:tabs>
          <w:tab w:leader="none" w:pos="182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Counterparts; Delivery</w:t>
      </w:r>
      <w:r>
        <w:rPr>
          <w:rFonts w:ascii="Arial" w:cs="Arial" w:eastAsia="Arial" w:hAnsi="Arial"/>
          <w:sz w:val="17"/>
          <w:szCs w:val="17"/>
          <w:color w:val="auto"/>
        </w:rPr>
        <w:t xml:space="preserve">. This Agreement may be executed in two or more counterparts, each of which shall be deemed an original, but all of which together shall constitute one and the same instrument. A digital reproduction, portable document format (“.pdf”) or other reproduction of this Agreement may be executed by one or more parties hereto and delivered by such party by electronic signature (including signature via </w:t>
      </w:r>
      <w:r>
        <w:rPr>
          <w:rFonts w:ascii="Arial" w:cs="Arial" w:eastAsia="Arial" w:hAnsi="Arial"/>
          <w:sz w:val="17"/>
          <w:szCs w:val="17"/>
          <w:i w:val="1"/>
          <w:iCs w:val="1"/>
          <w:color w:val="auto"/>
        </w:rPr>
        <w:t>DocuSign</w:t>
      </w:r>
      <w:r>
        <w:rPr>
          <w:rFonts w:ascii="Arial" w:cs="Arial" w:eastAsia="Arial" w:hAnsi="Arial"/>
          <w:sz w:val="17"/>
          <w:szCs w:val="17"/>
          <w:color w:val="auto"/>
        </w:rPr>
        <w:t xml:space="preserve"> or similar services), electronic mail or any similar electronic transmission device pursuant to which the signature of or on behalf of such party can be seen. Such execution and delivery shall be considered valid, binding and effective for all purposes.</w:t>
      </w:r>
    </w:p>
    <w:p>
      <w:pPr>
        <w:spacing w:after="0" w:line="172" w:lineRule="exact"/>
        <w:rPr>
          <w:rFonts w:ascii="Arial" w:cs="Arial" w:eastAsia="Arial" w:hAnsi="Arial"/>
          <w:sz w:val="17"/>
          <w:szCs w:val="17"/>
          <w:color w:val="auto"/>
        </w:rPr>
      </w:pPr>
    </w:p>
    <w:p>
      <w:pPr>
        <w:ind w:left="-20" w:firstLine="1305"/>
        <w:spacing w:after="0" w:line="277" w:lineRule="auto"/>
        <w:tabs>
          <w:tab w:leader="none" w:pos="186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rFonts w:ascii="Arial" w:cs="Arial" w:eastAsia="Arial" w:hAnsi="Arial"/>
          <w:sz w:val="18"/>
          <w:szCs w:val="18"/>
          <w:color w:val="auto"/>
        </w:rPr>
      </w:pPr>
    </w:p>
    <w:p>
      <w:pPr>
        <w:jc w:val="both"/>
        <w:ind w:left="-20" w:firstLine="1305"/>
        <w:spacing w:after="0" w:line="276" w:lineRule="auto"/>
        <w:tabs>
          <w:tab w:leader="none" w:pos="1815"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but shall be interpreted as if it were written so as to be enforceable to the maximum extent permitted by applicable law, and any such prohibition or unenforceability in any jurisdiction shall not invalidate or render unenforceable such provision in any other jurisdiction. To the extent permitted by applicable law, the parties hereby waive any provision of law which renders any provisions hereof prohibited or unenforceable in any respect.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665" w:right="239" w:bottom="1440" w:gutter="0" w:footer="0" w:header="0"/>
        </w:sectPr>
      </w:pPr>
    </w:p>
    <w:bookmarkStart w:id="52" w:name="page53"/>
    <w:bookmarkEnd w:id="52"/>
    <w:p>
      <w:pPr>
        <w:ind w:firstLine="1305"/>
        <w:spacing w:after="0" w:line="342" w:lineRule="auto"/>
        <w:tabs>
          <w:tab w:leader="none" w:pos="182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The parties shall execute and deliver all such further instruments and documents and take all such other actions as may reasonably be required to carry out the transactions contemplated hereby and to evidence the fulfillment of the agreements herein contained.</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1822"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181" w:lineRule="exact"/>
        <w:rPr>
          <w:rFonts w:ascii="Arial" w:cs="Arial" w:eastAsia="Arial" w:hAnsi="Arial"/>
          <w:sz w:val="18"/>
          <w:szCs w:val="18"/>
          <w:color w:val="auto"/>
        </w:rPr>
      </w:pPr>
    </w:p>
    <w:p>
      <w:pPr>
        <w:jc w:val="both"/>
        <w:ind w:firstLine="1305"/>
        <w:spacing w:after="0" w:line="283" w:lineRule="auto"/>
        <w:tabs>
          <w:tab w:leader="none" w:pos="187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xml:space="preserve">. This Agreement shall be governed by, and construed in accordance with, the internal laws of the State of New York without regard to the choice of law principles thereof. Each of the parties hereto irrevocably submits to the exclusive jurisdiction of the courts of the State of New York located in New York County and the United States District Court for the Southern District for the purpose of any suit, action, proceeding or judgment relating to or arising out of this Agreement and the transactions contemplated hereby. Service of process in connection with any such suit, action or proceeding may be served on each party hereto anywhere in the world by the same methods as are specified for the giving of notices under this Agreement. Each of the parties hereto irrevocably consents to the jurisdiction of any such court in any such suit, action or proceeding and to the laying of venue in such court. Each party hereto irrevocably waives any objection to the laying of venue of any such suit, action or proceeding brought in such courts and irrevocably waives any claim that any such suit, action or proceeding brought in any such court has been brought in an inconvenient forum. </w:t>
      </w:r>
      <w:r>
        <w:rPr>
          <w:rFonts w:ascii="Arial" w:cs="Arial" w:eastAsia="Arial" w:hAnsi="Arial"/>
          <w:sz w:val="16"/>
          <w:szCs w:val="16"/>
          <w:b w:val="1"/>
          <w:bCs w:val="1"/>
          <w:color w:val="auto"/>
        </w:rPr>
        <w:t>EACH OF THE PARTIES HERETO WAIVES ANY RIGHT TO REQUEST A TRIAL BY JURY IN ANY LITIGATION WITH</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RESPECT TO THIS AGREEMENT AND REPRESENTS THAT COUNSEL HAS BEEN CONSULTED SPECIFICALLY AS TO THIS WAIVER.</w:t>
      </w:r>
    </w:p>
    <w:p>
      <w:pPr>
        <w:spacing w:after="0" w:line="21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IN WITNESS WHEREOF, the parties have executed this Agreement or caused their duly authorized officers to execute this Agreement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IN WITNESS WHEREOF, the parties have executed this Registration Rights Agreement as of the date first written above.</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292100</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of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289560</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Signature of Investor or by Authorized Person executing for Investor</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6350</wp:posOffset>
            </wp:positionV>
            <wp:extent cx="27527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4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2588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(Printed Name of Authorized Person and Title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 Person executing for Investor)</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[EXECUTED SIGNATURE PAGES OF OTHER INVESTORS OMITTED]</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020"/>
          </w:cols>
          <w:pgMar w:left="900" w:top="665" w:right="979" w:bottom="1440" w:gutter="0" w:footer="0" w:header="0"/>
        </w:sectPr>
      </w:pPr>
    </w:p>
    <w:bookmarkStart w:id="54" w:name="page55"/>
    <w:bookmarkEnd w:id="54"/>
    <w:p>
      <w:pPr>
        <w:ind w:left="10720"/>
        <w:spacing w:after="0"/>
        <w:rPr>
          <w:sz w:val="20"/>
          <w:szCs w:val="20"/>
          <w:color w:val="auto"/>
        </w:rPr>
      </w:pPr>
      <w:r>
        <w:rPr>
          <w:rFonts w:ascii="Arial" w:cs="Arial" w:eastAsia="Arial" w:hAnsi="Arial"/>
          <w:sz w:val="17"/>
          <w:szCs w:val="17"/>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firstLine="656"/>
        <w:spacing w:after="0" w:line="277" w:lineRule="auto"/>
        <w:tabs>
          <w:tab w:leader="none" w:pos="766" w:val="left"/>
        </w:tabs>
        <w:numPr>
          <w:ilvl w:val="0"/>
          <w:numId w:val="32"/>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both"/>
        <w:ind w:firstLine="648"/>
        <w:spacing w:after="0" w:line="255"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both"/>
        <w:ind w:firstLine="648"/>
        <w:spacing w:after="0" w:line="257"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agreed with the selling stockholders to keep the registration statement of which this prospectus constitutes a part effective until the earlier of</w:t>
      </w:r>
    </w:p>
    <w:p>
      <w:pPr>
        <w:spacing w:after="0" w:line="46" w:lineRule="exact"/>
        <w:rPr>
          <w:sz w:val="20"/>
          <w:szCs w:val="20"/>
          <w:color w:val="auto"/>
        </w:rPr>
      </w:pPr>
    </w:p>
    <w:p>
      <w:pPr>
        <w:ind w:firstLine="8"/>
        <w:spacing w:after="0" w:line="261"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time as all of the shares covered by this prospectus have been disposed of pursuant to and in accordance with the registration statement or (2) the date on which the shares may be sold without restriction pursuant to Rule 144 of the Securities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ind w:left="10280"/>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NEITHER THE SECURITIES REPRESENTED BY THIS CERTIFICATE NOR THE SECURITIES INTO WHICH THESE SECURITIES ARE EXERCISABLE HAVE BEEN REGISTERED UNDER THE U.S. SECURITIES ACT OF 1933, AS AMENDED, OR THE SECURITIES LAWS OF ANY STATE AND ARE “RESTRICTED SECURITIES” AS THAT TERM IS DEFINED IN RULE 144 UNDER THE SECURITIES ACT. SUCH SECURITIES MAY NOT BE OFFERED FOR SALE, SOLD, OR OTHERWISE TRANSFERRED EXCEPT PURSUANT TO AN EFFECTIVE REGISTRATION STATEMENT UNDER THE SECURITIES ACT AND THE APPLICABLE STATE SECURITIES LAWS OR PURSUANT TO AN EXEMPTION FROM REGISTRATION THEREUNDER, THE AVAILABILITY OF WHICH IS TO BE ESTABLISHED TO THE REASONABLE SATISFACTION OF COUNSEL TO THE ISSUER.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ectPr>
          <w:pgSz w:w="11900" w:h="16838" w:orient="portrait"/>
          <w:cols w:equalWidth="0" w:num="1">
            <w:col w:w="11420"/>
          </w:cols>
          <w:pgMar w:left="240" w:top="337"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No. 2016-__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Dated: December ___, 2016</w:t>
      </w:r>
    </w:p>
    <w:p>
      <w:pPr>
        <w:spacing w:after="0" w:line="200" w:lineRule="exact"/>
        <w:rPr>
          <w:sz w:val="20"/>
          <w:szCs w:val="20"/>
          <w:color w:val="auto"/>
        </w:rPr>
      </w:pPr>
    </w:p>
    <w:p>
      <w:pPr>
        <w:sectPr>
          <w:pgSz w:w="11900" w:h="16838" w:orient="portrait"/>
          <w:cols w:equalWidth="0" w:num="2">
            <w:col w:w="8680" w:space="720"/>
            <w:col w:w="2020"/>
          </w:cols>
          <w:pgMar w:left="240" w:top="337" w:right="239" w:bottom="1440" w:gutter="0" w:footer="0" w:header="0"/>
          <w:type w:val="continuous"/>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Imprimis Pharmaceuticals,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hereby certifies that, for value received, </w:t>
      </w:r>
      <w:r>
        <w:rPr>
          <w:rFonts w:ascii="Arial" w:cs="Arial" w:eastAsia="Arial" w:hAnsi="Arial"/>
          <w:sz w:val="17"/>
          <w:szCs w:val="17"/>
          <w:b w:val="1"/>
          <w:bCs w:val="1"/>
          <w:color w:val="auto"/>
        </w:rPr>
        <w:t>[________]</w:t>
      </w:r>
      <w:r>
        <w:rPr>
          <w:rFonts w:ascii="Arial" w:cs="Arial" w:eastAsia="Arial" w:hAnsi="Arial"/>
          <w:sz w:val="17"/>
          <w:szCs w:val="17"/>
          <w:color w:val="auto"/>
        </w:rPr>
        <w:t>, or his, her or its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registered assigns (the “</w:t>
      </w:r>
      <w:r>
        <w:rPr>
          <w:rFonts w:ascii="Arial" w:cs="Arial" w:eastAsia="Arial" w:hAnsi="Arial"/>
          <w:sz w:val="16"/>
          <w:szCs w:val="16"/>
          <w:b w:val="1"/>
          <w:bCs w:val="1"/>
          <w:color w:val="auto"/>
        </w:rPr>
        <w:t>Holder</w:t>
      </w:r>
      <w:r>
        <w:rPr>
          <w:rFonts w:ascii="Arial" w:cs="Arial" w:eastAsia="Arial" w:hAnsi="Arial"/>
          <w:sz w:val="16"/>
          <w:szCs w:val="16"/>
          <w:color w:val="auto"/>
        </w:rPr>
        <w:t xml:space="preserve">”), is entitled to purchase from the Company up to a total of </w:t>
      </w:r>
      <w:r>
        <w:rPr>
          <w:rFonts w:ascii="Arial" w:cs="Arial" w:eastAsia="Arial" w:hAnsi="Arial"/>
          <w:sz w:val="16"/>
          <w:szCs w:val="16"/>
          <w:b w:val="1"/>
          <w:bCs w:val="1"/>
          <w:color w:val="auto"/>
        </w:rPr>
        <w:t>[________]</w:t>
      </w:r>
      <w:r>
        <w:rPr>
          <w:rFonts w:ascii="Arial" w:cs="Arial" w:eastAsia="Arial" w:hAnsi="Arial"/>
          <w:sz w:val="16"/>
          <w:szCs w:val="16"/>
          <w:color w:val="auto"/>
        </w:rPr>
        <w:t xml:space="preserve"> shares of common stock, $0.001 par value per share</w:t>
      </w:r>
    </w:p>
    <w:p>
      <w:pPr>
        <w:spacing w:after="0" w:line="3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Common Stock</w:t>
      </w:r>
      <w:r>
        <w:rPr>
          <w:rFonts w:ascii="Arial" w:cs="Arial" w:eastAsia="Arial" w:hAnsi="Arial"/>
          <w:sz w:val="16"/>
          <w:szCs w:val="16"/>
          <w:color w:val="auto"/>
        </w:rPr>
        <w:t>”), of the Company (each such share, a “</w:t>
      </w:r>
      <w:r>
        <w:rPr>
          <w:rFonts w:ascii="Arial" w:cs="Arial" w:eastAsia="Arial" w:hAnsi="Arial"/>
          <w:sz w:val="16"/>
          <w:szCs w:val="16"/>
          <w:b w:val="1"/>
          <w:bCs w:val="1"/>
          <w:color w:val="auto"/>
        </w:rPr>
        <w:t>Warrant Share</w:t>
      </w:r>
      <w:r>
        <w:rPr>
          <w:rFonts w:ascii="Arial" w:cs="Arial" w:eastAsia="Arial" w:hAnsi="Arial"/>
          <w:sz w:val="16"/>
          <w:szCs w:val="16"/>
          <w:color w:val="auto"/>
        </w:rPr>
        <w:t>” and all such shares, the “</w:t>
      </w:r>
      <w:r>
        <w:rPr>
          <w:rFonts w:ascii="Arial" w:cs="Arial" w:eastAsia="Arial" w:hAnsi="Arial"/>
          <w:sz w:val="16"/>
          <w:szCs w:val="16"/>
          <w:b w:val="1"/>
          <w:bCs w:val="1"/>
          <w:color w:val="auto"/>
        </w:rPr>
        <w:t>Warrant Shares</w:t>
      </w:r>
      <w:r>
        <w:rPr>
          <w:rFonts w:ascii="Arial" w:cs="Arial" w:eastAsia="Arial" w:hAnsi="Arial"/>
          <w:sz w:val="16"/>
          <w:szCs w:val="16"/>
          <w:color w:val="auto"/>
        </w:rPr>
        <w:t xml:space="preserve">”) at an exercise price equal to $1.79 per share (as adjusted from time to time as provided in </w:t>
      </w:r>
      <w:r>
        <w:rPr>
          <w:rFonts w:ascii="Arial" w:cs="Arial" w:eastAsia="Arial" w:hAnsi="Arial"/>
          <w:sz w:val="16"/>
          <w:szCs w:val="16"/>
          <w:u w:val="single" w:color="auto"/>
          <w:color w:val="auto"/>
        </w:rPr>
        <w:t>Section 9</w:t>
      </w:r>
      <w:r>
        <w:rPr>
          <w:rFonts w:ascii="Arial" w:cs="Arial" w:eastAsia="Arial" w:hAnsi="Arial"/>
          <w:sz w:val="16"/>
          <w:szCs w:val="16"/>
          <w:color w:val="auto"/>
        </w:rPr>
        <w:t>, the “</w:t>
      </w:r>
      <w:r>
        <w:rPr>
          <w:rFonts w:ascii="Arial" w:cs="Arial" w:eastAsia="Arial" w:hAnsi="Arial"/>
          <w:sz w:val="16"/>
          <w:szCs w:val="16"/>
          <w:b w:val="1"/>
          <w:bCs w:val="1"/>
          <w:color w:val="auto"/>
        </w:rPr>
        <w:t>Exercise Price</w:t>
      </w:r>
      <w:r>
        <w:rPr>
          <w:rFonts w:ascii="Arial" w:cs="Arial" w:eastAsia="Arial" w:hAnsi="Arial"/>
          <w:sz w:val="16"/>
          <w:szCs w:val="16"/>
          <w:color w:val="auto"/>
        </w:rPr>
        <w:t>”), at any time from June ___, 2017 and through and including December ___, 2019 (the “</w:t>
      </w:r>
      <w:r>
        <w:rPr>
          <w:rFonts w:ascii="Arial" w:cs="Arial" w:eastAsia="Arial" w:hAnsi="Arial"/>
          <w:sz w:val="16"/>
          <w:szCs w:val="16"/>
          <w:b w:val="1"/>
          <w:bCs w:val="1"/>
          <w:color w:val="auto"/>
        </w:rPr>
        <w:t>Expiration Date</w:t>
      </w:r>
      <w:r>
        <w:rPr>
          <w:rFonts w:ascii="Arial" w:cs="Arial" w:eastAsia="Arial" w:hAnsi="Arial"/>
          <w:sz w:val="16"/>
          <w:szCs w:val="16"/>
          <w:color w:val="auto"/>
        </w:rPr>
        <w:t>”), and subject to the following terms and conditions. This Common Stock Purchase Warrant (this “</w:t>
      </w:r>
      <w:r>
        <w:rPr>
          <w:rFonts w:ascii="Arial" w:cs="Arial" w:eastAsia="Arial" w:hAnsi="Arial"/>
          <w:sz w:val="16"/>
          <w:szCs w:val="16"/>
          <w:b w:val="1"/>
          <w:bCs w:val="1"/>
          <w:color w:val="auto"/>
        </w:rPr>
        <w:t>Warrant</w:t>
      </w:r>
      <w:r>
        <w:rPr>
          <w:rFonts w:ascii="Arial" w:cs="Arial" w:eastAsia="Arial" w:hAnsi="Arial"/>
          <w:sz w:val="16"/>
          <w:szCs w:val="16"/>
          <w:color w:val="auto"/>
        </w:rPr>
        <w:t>”) is one of a series of similar warrants (collectively, the “</w:t>
      </w:r>
      <w:r>
        <w:rPr>
          <w:rFonts w:ascii="Arial" w:cs="Arial" w:eastAsia="Arial" w:hAnsi="Arial"/>
          <w:sz w:val="16"/>
          <w:szCs w:val="16"/>
          <w:b w:val="1"/>
          <w:bCs w:val="1"/>
          <w:color w:val="auto"/>
        </w:rPr>
        <w:t>Warrants</w:t>
      </w:r>
      <w:r>
        <w:rPr>
          <w:rFonts w:ascii="Arial" w:cs="Arial" w:eastAsia="Arial" w:hAnsi="Arial"/>
          <w:sz w:val="16"/>
          <w:szCs w:val="16"/>
          <w:color w:val="auto"/>
        </w:rPr>
        <w:t>”) forming a part of those Units issued pursuant to that certain Securities Purchase Agreement, dated as of the date hereof, by and among the Company and the Buyers identified therein (the “</w:t>
      </w:r>
      <w:r>
        <w:rPr>
          <w:rFonts w:ascii="Arial" w:cs="Arial" w:eastAsia="Arial" w:hAnsi="Arial"/>
          <w:sz w:val="16"/>
          <w:szCs w:val="16"/>
          <w:b w:val="1"/>
          <w:bCs w:val="1"/>
          <w:color w:val="auto"/>
        </w:rPr>
        <w:t>Securities Purchase Agreement</w:t>
      </w:r>
      <w:r>
        <w:rPr>
          <w:rFonts w:ascii="Arial" w:cs="Arial" w:eastAsia="Arial" w:hAnsi="Arial"/>
          <w:sz w:val="16"/>
          <w:szCs w:val="16"/>
          <w:color w:val="auto"/>
        </w:rPr>
        <w:t>”).</w:t>
      </w:r>
    </w:p>
    <w:p>
      <w:pPr>
        <w:spacing w:after="0" w:line="163" w:lineRule="exact"/>
        <w:rPr>
          <w:sz w:val="20"/>
          <w:szCs w:val="20"/>
          <w:color w:val="auto"/>
        </w:rPr>
      </w:pPr>
    </w:p>
    <w:p>
      <w:pPr>
        <w:ind w:right="20" w:firstLine="656"/>
        <w:spacing w:after="0" w:line="277" w:lineRule="auto"/>
        <w:tabs>
          <w:tab w:leader="none" w:pos="12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Warrant, capitalized terms that are not otherwise defined herein have the meanings given to such terms in the Securities Purchase Agreement.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24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Registration of Warrant</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b w:val="1"/>
          <w:bCs w:val="1"/>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098"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Registration of Transfers</w:t>
      </w:r>
      <w:r>
        <w:rPr>
          <w:rFonts w:ascii="Arial" w:cs="Arial" w:eastAsia="Arial" w:hAnsi="Arial"/>
          <w:sz w:val="17"/>
          <w:szCs w:val="17"/>
          <w:color w:val="auto"/>
        </w:rPr>
        <w:t xml:space="preserve">. The Company shall register the transfer of any portion of this Warrant in the Warrant Register, upon surrender of this Warrant, with the Form of Assignment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duly completed and signed, to the transfer agent or to the Company at its address specified herein. Upon any such registration or transfer, a new warrant to purchase Common Stock, in substantially the form of this Warrant (any such new warrant, a “</w:t>
      </w:r>
      <w:r>
        <w:rPr>
          <w:rFonts w:ascii="Arial" w:cs="Arial" w:eastAsia="Arial" w:hAnsi="Arial"/>
          <w:sz w:val="17"/>
          <w:szCs w:val="17"/>
          <w:b w:val="1"/>
          <w:bCs w:val="1"/>
          <w:color w:val="auto"/>
        </w:rPr>
        <w:t>New Warrant</w:t>
      </w:r>
      <w:r>
        <w:rPr>
          <w:rFonts w:ascii="Arial" w:cs="Arial" w:eastAsia="Arial" w:hAnsi="Arial"/>
          <w:sz w:val="17"/>
          <w:szCs w:val="17"/>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of a holder of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9" w:name="page60"/>
    <w:bookmarkEnd w:id="59"/>
    <w:p>
      <w:pPr>
        <w:ind w:left="1100" w:hanging="444"/>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Exercise and Duration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185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This Warrant shall be exercisable by the registered Holder at any time and from time to time on or after June ___, 2017 up to and including the Expiration Date. At 5:00 p.m., New York City time on the Expiration Date, the portion of this Warrant not exercised prior thereto shall be and become void and of no value.</w:t>
      </w:r>
    </w:p>
    <w:p>
      <w:pPr>
        <w:spacing w:after="0" w:line="181" w:lineRule="exact"/>
        <w:rPr>
          <w:rFonts w:ascii="Arial" w:cs="Arial" w:eastAsia="Arial" w:hAnsi="Arial"/>
          <w:sz w:val="18"/>
          <w:szCs w:val="18"/>
          <w:color w:val="auto"/>
        </w:rPr>
      </w:pPr>
    </w:p>
    <w:p>
      <w:pPr>
        <w:jc w:val="both"/>
        <w:ind w:firstLine="1305"/>
        <w:spacing w:after="0" w:line="273" w:lineRule="auto"/>
        <w:tabs>
          <w:tab w:leader="none" w:pos="1943"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Exercise Notice</w:t>
      </w:r>
      <w:r>
        <w:rPr>
          <w:rFonts w:ascii="Arial" w:cs="Arial" w:eastAsia="Arial" w:hAnsi="Arial"/>
          <w:sz w:val="17"/>
          <w:szCs w:val="17"/>
          <w:color w:val="auto"/>
        </w:rPr>
        <w:t xml:space="preserve">. A Holder may exercise this Warrant by delivering to the Company (i) an exercise notice, in the form attached hereto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(the “</w:t>
      </w:r>
      <w:r>
        <w:rPr>
          <w:rFonts w:ascii="Arial" w:cs="Arial" w:eastAsia="Arial" w:hAnsi="Arial"/>
          <w:sz w:val="17"/>
          <w:szCs w:val="17"/>
          <w:b w:val="1"/>
          <w:bCs w:val="1"/>
          <w:color w:val="auto"/>
        </w:rPr>
        <w:t>Exercise Notice</w:t>
      </w:r>
      <w:r>
        <w:rPr>
          <w:rFonts w:ascii="Arial" w:cs="Arial" w:eastAsia="Arial" w:hAnsi="Arial"/>
          <w:sz w:val="17"/>
          <w:szCs w:val="17"/>
          <w:color w:val="auto"/>
        </w:rPr>
        <w:t xml:space="preserve">”), appropriately completed and duly signed, and (ii) payment of the Exercise Price for the number of Warrant Shares as to which this Warrant is being exercised (which may take the form of a “cashless exercise” if so indicated in the Exercise Notice only if a “cashless exercise” may occur at such time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below), and the date such items are delivered to the Company (as determined in accordance with the notice provisions hereof) is an “</w:t>
      </w:r>
      <w:r>
        <w:rPr>
          <w:rFonts w:ascii="Arial" w:cs="Arial" w:eastAsia="Arial" w:hAnsi="Arial"/>
          <w:sz w:val="17"/>
          <w:szCs w:val="17"/>
          <w:b w:val="1"/>
          <w:bCs w:val="1"/>
          <w:color w:val="auto"/>
        </w:rPr>
        <w:t>Exercise Date</w:t>
      </w:r>
      <w:r>
        <w:rPr>
          <w:rFonts w:ascii="Arial" w:cs="Arial" w:eastAsia="Arial" w:hAnsi="Arial"/>
          <w:sz w:val="17"/>
          <w:szCs w:val="17"/>
          <w:color w:val="auto"/>
        </w:rPr>
        <w:t>.” Execution and delivery of the Exercise Notice shall have the same effect as cancellation of the original Warrant and issuance of a New Warrant evidencing the right to purchase the remaining number of Warrant Shares.</w:t>
      </w:r>
    </w:p>
    <w:p>
      <w:pPr>
        <w:spacing w:after="0" w:line="178" w:lineRule="exact"/>
        <w:rPr>
          <w:rFonts w:ascii="Arial" w:cs="Arial" w:eastAsia="Arial" w:hAnsi="Arial"/>
          <w:sz w:val="17"/>
          <w:szCs w:val="17"/>
          <w:color w:val="auto"/>
        </w:rPr>
      </w:pPr>
    </w:p>
    <w:p>
      <w:pPr>
        <w:jc w:val="both"/>
        <w:ind w:firstLine="1305"/>
        <w:spacing w:after="0" w:line="269" w:lineRule="auto"/>
        <w:tabs>
          <w:tab w:leader="none" w:pos="1852"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Insufficient Authorized Shares</w:t>
      </w:r>
      <w:r>
        <w:rPr>
          <w:rFonts w:ascii="Arial" w:cs="Arial" w:eastAsia="Arial" w:hAnsi="Arial"/>
          <w:sz w:val="17"/>
          <w:szCs w:val="17"/>
          <w:color w:val="auto"/>
        </w:rPr>
        <w:t>. If at any time while this Warrant is outstanding, the Company does not have a sufficient number of authorized and unreserved shares of Common Stock to satisfy its obligation to reserve for issuance upon exercise of this Warrant and Warrants of like tenor at least a number of shares of Common Stock equal to 100%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of the number of shares of Common Stock as shall from time to time be necessary to effect the exercise of all of the Warrants of like tenor then outstanding (an “</w:t>
      </w:r>
      <w:r>
        <w:rPr>
          <w:rFonts w:ascii="Arial" w:cs="Arial" w:eastAsia="Arial" w:hAnsi="Arial"/>
          <w:sz w:val="17"/>
          <w:szCs w:val="17"/>
          <w:b w:val="1"/>
          <w:bCs w:val="1"/>
          <w:color w:val="auto"/>
        </w:rPr>
        <w:t>Authorized Share Failure</w:t>
      </w:r>
      <w:r>
        <w:rPr>
          <w:rFonts w:ascii="Arial" w:cs="Arial" w:eastAsia="Arial" w:hAnsi="Arial"/>
          <w:sz w:val="17"/>
          <w:szCs w:val="17"/>
          <w:color w:val="auto"/>
        </w:rPr>
        <w:t>”), then the Company shall promptly take all action reasonably necessary to increase the Company’s authorized shares of Common Stock to an amount sufficient to allow the Company to reserve the Required Reserve Amount for the Warrants of like tenor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use its best efforts to cause its Board of Directors to recommend to the stockholders that they approve such proposal.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ind w:firstLine="1305"/>
        <w:spacing w:after="0" w:line="283" w:lineRule="auto"/>
        <w:tabs>
          <w:tab w:leader="none" w:pos="1848"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Limitations on Exercises; Beneficial Ownership</w:t>
      </w:r>
      <w:r>
        <w:rPr>
          <w:rFonts w:ascii="Arial" w:cs="Arial" w:eastAsia="Arial" w:hAnsi="Arial"/>
          <w:sz w:val="16"/>
          <w:szCs w:val="16"/>
          <w:color w:val="auto"/>
        </w:rPr>
        <w:t>. The Holder shall not have the right to exercise this Warrant, to the extent that after giving effect to such exercise, such Holder (together with such Holder’s affiliates) would beneficially own in excess of 9.99%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shares of Common Stock outstanding immediately after giving effect to such exercise. For purposes of the foregoing sentence, the aggregate number of shares of Common Stock beneficially owned by such Holder and its affiliates shall include the number of shares of Common Stock issuable upon exercise of this Warrant with respect to which the determination of such sentence is being made, but shall exclude shares of Common Stock which would be issuable upon (i) exercise of the remaining, unexercised portion of this Warrant beneficially owned by such Holder and its affiliates and (ii) exercise or conversion of the unexercised or unconverted portion of any other securities of the Company beneficially owned by such Holder and its affiliates (including, without limitation, any convertible notes or convertible preferred stock or warrants), that are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For purposes of this Warrant, in determining the number of outstanding shares of Common Stock, the Holder may rely on the number of outstanding shares of Common Stock as reflected in (1) the Company’s most recent SEC Reports or other public filing with the Securities and Exchange Commission, as the case may be, (2) a more recent public announcement by the Company or</w:t>
      </w:r>
    </w:p>
    <w:p>
      <w:pPr>
        <w:spacing w:after="0" w:line="3" w:lineRule="exact"/>
        <w:rPr>
          <w:rFonts w:ascii="Arial" w:cs="Arial" w:eastAsia="Arial" w:hAnsi="Arial"/>
          <w:sz w:val="16"/>
          <w:szCs w:val="16"/>
          <w:color w:val="auto"/>
        </w:rPr>
      </w:pPr>
    </w:p>
    <w:p>
      <w:pPr>
        <w:jc w:val="both"/>
        <w:ind w:firstLine="8"/>
        <w:spacing w:after="0" w:line="285" w:lineRule="auto"/>
        <w:tabs>
          <w:tab w:leader="none" w:pos="258"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other notice by the Company or the transfer agent setting forth the number of shares of Common Stock outstanding. For any reason at any time, upon the written or oral request of the Holder, the Company shall within two Business Days confirm to the Holder the number of shares of Common Stock then outstanding. In any case, the number of outstanding shares of Common Stock shall be determined after giving effect to the conversion or exercise of securities of the Company, including the Warrants, by the Holder and its affiliates since the date as of which such number of outstanding shares of Common Stock was reported. By written notice to the Company, any Holder may increase or decrease the Maximum Percentage to any other percentage not in excess of 19.99% specified in such notice; provided that (i) any such increase will not be effective until the 61st day after such notice is delivered to the Company, and (ii) any such increase or decrease will apply only to the Holder sending such notice and not to any other holder of Warrants. In addition, by written notice to the Company, any Holder may remove the limitations on exercises provided in this Section 4(d) entirely; provided that (i) any such removal will not be effective until the 61st day after such notice is delivered to the Company, and (ii) any such removal will apply only to the Holder sending such notice and not to any other holder of Warrants. The provisions of this paragraph shall be construed and implemented in a manner otherwise than in strict conformity with the terms of this Section 4(d)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ind w:left="1100" w:hanging="44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Delivery of Warrant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84" w:lineRule="auto"/>
        <w:tabs>
          <w:tab w:leader="none" w:pos="1983"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The Holder shall not be required to physically surrender this Warrant unless this Warrant is being exercised in full. To effect exercises hereunder, the Holder shall duly execute and deliver to the Company at its address for notice set forth herein, an Exercise Notice in the form of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 along with the Warrant Share Exercise Log in the form of </w:t>
      </w:r>
      <w:r>
        <w:rPr>
          <w:rFonts w:ascii="Arial" w:cs="Arial" w:eastAsia="Arial" w:hAnsi="Arial"/>
          <w:sz w:val="16"/>
          <w:szCs w:val="16"/>
          <w:u w:val="single" w:color="auto"/>
          <w:color w:val="auto"/>
        </w:rPr>
        <w:t>Annex C</w:t>
      </w:r>
      <w:r>
        <w:rPr>
          <w:rFonts w:ascii="Arial" w:cs="Arial" w:eastAsia="Arial" w:hAnsi="Arial"/>
          <w:sz w:val="16"/>
          <w:szCs w:val="16"/>
          <w:color w:val="auto"/>
        </w:rPr>
        <w:t xml:space="preserve"> hereto, and shall pay the Exercise Price, if applicable, multiplied by the number of Warrant Shares that the Holder intends to purchase hereunder. Warrant Shares purchased hereunder shall be transmitted by the transfer agent to the Holder by crediting the account of the Holder’s or its designee’s balance account with The Depository Trust Company through its Deposit or Withdrawal at Custodian system if the transfer agent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otherwise by physical delivery of a certificate, registered in the Company’s share register in the name of the Holder or its designee, for the number of Warrant Shares to which the Holder is entitled pursuant to such exercise to the address specified by the Holder in the Exercise Notice by the date that is three (3) business days after the delivery to the Company of the Exercise Notice. Upon delivery of the Notice of Exercise the Holder shall be deemed for all corporate purposes to have become the holder of record of the Warrant Shares with respect to which this Warrant has been exercised, irrespective of the date of delivery of the Warrant Shares; provided payment of the aggregate Exercise Price, if applicable, is received within three business days of delivery of the Exercise Notice. If by the third business day after exercise of this Warrant, the Company fails to deliver the required number of Warrant Shares, the Holder will have the right to rescind the exercise. If by the third business day after exercise, the Company fails to deliver the required number of Warrant Shares, and if after such third business day and prior to the receipt of such Warrant Shares, the Holder purchases (in an open market transaction or otherwise) shares of Common Stock to deliver in satisfaction of a sale by the Holder of Warrant Shares which the Holder anticipated receiving upon such exercise (a “</w:t>
      </w:r>
      <w:r>
        <w:rPr>
          <w:rFonts w:ascii="Arial" w:cs="Arial" w:eastAsia="Arial" w:hAnsi="Arial"/>
          <w:sz w:val="16"/>
          <w:szCs w:val="16"/>
          <w:b w:val="1"/>
          <w:bCs w:val="1"/>
          <w:color w:val="auto"/>
        </w:rPr>
        <w:t>Buy In</w:t>
      </w:r>
      <w:r>
        <w:rPr>
          <w:rFonts w:ascii="Arial" w:cs="Arial" w:eastAsia="Arial" w:hAnsi="Arial"/>
          <w:sz w:val="16"/>
          <w:szCs w:val="16"/>
          <w:color w:val="auto"/>
        </w:rPr>
        <w:t>”), then the Company shall (i) pay in cash to the Holder the amount by which (x) the Holder’s purchase price for the shares of Common Stock so purchased exceeds (y) the amount obtained by multiplying (A) the number of Warrant Shares that the Company was required to deliver to the Holder in connection with the exercise at issue by (B) the closing bid price of the Common Stock on the exercise date and (ii) at the option of the Company, either reinstate the portion of the Warrant and equivalent number of Warrant Shares for which such exercise was not honored or deliver to the Holder the number of shares of Warrant Shares that would have been issued had the Company timely complied with its exercise and delivery obligations hereunder. The Holder shall provide the Company written notice indicating the amounts payable to the Holder in respect of the Buy In. The Company agrees to maintain a transfer agent that is a participant in the FAST program so long as this Warrant remains outstanding and exercisable.</w:t>
      </w:r>
    </w:p>
    <w:p>
      <w:pPr>
        <w:spacing w:after="0" w:line="178" w:lineRule="exact"/>
        <w:rPr>
          <w:rFonts w:ascii="Arial" w:cs="Arial" w:eastAsia="Arial" w:hAnsi="Arial"/>
          <w:sz w:val="16"/>
          <w:szCs w:val="16"/>
          <w:color w:val="auto"/>
        </w:rPr>
      </w:pPr>
    </w:p>
    <w:p>
      <w:pPr>
        <w:ind w:firstLine="1305"/>
        <w:spacing w:after="0" w:line="342" w:lineRule="auto"/>
        <w:tabs>
          <w:tab w:leader="none" w:pos="1867"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This Warrant may be exercised either in full or in part. Upon surrender of this Warrant following one or more partial exercises, the Company shall issue or cause to be issued, at its expense, a new Warrant evidencing the right to purchase the remaining number of Warrant Shares.</w:t>
      </w:r>
    </w:p>
    <w:p>
      <w:pPr>
        <w:spacing w:after="0" w:line="123" w:lineRule="exact"/>
        <w:rPr>
          <w:rFonts w:ascii="Arial" w:cs="Arial" w:eastAsia="Arial" w:hAnsi="Arial"/>
          <w:sz w:val="16"/>
          <w:szCs w:val="16"/>
          <w:color w:val="auto"/>
        </w:rPr>
      </w:pPr>
    </w:p>
    <w:p>
      <w:pPr>
        <w:jc w:val="both"/>
        <w:ind w:firstLine="1305"/>
        <w:spacing w:after="0" w:line="291" w:lineRule="auto"/>
        <w:tabs>
          <w:tab w:leader="none" w:pos="1838"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Company’s obligations to issue and deliver Warrant Shares in accordance with the terms hereof are absolute and unconditional, irrespective of any action or inaction by the Holder to enforce the same, any waiver or consent with respect to any provision hereof, or any setoff, counterclaim, recoupment, limitation or termination, or any breach or alleged breach by the Holder of any obligation to the Company or any violation or alleged violation of law by the Holder, and irrespective of any other circumstance which might otherwise limit such obligation of the Company to the Holder in connection with the issuance of Warrant Shares.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jc w:val="both"/>
        <w:ind w:firstLine="656"/>
        <w:spacing w:after="0" w:line="255" w:lineRule="auto"/>
        <w:tabs>
          <w:tab w:leader="none" w:pos="1139"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xml:space="preserve">. Initial issuance and delivery of certificates for shares of Common Stock upon exercise of this Warrant shall be made without charge to the Holder for any issue or transfer tax, withholding tax, transfer agent fee or other incidental tax or expense in respect of the issuance of such certificates, all of which taxes and expenses shall be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pay any tax which may be payable in respect of any transfer involved in the registration of any certificates for Warrant Shares or Warrants in a name other than that of the Holder. The Holder shall be responsible for all other tax liability that may arise as a result of holding or transferring this Warrant or receiving Warrant Shares upon exercise hereof.</w:t>
      </w:r>
    </w:p>
    <w:p>
      <w:pPr>
        <w:spacing w:after="0" w:line="193" w:lineRule="exact"/>
        <w:rPr>
          <w:rFonts w:ascii="Arial" w:cs="Arial" w:eastAsia="Arial" w:hAnsi="Arial"/>
          <w:sz w:val="18"/>
          <w:szCs w:val="18"/>
          <w:color w:val="auto"/>
        </w:rPr>
      </w:pPr>
    </w:p>
    <w:p>
      <w:pPr>
        <w:jc w:val="both"/>
        <w:ind w:firstLine="656"/>
        <w:spacing w:after="0" w:line="257" w:lineRule="auto"/>
        <w:tabs>
          <w:tab w:leader="none" w:pos="112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Replacement of Warrant</w:t>
      </w:r>
      <w:r>
        <w:rPr>
          <w:rFonts w:ascii="Arial" w:cs="Arial" w:eastAsia="Arial" w:hAnsi="Arial"/>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and customary and reasonable bond or indemnity, if requested. Applicants for a New Warrant under such circumstances shall also comply with such other reasonable regulations and procedures and pay such other reasonable third-party costs as the Company may prescribe.</w:t>
      </w:r>
    </w:p>
    <w:p>
      <w:pPr>
        <w:spacing w:after="0" w:line="188" w:lineRule="exact"/>
        <w:rPr>
          <w:rFonts w:ascii="Arial" w:cs="Arial" w:eastAsia="Arial" w:hAnsi="Arial"/>
          <w:sz w:val="18"/>
          <w:szCs w:val="18"/>
          <w:color w:val="auto"/>
        </w:rPr>
      </w:pPr>
    </w:p>
    <w:p>
      <w:pPr>
        <w:jc w:val="both"/>
        <w:ind w:firstLine="656"/>
        <w:spacing w:after="0" w:line="253" w:lineRule="auto"/>
        <w:tabs>
          <w:tab w:leader="none" w:pos="127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Reservation of Warrant Shares</w:t>
      </w:r>
      <w:r>
        <w:rPr>
          <w:rFonts w:ascii="Arial" w:cs="Arial" w:eastAsia="Arial" w:hAnsi="Arial"/>
          <w:sz w:val="18"/>
          <w:szCs w:val="18"/>
          <w:color w:val="auto"/>
        </w:rPr>
        <w:t>. The Company covenants that it will at all times reserve and keep available out of the aggregate of its authorized but unissued and otherwise unreserved Common Stock, solely for the purpose of enabling it to issue Warrant Shares upon exercise of this Warrant as herein provided, the number of Warrant Shares that are then issuable and deliverable upon the exercise of this entire Warrant, free from preemptive rights or any other contingent purchase rights of Persons other than the Holder.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will notify its transfer agent for the Common Stock of the reservation of shares of Common Stock as required under this provision.</w:t>
      </w:r>
    </w:p>
    <w:p>
      <w:pPr>
        <w:spacing w:after="0" w:line="197" w:lineRule="exact"/>
        <w:rPr>
          <w:rFonts w:ascii="Arial" w:cs="Arial" w:eastAsia="Arial" w:hAnsi="Arial"/>
          <w:sz w:val="18"/>
          <w:szCs w:val="18"/>
          <w:color w:val="auto"/>
        </w:rPr>
      </w:pPr>
    </w:p>
    <w:p>
      <w:pPr>
        <w:ind w:firstLine="656"/>
        <w:spacing w:after="0" w:line="277" w:lineRule="auto"/>
        <w:tabs>
          <w:tab w:leader="none" w:pos="112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Certain Adjustments</w:t>
      </w:r>
      <w:r>
        <w:rPr>
          <w:rFonts w:ascii="Arial" w:cs="Arial" w:eastAsia="Arial" w:hAnsi="Arial"/>
          <w:sz w:val="18"/>
          <w:szCs w:val="18"/>
          <w:color w:val="auto"/>
        </w:rPr>
        <w:t xml:space="preserve">. The Exercise Price and number of Warrant Shares issuable upon exercise of this Warrant are subject to adjustment from time to time as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jc w:val="both"/>
        <w:ind w:firstLine="1305"/>
        <w:spacing w:after="0" w:line="286" w:lineRule="auto"/>
        <w:tabs>
          <w:tab w:leader="none" w:pos="1856"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Mergers or Consolidations</w:t>
      </w:r>
      <w:r>
        <w:rPr>
          <w:rFonts w:ascii="Arial" w:cs="Arial" w:eastAsia="Arial" w:hAnsi="Arial"/>
          <w:sz w:val="16"/>
          <w:szCs w:val="16"/>
          <w:color w:val="auto"/>
        </w:rPr>
        <w:t>. If after the date hereof there shall be a capital reorganization (other than a combination or subdivision of Common Stock otherwise provided for herein) resulting in a reclassification to or change in the terms of securities issuable upon exercise of this Warrant (a “</w:t>
      </w:r>
      <w:r>
        <w:rPr>
          <w:rFonts w:ascii="Arial" w:cs="Arial" w:eastAsia="Arial" w:hAnsi="Arial"/>
          <w:sz w:val="16"/>
          <w:szCs w:val="16"/>
          <w:b w:val="1"/>
          <w:bCs w:val="1"/>
          <w:color w:val="auto"/>
        </w:rPr>
        <w:t>Reorganization</w:t>
      </w:r>
      <w:r>
        <w:rPr>
          <w:rFonts w:ascii="Arial" w:cs="Arial" w:eastAsia="Arial" w:hAnsi="Arial"/>
          <w:sz w:val="16"/>
          <w:szCs w:val="16"/>
          <w:color w:val="auto"/>
        </w:rPr>
        <w:t>”), or a merger or consolidation of the Company with another Person or Persons (other than a merger with another Person in which the Company is a continuing corporation and which does not result in any reclassification or change in the terms of securities issuable upon exercise of this Warrant or a merger effected exclusively for the purpose of changing the domicile of the Company) (a “</w:t>
      </w:r>
      <w:r>
        <w:rPr>
          <w:rFonts w:ascii="Arial" w:cs="Arial" w:eastAsia="Arial" w:hAnsi="Arial"/>
          <w:sz w:val="16"/>
          <w:szCs w:val="16"/>
          <w:b w:val="1"/>
          <w:bCs w:val="1"/>
          <w:color w:val="auto"/>
        </w:rPr>
        <w:t>Merger</w:t>
      </w:r>
      <w:r>
        <w:rPr>
          <w:rFonts w:ascii="Arial" w:cs="Arial" w:eastAsia="Arial" w:hAnsi="Arial"/>
          <w:sz w:val="16"/>
          <w:szCs w:val="16"/>
          <w:color w:val="auto"/>
        </w:rPr>
        <w:t>”), then, as a part of such Reorganization or Merger, lawful provision and adjustment shall be made so that the Holder shall thereafter be entitled to receive, upon exercise of this Warrant, the number of shares of stock or any other equity or debt securities or property receivable upon such Reorganization or Merger by a holder of the number of shares of Common Stock which might have been purchased upon exercise of this Warrant immediately prior to such Reorganization or Merger. In any such case, appropriate adjustment shall be made in the application of the provisions of this Warrant with respect to the rights and interests of the Holder after the Reorganization or Merger to the end that the provisions of this Warrant (including adjustment of the Exercise Price then in effect and the number of Warrant Shares) shall be applicable after that event, as near as reasonably may be, in relation to any shares of stock, securities, property or other assets thereafter deliverable upon exercise of this Warrant. The Company shall not effect any such Reorganization or Merger unless prior to or simultaneously with the consummation thereof, any successor to the Company, shall assume the obligation to deliver to the Holder, such alternate consideration as, in accordance with the foregoing provisions, the Holder may be entitled to purchase and/or receive (as the case may be), and the other obligations under this Warrant. The provisions of this Section 9(a) shall similarly apply to successive Reorganizations and/or Mergers.</w:t>
      </w:r>
    </w:p>
    <w:p>
      <w:pPr>
        <w:spacing w:after="0" w:line="168" w:lineRule="exact"/>
        <w:rPr>
          <w:rFonts w:ascii="Arial" w:cs="Arial" w:eastAsia="Arial" w:hAnsi="Arial"/>
          <w:sz w:val="16"/>
          <w:szCs w:val="16"/>
          <w:color w:val="auto"/>
        </w:rPr>
      </w:pPr>
    </w:p>
    <w:p>
      <w:pPr>
        <w:jc w:val="both"/>
        <w:ind w:firstLine="1305"/>
        <w:spacing w:after="0" w:line="259" w:lineRule="auto"/>
        <w:tabs>
          <w:tab w:leader="none" w:pos="191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xml:space="preserve"> If after the date hereof, the number of outstanding shares of Common Stock is increased by a stock dividend payable in shares of Common Stock or by a split-up of shares of Common Stock or other similar event, then, on the effective date thereof, the number of shares issuable on exercise of each Warrant shall be increased in proportion to such increase in outstanding shares and the then applicable Exercise Price shall be correspondingly decreased.</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83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the number of outstanding shares of Common Stock is decreased by a consolidation, combination or reclassification of shares of Common Stock or other similar event, then, upon the effective date of such consolidation, combination or reclassification, the number of shares issuable on exercise of each Warrant shall be decreased in proportion to such decrease in outstanding shares and the then applicable Exercise Price shall be correspondingly increased.</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190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Adjustments for Other Distributions</w:t>
      </w:r>
      <w:r>
        <w:rPr>
          <w:rFonts w:ascii="Arial" w:cs="Arial" w:eastAsia="Arial" w:hAnsi="Arial"/>
          <w:sz w:val="18"/>
          <w:szCs w:val="18"/>
          <w:color w:val="auto"/>
        </w:rPr>
        <w:t>. In the event the Company shall declare a distribution payable in securities of other Persons, evidences of indebtedness issued by the Company or other Persons, assets (excluding cash dividends or distributions to the holders of Common Stock paid out of current or retained earnings and declared by the Company’s Board of Directors) or options or rights not referred to in Sections 9(b) or 9(c) then, in each such case for the purpose of this Section 9(d), upon exercise of this Warrant, the Holder shall be entitled to a proportionate share of any such distribution as though the Holder was the actual record holder of the number of Warrant Shares as of the record date fixed for the determination of the holders of Common Stock of the Company entitled to receive such distribution.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both"/>
        <w:ind w:firstLine="1305"/>
        <w:spacing w:after="0" w:line="264" w:lineRule="auto"/>
        <w:tabs>
          <w:tab w:leader="none" w:pos="185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made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1" w:lineRule="exact"/>
        <w:rPr>
          <w:rFonts w:ascii="Arial" w:cs="Arial" w:eastAsia="Arial" w:hAnsi="Arial"/>
          <w:sz w:val="18"/>
          <w:szCs w:val="18"/>
          <w:color w:val="auto"/>
        </w:rPr>
      </w:pPr>
    </w:p>
    <w:p>
      <w:pPr>
        <w:jc w:val="both"/>
        <w:ind w:firstLine="1305"/>
        <w:spacing w:after="0" w:line="276" w:lineRule="auto"/>
        <w:tabs>
          <w:tab w:leader="none" w:pos="179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Notice of Adjustments</w:t>
      </w:r>
      <w:r>
        <w:rPr>
          <w:rFonts w:ascii="Arial" w:cs="Arial" w:eastAsia="Arial" w:hAnsi="Arial"/>
          <w:sz w:val="17"/>
          <w:szCs w:val="17"/>
          <w:color w:val="auto"/>
        </w:rPr>
        <w:t xml:space="preserve">. Upon the occurrence of each adjustment pursuant to this </w:t>
      </w:r>
      <w:r>
        <w:rPr>
          <w:rFonts w:ascii="Arial" w:cs="Arial" w:eastAsia="Arial" w:hAnsi="Arial"/>
          <w:sz w:val="17"/>
          <w:szCs w:val="17"/>
          <w:u w:val="single" w:color="auto"/>
          <w:color w:val="auto"/>
        </w:rPr>
        <w:t>Section 9</w:t>
      </w:r>
      <w:r>
        <w:rPr>
          <w:rFonts w:ascii="Arial" w:cs="Arial" w:eastAsia="Arial" w:hAnsi="Arial"/>
          <w:sz w:val="17"/>
          <w:szCs w:val="17"/>
          <w:color w:val="auto"/>
        </w:rPr>
        <w:t>, the Company at its expense will promptly compute such adjustment in accordance with the terms of this Warrant and prepare a certificate setting forth such adjustment, including a statement of the adjusted Exercise Price and adjusted number or type of Warrant Shares or other securities, cash or property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72" w:lineRule="exact"/>
        <w:rPr>
          <w:rFonts w:ascii="Arial" w:cs="Arial" w:eastAsia="Arial" w:hAnsi="Arial"/>
          <w:sz w:val="17"/>
          <w:szCs w:val="17"/>
          <w:color w:val="auto"/>
        </w:rPr>
      </w:pPr>
    </w:p>
    <w:p>
      <w:pPr>
        <w:jc w:val="both"/>
        <w:ind w:firstLine="656"/>
        <w:spacing w:after="0" w:line="264" w:lineRule="auto"/>
        <w:tabs>
          <w:tab w:leader="none" w:pos="11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The Holder shall pay the Exercise Price in immediately available funds or the Holder may satisfy its obligation to pay the Exercise Price through a “cashless exercise,” in which event the Company shall issue to the Holder the number of Warrant Shares determined as follows:</w:t>
      </w:r>
    </w:p>
    <w:p>
      <w:pPr>
        <w:spacing w:after="0" w:line="18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 = Y [(A-B)/A]</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where: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1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3440"/>
        <w:spacing w:after="0" w:line="277" w:lineRule="auto"/>
        <w:rPr>
          <w:sz w:val="20"/>
          <w:szCs w:val="20"/>
          <w:color w:val="auto"/>
        </w:rPr>
      </w:pPr>
      <w:r>
        <w:rPr>
          <w:rFonts w:ascii="Arial" w:cs="Arial" w:eastAsia="Arial" w:hAnsi="Arial"/>
          <w:sz w:val="18"/>
          <w:szCs w:val="18"/>
          <w:color w:val="auto"/>
        </w:rPr>
        <w:t>A = the average of the Closing Prices for the five trading days immediately prior to (but not including) the Exercise Date.</w:t>
      </w:r>
    </w:p>
    <w:p>
      <w:pPr>
        <w:spacing w:after="0" w:line="17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 = the Exercise Price.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w:t>
      </w:r>
    </w:p>
    <w:p>
      <w:pPr>
        <w:spacing w:after="0" w:line="181" w:lineRule="exact"/>
        <w:rPr>
          <w:sz w:val="20"/>
          <w:szCs w:val="20"/>
          <w:color w:val="auto"/>
        </w:rPr>
      </w:pPr>
    </w:p>
    <w:p>
      <w:pPr>
        <w:jc w:val="both"/>
        <w:ind w:firstLine="1305"/>
        <w:spacing w:after="0" w:line="264" w:lineRule="auto"/>
        <w:tabs>
          <w:tab w:leader="none" w:pos="1825"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The Company shall not be required to issue or cause to be issued fractional Warrant Shares on the exercise of this Warrant. If any fraction of a Warrant Share would, except for the provisions of this Section, be issuable upon exercise of this Warrant, the number of Warrant Shares to be issued will be rounded up to the nearest whole share.</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191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or other communications or deliveries hereunder (including without limitation any Exercise Notice) shall be in writing and shall be deemed given and effective on the earliest of (i) the date of transmission, if such notice or communication is delivered via facsimile at the facsimile number specified in the Securities Purchase Agreement prior to 5:00 p.m. (New York City time) on a business day, (ii) the next business day after the date of transmission, if such notice or communication is delivered via facsimile at the facsimile number specified in the Securities Purchase Agreement on a day that is not a business day or later than 5:00 p.m. (New York City time) on any business day, (iii) the business day following the date of mailing, if sent by nationally recognized overnight courier service or (iv) upon actual receipt by the party to whom such notice is required to be given. The address for such notices or communications shall be as set forth in the Securities Purchase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ind w:left="1180" w:hanging="524"/>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97" w:lineRule="auto"/>
        <w:tabs>
          <w:tab w:leader="none" w:pos="1821"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Subject to the restrictions on transfer set forth herein, this Warrant may be assigned by the Holder. This Warrant may not be assigned by the Company except to a successor in the event of a sale of all or substantially all of the Company’s assets or a merger or acquisition of the Company. This Warrant shall be binding on and inure to the benefit of the parties hereto and their respective successors and assigns. Subject to the preceding sentences, nothing in this Warrant shall be construed to give to any Person other than the Company and the Holder any legal or equitable right, remedy or cause of action under this Warrant. This Warrant may be amended only in writing signed by the Company and the Holder and their successors and assigns.</w:t>
      </w:r>
    </w:p>
    <w:p>
      <w:pPr>
        <w:spacing w:after="0" w:line="158" w:lineRule="exact"/>
        <w:rPr>
          <w:rFonts w:ascii="Arial" w:cs="Arial" w:eastAsia="Arial" w:hAnsi="Arial"/>
          <w:sz w:val="16"/>
          <w:szCs w:val="16"/>
          <w:color w:val="auto"/>
        </w:rPr>
      </w:pPr>
    </w:p>
    <w:p>
      <w:pPr>
        <w:jc w:val="both"/>
        <w:ind w:firstLine="1305"/>
        <w:spacing w:after="0" w:line="291" w:lineRule="auto"/>
        <w:tabs>
          <w:tab w:leader="none" w:pos="1877"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Company will not, by amendment of its governing documents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 as may be reasonably necessary or appropriate in order to protect the rights of the Holder against impairment. Without limiting the generality of the foregoing, the Company (i) will not increase the par value of any Warrant Shares above the amount payable therefor on such exercise, (ii) will take all such action as may be reasonably necessary or appropriate in order that the Company may validly and legally issue fully paid and nonassessable Warrant Shares on the exercise of this Warrant, and (iii) will not close its stockholder books or records in any manner which interferes with the timely exercise of this Warrant.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ind w:firstLine="1305"/>
        <w:spacing w:after="0" w:line="252" w:lineRule="auto"/>
        <w:tabs>
          <w:tab w:leader="none" w:pos="20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 VENUE; WAIVER OF JURY TRIAL</w:t>
      </w:r>
      <w:r>
        <w:rPr>
          <w:rFonts w:ascii="Arial" w:cs="Arial" w:eastAsia="Arial" w:hAnsi="Arial"/>
          <w:sz w:val="18"/>
          <w:szCs w:val="18"/>
          <w:color w:val="auto"/>
        </w:rPr>
        <w:t>. ALL QUESTIONS CONCERNING THE CONSTRUCTION, VALIDITY, ENFORCEMENT AND INTERPRETATION OF THIS WARRANT SHALL BE GOVERNED BY AND CONSTRUED AND ENFORCED IN ACCORDANCE WITH THE LAWS OF THE STATE OF NEW YORK, WITHOUT GIVING REGARD TO ANY APPLICABLE PRINCIPLES OF CONFLICTS OF LAW. EACH PARTY HEREBY IRREVOCABLY SUBMITS TO THE EXCLUSIVE JURISDICTION OF THE STATE AND FEDERAL COURTS SITTING IN THE CITY OF NEW YORK, BOROUGH OF MANHATTAN, FOR THE ADJUDICATION OF ANY DISPUTE HEREUNDER OR IN CONNECTION HEREWITH, AND HEREBY IRREVOCABLY WAIVES, AND AGREES NOT TO ASSERT IN ANY SUIT, ACTION OR PROCEEDING, ANY CLAIM THAT IT IS NOT PERSONALLY SUBJECT TO THE JURISDICTION OF ANY SUCH COURT, THAT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THE COMPANY HEREBY WAIVES ALL RIGHTS TO A TRIAL BY JURY.</w:t>
      </w:r>
    </w:p>
    <w:p>
      <w:pPr>
        <w:spacing w:after="0" w:line="198" w:lineRule="exact"/>
        <w:rPr>
          <w:rFonts w:ascii="Arial" w:cs="Arial" w:eastAsia="Arial" w:hAnsi="Arial"/>
          <w:sz w:val="18"/>
          <w:szCs w:val="18"/>
          <w:color w:val="auto"/>
        </w:rPr>
      </w:pPr>
    </w:p>
    <w:p>
      <w:pPr>
        <w:ind w:left="1860" w:hanging="555"/>
        <w:spacing w:after="0"/>
        <w:tabs>
          <w:tab w:leader="none" w:pos="18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headings herein are for convenience only, do not constitute a part of this Warrant and shall not be deemed to limit or affect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provisions hereof.</w:t>
      </w:r>
    </w:p>
    <w:p>
      <w:pPr>
        <w:spacing w:after="0" w:line="210" w:lineRule="exact"/>
        <w:rPr>
          <w:rFonts w:ascii="Arial" w:cs="Arial" w:eastAsia="Arial" w:hAnsi="Arial"/>
          <w:sz w:val="16"/>
          <w:szCs w:val="16"/>
          <w:color w:val="auto"/>
        </w:rPr>
      </w:pPr>
    </w:p>
    <w:p>
      <w:pPr>
        <w:jc w:val="both"/>
        <w:ind w:firstLine="1305"/>
        <w:spacing w:after="0" w:line="259" w:lineRule="auto"/>
        <w:tabs>
          <w:tab w:leader="none" w:pos="2013"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case any one or more of the provisions of this Warrant shall be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 a commercially reasonable substitute therefor, and upon so agreeing, shall incorporate such substitute provision in this Warrant.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IN WITNESS WHEREOF, the Company has caused this Warrant to be duly executed by its authorized officer as of the date first indicated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-130175</wp:posOffset>
            </wp:positionV>
            <wp:extent cx="32588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426085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0"/>
          </w:cols>
          <w:pgMar w:left="900" w:top="665" w:right="5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FORM OF ASSIGNMENT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be completed and signed only upon transfer of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VALUE RECEIVED, the undersigned hereby sells, assigns and transfers unto ________________________________ the right represented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within Warrant to purchase ____________ shares of Common Stock of Imprimis Pharmaceuticals, Inc. to which the within Warrant relates and appoints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 attorney to transfer said right on the books of Imprimis Pharmaceuticals, Inc. with full power of substitution in the premises.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Dated:________________, </w:t>
      </w:r>
      <w:r>
        <w:rPr>
          <w:rFonts w:ascii="Arial" w:cs="Arial" w:eastAsia="Arial" w:hAnsi="Arial"/>
          <w:sz w:val="18"/>
          <w:szCs w:val="18"/>
          <w:u w:val="single" w:color="auto"/>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160655</wp:posOffset>
            </wp:positionV>
            <wp:extent cx="36188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(Signature must conform in all respects to name of holder as specified on the</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598170</wp:posOffset>
            </wp:positionV>
            <wp:extent cx="36188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297815</wp:posOffset>
            </wp:positionV>
            <wp:extent cx="36188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In the 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6277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EXERCISE NOTICE</w:t>
      </w:r>
    </w:p>
    <w:p>
      <w:pPr>
        <w:spacing w:after="0" w:line="229" w:lineRule="exact"/>
        <w:rPr>
          <w:sz w:val="20"/>
          <w:szCs w:val="20"/>
          <w:color w:val="auto"/>
        </w:rPr>
      </w:pPr>
    </w:p>
    <w:p>
      <w:pPr>
        <w:ind w:right="2880"/>
        <w:spacing w:after="0" w:line="498" w:lineRule="auto"/>
        <w:rPr>
          <w:sz w:val="20"/>
          <w:szCs w:val="20"/>
          <w:color w:val="auto"/>
        </w:rPr>
      </w:pPr>
      <w:r>
        <w:rPr>
          <w:rFonts w:ascii="Arial" w:cs="Arial" w:eastAsia="Arial" w:hAnsi="Arial"/>
          <w:sz w:val="18"/>
          <w:szCs w:val="18"/>
          <w:color w:val="auto"/>
        </w:rPr>
        <w:t>[To be executed by the Holder to exercise the right to purchase shares of Common Stock under the foregoing Warrant] To: IMPRIMIS PHARMACEUTICALS,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is the Holder of Warrant No. _______ (the “</w:t>
      </w:r>
      <w:r>
        <w:rPr>
          <w:rFonts w:ascii="Arial" w:cs="Arial" w:eastAsia="Arial" w:hAnsi="Arial"/>
          <w:sz w:val="18"/>
          <w:szCs w:val="18"/>
          <w:b w:val="1"/>
          <w:bCs w:val="1"/>
          <w:color w:val="auto"/>
        </w:rPr>
        <w:t>Warrant</w:t>
      </w:r>
      <w:r>
        <w:rPr>
          <w:rFonts w:ascii="Arial" w:cs="Arial" w:eastAsia="Arial" w:hAnsi="Arial"/>
          <w:sz w:val="18"/>
          <w:szCs w:val="18"/>
          <w:color w:val="auto"/>
        </w:rPr>
        <w:t>”) issued by Imprimis Pharmaceuticals, Inc., a Delaware corporation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Capitalized terms used herein and not otherwise defined have the respective meanings set forth in the Warrant.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Warrant is currently exercisable to purchase a total of ______________ Warrant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Holder hereby exercises its right to purchase _________________ Warrant Shares pursuant to the Warrant.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 intends that payment of the Exercise Price shall be made as (check one):</w:t>
      </w:r>
    </w:p>
    <w:p>
      <w:pPr>
        <w:spacing w:after="0" w:line="225" w:lineRule="exact"/>
        <w:rPr>
          <w:sz w:val="20"/>
          <w:szCs w:val="20"/>
          <w:color w:val="auto"/>
        </w:rPr>
      </w:pPr>
    </w:p>
    <w:p>
      <w:pPr>
        <w:jc w:val="center"/>
        <w:ind w:left="4200"/>
        <w:spacing w:after="0"/>
        <w:tabs>
          <w:tab w:leader="none" w:pos="200" w:val="left"/>
        </w:tabs>
        <w:rPr>
          <w:sz w:val="20"/>
          <w:szCs w:val="20"/>
          <w:color w:val="auto"/>
        </w:rPr>
      </w:pPr>
      <w:r>
        <w:rPr>
          <w:rFonts w:ascii="Arial" w:cs="Arial" w:eastAsia="Arial" w:hAnsi="Arial"/>
          <w:sz w:val="18"/>
          <w:szCs w:val="18"/>
          <w:color w:val="auto"/>
        </w:rPr>
        <w:t>____</w:t>
        <w:tab/>
        <w:t>“Cash Exercise” under Section 10</w:t>
      </w:r>
    </w:p>
    <w:p>
      <w:pPr>
        <w:spacing w:after="0" w:line="225" w:lineRule="exact"/>
        <w:rPr>
          <w:sz w:val="20"/>
          <w:szCs w:val="20"/>
          <w:color w:val="auto"/>
        </w:rPr>
      </w:pPr>
    </w:p>
    <w:p>
      <w:pPr>
        <w:jc w:val="center"/>
        <w:ind w:left="4060"/>
        <w:spacing w:after="0"/>
        <w:tabs>
          <w:tab w:leader="none" w:pos="200" w:val="left"/>
        </w:tabs>
        <w:rPr>
          <w:sz w:val="20"/>
          <w:szCs w:val="20"/>
          <w:color w:val="auto"/>
        </w:rPr>
      </w:pPr>
      <w:r>
        <w:rPr>
          <w:rFonts w:ascii="Arial" w:cs="Arial" w:eastAsia="Arial" w:hAnsi="Arial"/>
          <w:sz w:val="18"/>
          <w:szCs w:val="18"/>
          <w:color w:val="auto"/>
        </w:rPr>
        <w:t>____</w:t>
        <w:tab/>
        <w:t>“Cashless Exercise” under Section 10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the holder has elected a Cash Exercise, the holder shall pay the sum of $____________ to the Company in accordance with the terms of the Warrant.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Pursuant to this exercise, the Company shall deliver to the holder _______________ Warrant Shares in accordance with the terms of the Warrant.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Following this exercise, the Warrant shall be exercisable to purchase a total of ______________ Warrant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Arial" w:cs="Arial" w:eastAsia="Arial" w:hAnsi="Arial"/>
                <w:sz w:val="18"/>
                <w:szCs w:val="18"/>
                <w:color w:val="auto"/>
              </w:rPr>
              <w:t>Dated: ________________, _____</w:t>
            </w:r>
          </w:p>
        </w:tc>
        <w:tc>
          <w:tcPr>
            <w:tcW w:w="7380" w:type="dxa"/>
            <w:vAlign w:val="bottom"/>
            <w:gridSpan w:val="2"/>
          </w:tcPr>
          <w:p>
            <w:pPr>
              <w:ind w:left="1680"/>
              <w:spacing w:after="0"/>
              <w:rPr>
                <w:sz w:val="20"/>
                <w:szCs w:val="20"/>
                <w:color w:val="auto"/>
              </w:rPr>
            </w:pPr>
            <w:r>
              <w:rPr>
                <w:rFonts w:ascii="Arial" w:cs="Arial" w:eastAsia="Arial" w:hAnsi="Arial"/>
                <w:sz w:val="18"/>
                <w:szCs w:val="18"/>
                <w:color w:val="auto"/>
              </w:rPr>
              <w:t>Name of Holder:</w:t>
            </w:r>
          </w:p>
        </w:tc>
      </w:tr>
      <w:tr>
        <w:trPr>
          <w:trHeight w:val="473"/>
        </w:trPr>
        <w:tc>
          <w:tcPr>
            <w:tcW w:w="20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2240" w:type="dxa"/>
            <w:vAlign w:val="bottom"/>
          </w:tcPr>
          <w:p>
            <w:pPr>
              <w:ind w:left="1680"/>
              <w:spacing w:after="0"/>
              <w:rPr>
                <w:sz w:val="20"/>
                <w:szCs w:val="20"/>
                <w:color w:val="auto"/>
              </w:rPr>
            </w:pPr>
            <w:r>
              <w:rPr>
                <w:rFonts w:ascii="Arial" w:cs="Arial" w:eastAsia="Arial" w:hAnsi="Arial"/>
                <w:sz w:val="18"/>
                <w:szCs w:val="18"/>
                <w:color w:val="auto"/>
              </w:rPr>
              <w:t>(Print)</w:t>
            </w:r>
          </w:p>
        </w:tc>
        <w:tc>
          <w:tcPr>
            <w:tcW w:w="5140" w:type="dxa"/>
            <w:vAlign w:val="bottom"/>
            <w:tcBorders>
              <w:bottom w:val="single" w:sz="8" w:color="auto"/>
            </w:tcBorders>
          </w:tcPr>
          <w:p>
            <w:pPr>
              <w:spacing w:after="0"/>
              <w:rPr>
                <w:sz w:val="24"/>
                <w:szCs w:val="24"/>
                <w:color w:val="auto"/>
              </w:rPr>
            </w:pPr>
          </w:p>
        </w:tc>
      </w:tr>
      <w:tr>
        <w:trPr>
          <w:trHeight w:val="453"/>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380" w:type="dxa"/>
            <w:vAlign w:val="bottom"/>
            <w:gridSpan w:val="2"/>
          </w:tcPr>
          <w:p>
            <w:pPr>
              <w:ind w:left="1680"/>
              <w:spacing w:after="0"/>
              <w:rPr>
                <w:sz w:val="20"/>
                <w:szCs w:val="20"/>
                <w:color w:val="auto"/>
              </w:rPr>
            </w:pPr>
            <w:r>
              <w:rPr>
                <w:rFonts w:ascii="Arial" w:cs="Arial" w:eastAsia="Arial" w:hAnsi="Arial"/>
                <w:sz w:val="18"/>
                <w:szCs w:val="18"/>
                <w:color w:val="auto"/>
              </w:rPr>
              <w:t>By:</w:t>
            </w:r>
          </w:p>
        </w:tc>
      </w:tr>
      <w:tr>
        <w:trPr>
          <w:trHeight w:val="223"/>
        </w:trPr>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40" w:type="dxa"/>
            <w:vAlign w:val="bottom"/>
          </w:tcPr>
          <w:p>
            <w:pPr>
              <w:ind w:left="1680"/>
              <w:spacing w:after="0" w:line="202"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bottom w:val="single" w:sz="8" w:color="auto"/>
            </w:tcBorders>
          </w:tcPr>
          <w:p>
            <w:pPr>
              <w:spacing w:after="0"/>
              <w:rPr>
                <w:sz w:val="19"/>
                <w:szCs w:val="19"/>
                <w:color w:val="auto"/>
              </w:rPr>
            </w:pPr>
          </w:p>
        </w:tc>
      </w:tr>
      <w:tr>
        <w:trPr>
          <w:trHeight w:val="223"/>
        </w:trPr>
        <w:tc>
          <w:tcPr>
            <w:tcW w:w="2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40" w:type="dxa"/>
            <w:vAlign w:val="bottom"/>
          </w:tcPr>
          <w:p>
            <w:pPr>
              <w:ind w:left="1680"/>
              <w:spacing w:after="0" w:line="202" w:lineRule="exact"/>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19"/>
                <w:szCs w:val="19"/>
                <w:color w:val="auto"/>
              </w:rPr>
            </w:pPr>
          </w:p>
        </w:tc>
      </w:tr>
      <w:tr>
        <w:trPr>
          <w:trHeight w:val="418"/>
        </w:trPr>
        <w:tc>
          <w:tcPr>
            <w:tcW w:w="2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1"/>
              </w:rPr>
              <w:t>(Signature must conform in all respects to name of holder as specified</w:t>
            </w:r>
          </w:p>
        </w:tc>
      </w:tr>
      <w:tr>
        <w:trPr>
          <w:trHeight w:val="230"/>
        </w:trPr>
        <w:tc>
          <w:tcPr>
            <w:tcW w:w="2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on the face of the Warrant)</w:t>
            </w:r>
          </w:p>
        </w:tc>
      </w:tr>
      <w:tr>
        <w:trPr>
          <w:trHeight w:val="439"/>
        </w:trPr>
        <w:tc>
          <w:tcPr>
            <w:tcW w:w="2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ind w:left="1540"/>
              <w:spacing w:after="0"/>
              <w:rPr>
                <w:sz w:val="20"/>
                <w:szCs w:val="20"/>
                <w:color w:val="auto"/>
              </w:rPr>
            </w:pPr>
            <w:r>
              <w:rPr>
                <w:rFonts w:ascii="Arial" w:cs="Arial" w:eastAsia="Arial" w:hAnsi="Arial"/>
                <w:sz w:val="18"/>
                <w:szCs w:val="18"/>
                <w:color w:val="auto"/>
              </w:rPr>
              <w:t>B-1</w:t>
            </w:r>
          </w:p>
        </w:tc>
      </w:tr>
    </w:tbl>
    <w:p>
      <w:pPr>
        <w:sectPr>
          <w:pgSz w:w="11900" w:h="16838" w:orient="portrait"/>
          <w:cols w:equalWidth="0" w:num="1">
            <w:col w:w="11420"/>
          </w:cols>
          <w:pgMar w:left="240" w:top="661" w:right="2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560" w:type="dxa"/>
            <w:vAlign w:val="bottom"/>
            <w:gridSpan w:val="4"/>
          </w:tcPr>
          <w:p>
            <w:pPr>
              <w:jc w:val="center"/>
              <w:ind w:right="2180"/>
              <w:spacing w:after="0"/>
              <w:rPr>
                <w:sz w:val="20"/>
                <w:szCs w:val="20"/>
                <w:color w:val="auto"/>
              </w:rPr>
            </w:pPr>
            <w:r>
              <w:rPr>
                <w:rFonts w:ascii="Arial" w:cs="Arial" w:eastAsia="Arial" w:hAnsi="Arial"/>
                <w:sz w:val="18"/>
                <w:szCs w:val="18"/>
                <w:b w:val="1"/>
                <w:bCs w:val="1"/>
                <w:color w:val="auto"/>
              </w:rPr>
              <w:t>ANNEX C</w:t>
            </w:r>
          </w:p>
        </w:tc>
        <w:tc>
          <w:tcPr>
            <w:tcW w:w="2840" w:type="dxa"/>
            <w:vAlign w:val="bottom"/>
          </w:tcPr>
          <w:p>
            <w:pPr>
              <w:spacing w:after="0"/>
              <w:rPr>
                <w:sz w:val="20"/>
                <w:szCs w:val="20"/>
                <w:color w:val="auto"/>
              </w:rPr>
            </w:pPr>
          </w:p>
        </w:tc>
      </w:tr>
      <w:tr>
        <w:trPr>
          <w:trHeight w:val="432"/>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9"/>
              </w:rPr>
              <w:t>WARRANT SHARES EXERCISE LOG</w:t>
            </w:r>
          </w:p>
        </w:tc>
        <w:tc>
          <w:tcPr>
            <w:tcW w:w="2840" w:type="dxa"/>
            <w:vAlign w:val="bottom"/>
          </w:tcPr>
          <w:p>
            <w:pPr>
              <w:spacing w:after="0"/>
              <w:rPr>
                <w:sz w:val="24"/>
                <w:szCs w:val="24"/>
                <w:color w:val="auto"/>
              </w:rPr>
            </w:pPr>
          </w:p>
        </w:tc>
      </w:tr>
      <w:tr>
        <w:trPr>
          <w:trHeight w:val="418"/>
        </w:trPr>
        <w:tc>
          <w:tcPr>
            <w:tcW w:w="2520" w:type="dxa"/>
            <w:vAlign w:val="bottom"/>
          </w:tcPr>
          <w:p>
            <w:pPr>
              <w:spacing w:after="0"/>
              <w:rPr>
                <w:sz w:val="24"/>
                <w:szCs w:val="24"/>
                <w:color w:val="auto"/>
              </w:rPr>
            </w:pP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NUMBER OF WARRANT</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NUMBER OF WARRANT</w:t>
            </w:r>
          </w:p>
        </w:tc>
      </w:tr>
      <w:tr>
        <w:trPr>
          <w:trHeight w:val="216"/>
        </w:trPr>
        <w:tc>
          <w:tcPr>
            <w:tcW w:w="2520" w:type="dxa"/>
            <w:vAlign w:val="bottom"/>
          </w:tcPr>
          <w:p>
            <w:pPr>
              <w:spacing w:after="0"/>
              <w:rPr>
                <w:sz w:val="18"/>
                <w:szCs w:val="18"/>
                <w:color w:val="auto"/>
              </w:rPr>
            </w:pPr>
          </w:p>
        </w:tc>
        <w:tc>
          <w:tcPr>
            <w:tcW w:w="2500" w:type="dxa"/>
            <w:vAlign w:val="bottom"/>
            <w:gridSpan w:val="2"/>
          </w:tcPr>
          <w:p>
            <w:pPr>
              <w:ind w:left="220"/>
              <w:spacing w:after="0"/>
              <w:rPr>
                <w:sz w:val="20"/>
                <w:szCs w:val="20"/>
                <w:color w:val="auto"/>
              </w:rPr>
            </w:pPr>
            <w:r>
              <w:rPr>
                <w:rFonts w:ascii="Arial" w:cs="Arial" w:eastAsia="Arial" w:hAnsi="Arial"/>
                <w:sz w:val="18"/>
                <w:szCs w:val="18"/>
                <w:color w:val="auto"/>
              </w:rPr>
              <w:t>SHARES AVAILABLE TO</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NUMBER OF WARRANT</w:t>
            </w:r>
          </w:p>
        </w:tc>
        <w:tc>
          <w:tcPr>
            <w:tcW w:w="2840" w:type="dxa"/>
            <w:vAlign w:val="bottom"/>
          </w:tcPr>
          <w:p>
            <w:pPr>
              <w:spacing w:after="0"/>
              <w:rPr>
                <w:sz w:val="20"/>
                <w:szCs w:val="20"/>
                <w:color w:val="auto"/>
              </w:rPr>
            </w:pPr>
            <w:r>
              <w:rPr>
                <w:rFonts w:ascii="Arial" w:cs="Arial" w:eastAsia="Arial" w:hAnsi="Arial"/>
                <w:sz w:val="18"/>
                <w:szCs w:val="18"/>
                <w:color w:val="auto"/>
              </w:rPr>
              <w:t>SHARES REMAINING TO BE</w:t>
            </w:r>
          </w:p>
        </w:tc>
      </w:tr>
      <w:tr>
        <w:trPr>
          <w:trHeight w:val="237"/>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c>
          <w:tcPr>
            <w:tcW w:w="22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 EXERCISED</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SHARES EXERCISED</w:t>
            </w:r>
          </w:p>
        </w:tc>
        <w:tc>
          <w:tcPr>
            <w:tcW w:w="22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2" w:name="page73"/>
    <w:bookmarkEnd w:id="72"/>
    <w:p>
      <w:pPr>
        <w:ind w:left="1028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49425" cy="7886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4942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$9.8 Million Private Placement of Units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San Diego, Calif. – December 19, 2016 -- Imprimis Pharmaceuticals, Inc. (NASDAQ: IMMY) today announced that it has entered into a definitive securities purchase agreement with various accredited investors and certain members of Imprimis’ Board of Directors and senior management, including the CEO, CFO, and Senior Director of Corporate Development, to raise gross proceeds of approximately $9.8 million in a private placement of Units.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Imprimis has agreed to sell an aggregate of approximately 5.1 million Units, with each Unit consisting of one share of common stock and a warrant to purchase one share of common stock, at a purchase price of $1.915 per Unit. The warrants will have an exercise price of $1.79 per share, are non-exercisable for the first six months and will expire three years from the date on which the warrants are issued. The transaction is anticipated to close on or about December 23, 2016, subject to customary closing conditions. Imprimis anticipates using the net proceeds from the transaction primarily to advance its ophthalmology business and for general corporate purposes.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National Securities Corporation, a wholly owned subsidiary of National Holdings, Inc. (NASDAQ: NHLD), acted as the exclusive placement agent for the financing. The Liquid Venture Partners group at National Securities Corporation was responsible for sourcing and executing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0979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Imprimis has agreed to file a registration statement with the Securities and Exchange Commission registering the resale of the shares of common stock, and the shares of common stock underlying the warrants, purchased in the private placement.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securities to be sold in the private placement will not have been registered under the Securities Act of 1933, as amended, or state securities laws as of the time of issuance and may not be offered or sold in the United States absent registration with the Securities and Exchange Commission or an applicable exemption from such registration requirements.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press release does not constitute an offer to sell or the solicitation of an offer to buy the securities, nor shall there be any sale of the securities in any state or jurisdiction in which such offer, solicitation or sale would be unlawful prior to the registration or qualification under the securities laws of such state or jurisdiction. Any offering of the securities under the resale registration statement will only be by means of a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Imprimis Pharmaceuticals, Inc. (NASDAQ: IMMY) is a pharmaceutical company dedicated to producing and dispensing high quality innovative compounded medications in all 50 states. The company’s unique business model drives patient access and affordability to many critical medicines. Headquartered in San Diego, California, Imprimis owns and operates three dispensing facilities located in California, New Jersey and Pennsylvania.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www.sec.gov.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than drugs compounded at a registered outsourcing facility, all Imprimis compounded formulations may only be prescribed pursuant to a physician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Bonnie Ortega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bortega@imprimispharma.com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upperLetter"/>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2"/>
    </w:lvl>
  </w:abstractNum>
  <w:abstractNum w:abstractNumId="7">
    <w:nsid w:val="189A769B"/>
    <w:multiLevelType w:val="hybridMultilevel"/>
    <w:lvl w:ilvl="0">
      <w:lvlJc w:val="left"/>
      <w:lvlText w:val="(%1)"/>
      <w:numFmt w:val="lowerRoman"/>
      <w:start w:val="2"/>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
    <w:nsid w:val="2CA8861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
    <w:nsid w:val="836C40E"/>
    <w:multiLevelType w:val="hybridMultilevel"/>
    <w:lvl w:ilvl="0">
      <w:lvlJc w:val="left"/>
      <w:lvlText w:val="(%1)"/>
      <w:numFmt w:val="lowerLetter"/>
      <w:start w:val="3"/>
    </w:lvl>
    <w:lvl w:ilvl="1">
      <w:lvlJc w:val="left"/>
      <w:lvlText w:val="(%2)"/>
      <w:numFmt w:val="lowerRoman"/>
      <w:start w:val="1"/>
    </w:lvl>
  </w:abstractNum>
  <w:abstractNum w:abstractNumId="12">
    <w:nsid w:val="2901D82"/>
    <w:multiLevelType w:val="hybridMultilevel"/>
    <w:lvl w:ilvl="0">
      <w:lvlJc w:val="left"/>
      <w:lvlText w:val="(%1)"/>
      <w:numFmt w:val="lowerRoman"/>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2"/>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1"/>
      <w:numFmt w:val="bullet"/>
      <w:start w:val="1"/>
    </w:lvl>
  </w:abstractNum>
  <w:abstractNum w:abstractNumId="17">
    <w:nsid w:val="737B8DDC"/>
    <w:multiLevelType w:val="hybridMultilevel"/>
    <w:lvl w:ilvl="0">
      <w:lvlJc w:val="left"/>
      <w:lvlText w:val="(%1)"/>
      <w:numFmt w:val="lowerLetter"/>
      <w:start w:val="2"/>
    </w:lvl>
    <w:lvl w:ilvl="1">
      <w:lvlJc w:val="left"/>
      <w:lvlText w:val="(%2)"/>
      <w:numFmt w:val="lowerLetter"/>
      <w:start w:val="9"/>
    </w:lvl>
  </w:abstractNum>
  <w:abstractNum w:abstractNumId="18">
    <w:nsid w:val="6CEAF087"/>
    <w:multiLevelType w:val="hybridMultilevel"/>
    <w:lvl w:ilvl="0">
      <w:lvlJc w:val="left"/>
      <w:lvlText w:val="2"/>
      <w:numFmt w:val="bullet"/>
      <w:start w:val="1"/>
    </w:lvl>
  </w:abstractNum>
  <w:abstractNum w:abstractNumId="19">
    <w:nsid w:val="22221A70"/>
    <w:multiLevelType w:val="hybridMultilevel"/>
    <w:lvl w:ilvl="0">
      <w:lvlJc w:val="left"/>
      <w:lvlText w:val="%1"/>
      <w:numFmt w:val="lowerLetter"/>
      <w:start w:val="1"/>
    </w:lvl>
    <w:lvl w:ilvl="1">
      <w:lvlJc w:val="left"/>
      <w:lvlText w:val="(%2)"/>
      <w:numFmt w:val="lowerRoman"/>
      <w:start w:val="2"/>
    </w:lvl>
  </w:abstractNum>
  <w:abstractNum w:abstractNumId="20">
    <w:nsid w:val="4516DDE9"/>
    <w:multiLevelType w:val="hybridMultilevel"/>
    <w:lvl w:ilvl="0">
      <w:lvlJc w:val="left"/>
      <w:lvlText w:val="(%1)"/>
      <w:numFmt w:val="lowerLetter"/>
      <w:start w:val="4"/>
    </w:lvl>
    <w:lvl w:ilvl="1">
      <w:lvlJc w:val="left"/>
      <w:lvlText w:val="%2"/>
      <w:numFmt w:val="lowerRoman"/>
      <w:start w:val="1"/>
    </w:lvl>
  </w:abstractNum>
  <w:abstractNum w:abstractNumId="21">
    <w:nsid w:val="3006C83E"/>
    <w:multiLevelType w:val="hybridMultilevel"/>
    <w:lvl w:ilvl="0">
      <w:lvlJc w:val="left"/>
      <w:lvlText w:val="%1."/>
      <w:numFmt w:val="decimal"/>
      <w:start w:val="3"/>
    </w:lvl>
    <w:lvl w:ilvl="1">
      <w:lvlJc w:val="left"/>
      <w:lvlText w:val="(%2)"/>
      <w:numFmt w:val="lowerLetter"/>
      <w:start w:val="1"/>
    </w:lvl>
  </w:abstractNum>
  <w:abstractNum w:abstractNumId="22">
    <w:nsid w:val="614FD4A1"/>
    <w:multiLevelType w:val="hybridMultilevel"/>
    <w:lvl w:ilvl="0">
      <w:lvlJc w:val="left"/>
      <w:lvlText w:val="(%1)"/>
      <w:numFmt w:val="lowerLetter"/>
      <w:start w:val="5"/>
    </w:lvl>
  </w:abstractNum>
  <w:abstractNum w:abstractNumId="23">
    <w:nsid w:val="419AC24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24">
    <w:nsid w:val="5577F8E1"/>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25">
    <w:nsid w:val="440BADFC"/>
    <w:multiLevelType w:val="hybridMultilevel"/>
    <w:lvl w:ilvl="0">
      <w:lvlJc w:val="left"/>
      <w:lvlText w:val="%1."/>
      <w:numFmt w:val="decimal"/>
      <w:start w:val="5"/>
    </w:lvl>
    <w:lvl w:ilvl="1">
      <w:lvlJc w:val="left"/>
      <w:lvlText w:val="(%2)"/>
      <w:numFmt w:val="lowerLetter"/>
      <w:start w:val="1"/>
    </w:lvl>
  </w:abstractNum>
  <w:abstractNum w:abstractNumId="26">
    <w:nsid w:val="5072367"/>
    <w:multiLevelType w:val="hybridMultilevel"/>
    <w:lvl w:ilvl="0">
      <w:lvlJc w:val="left"/>
      <w:lvlText w:val="%1."/>
      <w:numFmt w:val="decimal"/>
      <w:start w:val="6"/>
    </w:lvl>
    <w:lvl w:ilvl="1">
      <w:lvlJc w:val="left"/>
      <w:lvlText w:val="(%2)"/>
      <w:numFmt w:val="lowerLetter"/>
      <w:start w:val="1"/>
    </w:lvl>
  </w:abstractNum>
  <w:abstractNum w:abstractNumId="27">
    <w:nsid w:val="3804823E"/>
    <w:multiLevelType w:val="hybridMultilevel"/>
    <w:lvl w:ilvl="0">
      <w:lvlJc w:val="left"/>
      <w:lvlText w:val="%1"/>
      <w:numFmt w:val="decimal"/>
      <w:start w:val="1"/>
    </w:lvl>
    <w:lvl w:ilvl="1">
      <w:lvlJc w:val="left"/>
      <w:lvlText w:val="(%2)"/>
      <w:numFmt w:val="lowerLetter"/>
      <w:start w:val="3"/>
    </w:lvl>
  </w:abstractNum>
  <w:abstractNum w:abstractNumId="28">
    <w:nsid w:val="77465F01"/>
    <w:multiLevelType w:val="hybridMultilevel"/>
    <w:lvl w:ilvl="0">
      <w:lvlJc w:val="left"/>
      <w:lvlText w:val="%1."/>
      <w:numFmt w:val="decimal"/>
      <w:start w:val="7"/>
    </w:lvl>
    <w:lvl w:ilvl="1">
      <w:lvlJc w:val="left"/>
      <w:lvlText w:val="(%2)"/>
      <w:numFmt w:val="lowerLetter"/>
      <w:start w:val="1"/>
    </w:lvl>
  </w:abstractNum>
  <w:abstractNum w:abstractNumId="29">
    <w:nsid w:val="7724C67E"/>
    <w:multiLevelType w:val="hybridMultilevel"/>
    <w:lvl w:ilvl="0">
      <w:lvlJc w:val="left"/>
      <w:lvlText w:val="(%1)"/>
      <w:numFmt w:val="lowerLetter"/>
      <w:start w:val="3"/>
    </w:lvl>
  </w:abstractNum>
  <w:abstractNum w:abstractNumId="30">
    <w:nsid w:val="5C482A97"/>
    <w:multiLevelType w:val="hybridMultilevel"/>
    <w:lvl w:ilvl="0">
      <w:lvlJc w:val="left"/>
      <w:lvlText w:val="(%1)"/>
      <w:numFmt w:val="lowerLetter"/>
      <w:start w:val="9"/>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4"/>
    </w:lvl>
    <w:lvl w:ilvl="1">
      <w:lvlJc w:val="left"/>
      <w:lvlText w:val="(%2)"/>
      <w:numFmt w:val="lowerLetter"/>
      <w:start w:val="1"/>
    </w:lvl>
  </w:abstractNum>
  <w:abstractNum w:abstractNumId="35">
    <w:nsid w:val="580BD78F"/>
    <w:multiLevelType w:val="hybridMultilevel"/>
    <w:lvl w:ilvl="0">
      <w:lvlJc w:val="left"/>
      <w:lvlText w:val="%1"/>
      <w:numFmt w:val="decimal"/>
      <w:start w:val="1"/>
    </w:lvl>
    <w:lvl w:ilvl="1">
      <w:lvlJc w:val="left"/>
      <w:lvlText w:val="(%2)"/>
      <w:numFmt w:val="lowerLetter"/>
      <w:start w:val="4"/>
    </w:lvl>
  </w:abstractNum>
  <w:abstractNum w:abstractNumId="36">
    <w:nsid w:val="153EA438"/>
    <w:multiLevelType w:val="hybridMultilevel"/>
    <w:lvl w:ilvl="0">
      <w:lvlJc w:val="left"/>
      <w:lvlText w:val="(%1)"/>
      <w:numFmt w:val="decimal"/>
      <w:start w:val="3"/>
    </w:lvl>
    <w:lvl w:ilvl="1">
      <w:lvlJc w:val="left"/>
      <w:lvlText w:val="%2"/>
      <w:numFmt w:val="lowerLetter"/>
      <w:start w:val="1"/>
    </w:lvl>
  </w:abstractNum>
  <w:abstractNum w:abstractNumId="37">
    <w:nsid w:val="3855585C"/>
    <w:multiLevelType w:val="hybridMultilevel"/>
    <w:lvl w:ilvl="0">
      <w:lvlJc w:val="left"/>
      <w:lvlText w:val="%1."/>
      <w:numFmt w:val="decimal"/>
      <w:start w:val="5"/>
    </w:lvl>
    <w:lvl w:ilvl="1">
      <w:lvlJc w:val="left"/>
      <w:lvlText w:val="(%2)"/>
      <w:numFmt w:val="lowerLetter"/>
      <w:start w:val="1"/>
    </w:lvl>
  </w:abstractNum>
  <w:abstractNum w:abstractNumId="38">
    <w:nsid w:val="70A64E2A"/>
    <w:multiLevelType w:val="hybridMultilevel"/>
    <w:lvl w:ilvl="0">
      <w:lvlJc w:val="left"/>
      <w:lvlText w:val="%1."/>
      <w:numFmt w:val="decimal"/>
      <w:start w:val="6"/>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5"/>
    </w:lvl>
  </w:abstractNum>
  <w:abstractNum w:abstractNumId="41">
    <w:nsid w:val="1D4ED43B"/>
    <w:multiLevelType w:val="hybridMultilevel"/>
    <w:lvl w:ilvl="0">
      <w:lvlJc w:val="left"/>
      <w:lvlText w:val="%1."/>
      <w:numFmt w:val="decimal"/>
      <w:start w:val="10"/>
    </w:lvl>
    <w:lvl w:ilvl="1">
      <w:lvlJc w:val="left"/>
      <w:lvlText w:val="%2"/>
      <w:numFmt w:val="lowerLetter"/>
      <w:start w:val="1"/>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1"/>
    </w:lvl>
    <w:lvl w:ilvl="1">
      <w:lvlJc w:val="left"/>
      <w:lvlText w:val="(%2)"/>
      <w:numFmt w:val="lowerLetter"/>
      <w:start w:val="1"/>
    </w:lvl>
  </w:abstractNum>
  <w:abstractNum w:abstractNumId="44">
    <w:nsid w:val="57E4CCA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2020-01-22T01:30:39Z</dcterms:created>
  <dcterms:modified xsi:type="dcterms:W3CDTF">2020-01-22T01:30:39Z</dcterms:modified>
</cp:coreProperties>
</file>