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Amendment to Loan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 2020, Harrow Health, Inc. and several of its wholly-owned subsidiaries (collectively, the “Company”) entered into a second amendment (the “Amendment”) to its term loan and security agreement dated as of July 19, 2017, as amended (the “SWK Loan”), with SWK Funding LLC, as lender and collateral agent, and certain other lenders (collectively, the “Lender”). A summary of the material changes contained in the Amendment are as follows:</w:t>
      </w:r>
    </w:p>
    <w:p>
      <w:pPr>
        <w:spacing w:after="0" w:line="187" w:lineRule="exact"/>
        <w:rPr>
          <w:sz w:val="20"/>
          <w:szCs w:val="20"/>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Lender agreed to make available to and the Company drew down on, an additional principal amount of one million dollars ($1,000,000);</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Amendment;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payment due May 14, 2020 will be paid in kind by increasing the principal amount of the term loans by an amount equal to the interest that has accrued.</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The foregoing is only a brief description of the Amendment, does not purport to be a complete description of the rights and obligations of the parties thereunder and is qualified in its entirety by reference to the full text of the document, which is filed as </w:t>
      </w:r>
      <w:r>
        <w:rPr>
          <w:rFonts w:ascii="Arial" w:cs="Arial" w:eastAsia="Arial" w:hAnsi="Arial"/>
          <w:sz w:val="18"/>
          <w:szCs w:val="18"/>
          <w:u w:val="single" w:color="auto"/>
          <w:color w:val="auto"/>
        </w:rPr>
        <w:t>Exhibit 10</w:t>
      </w:r>
      <w:r>
        <w:rPr>
          <w:rFonts w:ascii="Arial" w:cs="Arial" w:eastAsia="Arial" w:hAnsi="Arial"/>
          <w:sz w:val="18"/>
          <w:szCs w:val="18"/>
          <w:color w:val="auto"/>
        </w:rPr>
        <w:t xml:space="preserve"> to this Current Report on Form 8-K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description regarding the Amendment set forth under Item 1.01 of this Current Report on Form 8-K is incorporated into this Item 2.03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Items.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response to the coronavirus (COVID-19) pandemic the U.S. Small Business Administration (the “SBA”) is making available low-interest rate loans to qualified small businesses under its Economic Injury Disaster Loan program (the “EIDL”). The Company has applied for a loan under the EIDL. The Company also intends to apply for a loan under the SBA backed Paycheck Protection Program (the “PPP”). The Lender has provided its consent to the Company to enter into loan agreements related to the EIDL or PPP. No assurance is provided that the Company will qualify for and/or receive any proceeds from loans under one or both of these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160" w:hanging="1152"/>
        <w:spacing w:after="0" w:line="277" w:lineRule="auto"/>
        <w:tabs>
          <w:tab w:leader="none" w:pos="116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Second Amendment, dated as of April 1, 2020, to the Loan and Security Agreement by and among Harrow Health, Inc., several of its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wholly-owned subsidiaries and the Lenders named therein.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3,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40"/>
        <w:spacing w:after="0"/>
        <w:rPr>
          <w:sz w:val="20"/>
          <w:szCs w:val="20"/>
          <w:color w:val="auto"/>
        </w:rPr>
      </w:pPr>
      <w:r>
        <w:rPr>
          <w:rFonts w:ascii="Arial" w:cs="Arial" w:eastAsia="Arial" w:hAnsi="Arial"/>
          <w:sz w:val="18"/>
          <w:szCs w:val="18"/>
          <w:b w:val="1"/>
          <w:bCs w:val="1"/>
          <w:color w:val="auto"/>
        </w:rPr>
        <w:t>EXHIBIT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THIS SECOND AMENDMENT TO LOAN AND SECURITY AGREEMENT </w:t>
      </w:r>
      <w:r>
        <w:rPr>
          <w:rFonts w:ascii="Arial" w:cs="Arial" w:eastAsia="Arial" w:hAnsi="Arial"/>
          <w:sz w:val="17"/>
          <w:szCs w:val="17"/>
          <w:color w:val="auto"/>
        </w:rPr>
        <w:t>(this “</w:t>
      </w:r>
      <w:r>
        <w:rPr>
          <w:rFonts w:ascii="Arial" w:cs="Arial" w:eastAsia="Arial" w:hAnsi="Arial"/>
          <w:sz w:val="17"/>
          <w:szCs w:val="17"/>
          <w:b w:val="1"/>
          <w:bCs w:val="1"/>
          <w:color w:val="auto"/>
        </w:rPr>
        <w:t>Amendment</w:t>
      </w:r>
      <w:r>
        <w:rPr>
          <w:rFonts w:ascii="Arial" w:cs="Arial" w:eastAsia="Arial" w:hAnsi="Arial"/>
          <w:sz w:val="17"/>
          <w:szCs w:val="17"/>
          <w:color w:val="auto"/>
        </w:rPr>
        <w:t>”) dated as of April 1,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Amendment Effective Date</w:t>
      </w:r>
      <w:r>
        <w:rPr>
          <w:rFonts w:ascii="Arial" w:cs="Arial" w:eastAsia="Arial" w:hAnsi="Arial"/>
          <w:sz w:val="17"/>
          <w:szCs w:val="17"/>
          <w:color w:val="auto"/>
        </w:rPr>
        <w:t>”), is made among SWK Funding LLC as collateral agent (in such capacity, together with its successors and assigns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and the Lenders party to the Loan and Security Agreement from time to time, including HI Imprimis, LLC, SR- Imprimis, LLC and SWK Funding LLC, each in its capacity as a Lender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HARROW HEALTH, INC. (f/k/a Imprimis Pharmaceuticals, Inc.), a Delaware corporation (“</w:t>
      </w:r>
      <w:r>
        <w:rPr>
          <w:rFonts w:ascii="Arial" w:cs="Arial" w:eastAsia="Arial" w:hAnsi="Arial"/>
          <w:sz w:val="17"/>
          <w:szCs w:val="17"/>
          <w:b w:val="1"/>
          <w:bCs w:val="1"/>
          <w:color w:val="auto"/>
        </w:rPr>
        <w:t>Harrow</w:t>
      </w:r>
      <w:r>
        <w:rPr>
          <w:rFonts w:ascii="Arial" w:cs="Arial" w:eastAsia="Arial" w:hAnsi="Arial"/>
          <w:sz w:val="17"/>
          <w:szCs w:val="17"/>
          <w:color w:val="auto"/>
        </w:rPr>
        <w:t>”), IMPRIMIS NJOF, LLC, a New Jersey limited liability company (“</w:t>
      </w:r>
      <w:r>
        <w:rPr>
          <w:rFonts w:ascii="Arial" w:cs="Arial" w:eastAsia="Arial" w:hAnsi="Arial"/>
          <w:sz w:val="17"/>
          <w:szCs w:val="17"/>
          <w:b w:val="1"/>
          <w:bCs w:val="1"/>
          <w:color w:val="auto"/>
        </w:rPr>
        <w:t>NJOF</w:t>
      </w:r>
      <w:r>
        <w:rPr>
          <w:rFonts w:ascii="Arial" w:cs="Arial" w:eastAsia="Arial" w:hAnsi="Arial"/>
          <w:sz w:val="17"/>
          <w:szCs w:val="17"/>
          <w:color w:val="auto"/>
        </w:rPr>
        <w:t>”), PARK COMPOUNDING, INC. (f/k/a ImprimisRx CA, Inc.), a California corporation (“</w:t>
      </w:r>
      <w:r>
        <w:rPr>
          <w:rFonts w:ascii="Arial" w:cs="Arial" w:eastAsia="Arial" w:hAnsi="Arial"/>
          <w:sz w:val="17"/>
          <w:szCs w:val="17"/>
          <w:b w:val="1"/>
          <w:bCs w:val="1"/>
          <w:color w:val="auto"/>
        </w:rPr>
        <w:t>CA</w:t>
      </w:r>
      <w:r>
        <w:rPr>
          <w:rFonts w:ascii="Arial" w:cs="Arial" w:eastAsia="Arial" w:hAnsi="Arial"/>
          <w:sz w:val="17"/>
          <w:szCs w:val="17"/>
          <w:color w:val="auto"/>
        </w:rPr>
        <w:t>”), IMPRIMISRX NJ, LLC, a New Jersey limited liability company (“</w:t>
      </w:r>
      <w:r>
        <w:rPr>
          <w:rFonts w:ascii="Arial" w:cs="Arial" w:eastAsia="Arial" w:hAnsi="Arial"/>
          <w:sz w:val="17"/>
          <w:szCs w:val="17"/>
          <w:b w:val="1"/>
          <w:bCs w:val="1"/>
          <w:color w:val="auto"/>
        </w:rPr>
        <w:t>NJ</w:t>
      </w:r>
      <w:r>
        <w:rPr>
          <w:rFonts w:ascii="Arial" w:cs="Arial" w:eastAsia="Arial" w:hAnsi="Arial"/>
          <w:sz w:val="17"/>
          <w:szCs w:val="17"/>
          <w:color w:val="auto"/>
        </w:rPr>
        <w:t>”), IMPRIMISRX, LLC, a Delaware limited liability company (“</w:t>
      </w:r>
      <w:r>
        <w:rPr>
          <w:rFonts w:ascii="Arial" w:cs="Arial" w:eastAsia="Arial" w:hAnsi="Arial"/>
          <w:sz w:val="17"/>
          <w:szCs w:val="17"/>
          <w:b w:val="1"/>
          <w:bCs w:val="1"/>
          <w:color w:val="auto"/>
        </w:rPr>
        <w:t>ImprimisRx</w:t>
      </w:r>
      <w:r>
        <w:rPr>
          <w:rFonts w:ascii="Arial" w:cs="Arial" w:eastAsia="Arial" w:hAnsi="Arial"/>
          <w:sz w:val="17"/>
          <w:szCs w:val="17"/>
          <w:color w:val="auto"/>
        </w:rPr>
        <w:t>”), HARROW IP, LLC, a Delaware limited liability company (“</w:t>
      </w:r>
      <w:r>
        <w:rPr>
          <w:rFonts w:ascii="Arial" w:cs="Arial" w:eastAsia="Arial" w:hAnsi="Arial"/>
          <w:sz w:val="17"/>
          <w:szCs w:val="17"/>
          <w:b w:val="1"/>
          <w:bCs w:val="1"/>
          <w:color w:val="auto"/>
        </w:rPr>
        <w:t>Harrow</w:t>
      </w:r>
      <w:r>
        <w:rPr>
          <w:rFonts w:ascii="Arial" w:cs="Arial" w:eastAsia="Arial" w:hAnsi="Arial"/>
          <w:sz w:val="17"/>
          <w:szCs w:val="17"/>
          <w:color w:val="auto"/>
        </w:rPr>
        <w:t xml:space="preserve"> </w:t>
      </w:r>
      <w:r>
        <w:rPr>
          <w:rFonts w:ascii="Arial" w:cs="Arial" w:eastAsia="Arial" w:hAnsi="Arial"/>
          <w:sz w:val="17"/>
          <w:szCs w:val="17"/>
          <w:b w:val="1"/>
          <w:bCs w:val="1"/>
          <w:color w:val="auto"/>
        </w:rPr>
        <w:t>IP</w:t>
      </w:r>
      <w:r>
        <w:rPr>
          <w:rFonts w:ascii="Arial" w:cs="Arial" w:eastAsia="Arial" w:hAnsi="Arial"/>
          <w:sz w:val="17"/>
          <w:szCs w:val="17"/>
          <w:color w:val="auto"/>
        </w:rPr>
        <w:t>”), ETON PHARMA EQUITY, LLC, a Delaware limited liability company (“</w:t>
      </w:r>
      <w:r>
        <w:rPr>
          <w:rFonts w:ascii="Arial" w:cs="Arial" w:eastAsia="Arial" w:hAnsi="Arial"/>
          <w:sz w:val="17"/>
          <w:szCs w:val="17"/>
          <w:b w:val="1"/>
          <w:bCs w:val="1"/>
          <w:color w:val="auto"/>
        </w:rPr>
        <w:t>Eton Pharma Equity</w:t>
      </w:r>
      <w:r>
        <w:rPr>
          <w:rFonts w:ascii="Arial" w:cs="Arial" w:eastAsia="Arial" w:hAnsi="Arial"/>
          <w:sz w:val="17"/>
          <w:szCs w:val="17"/>
          <w:color w:val="auto"/>
        </w:rPr>
        <w:t>”), SURFACE PHARMA EQUITY, LLC,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limited liability company (“</w:t>
      </w:r>
      <w:r>
        <w:rPr>
          <w:rFonts w:ascii="Arial" w:cs="Arial" w:eastAsia="Arial" w:hAnsi="Arial"/>
          <w:sz w:val="17"/>
          <w:szCs w:val="17"/>
          <w:b w:val="1"/>
          <w:bCs w:val="1"/>
          <w:color w:val="auto"/>
        </w:rPr>
        <w:t>Surface Pharma Equity</w:t>
      </w:r>
      <w:r>
        <w:rPr>
          <w:rFonts w:ascii="Arial" w:cs="Arial" w:eastAsia="Arial" w:hAnsi="Arial"/>
          <w:sz w:val="17"/>
          <w:szCs w:val="17"/>
          <w:color w:val="auto"/>
        </w:rPr>
        <w:t>”), MELT PHARMA EQUITY, LLC, a Delaware limited liability company (“</w:t>
      </w:r>
      <w:r>
        <w:rPr>
          <w:rFonts w:ascii="Arial" w:cs="Arial" w:eastAsia="Arial" w:hAnsi="Arial"/>
          <w:sz w:val="17"/>
          <w:szCs w:val="17"/>
          <w:b w:val="1"/>
          <w:bCs w:val="1"/>
          <w:color w:val="auto"/>
        </w:rPr>
        <w:t>Melt Pharma</w:t>
      </w:r>
      <w:r>
        <w:rPr>
          <w:rFonts w:ascii="Arial" w:cs="Arial" w:eastAsia="Arial" w:hAnsi="Arial"/>
          <w:sz w:val="17"/>
          <w:szCs w:val="17"/>
          <w:color w:val="auto"/>
        </w:rPr>
        <w:t xml:space="preserve"> </w:t>
      </w:r>
      <w:r>
        <w:rPr>
          <w:rFonts w:ascii="Arial" w:cs="Arial" w:eastAsia="Arial" w:hAnsi="Arial"/>
          <w:sz w:val="17"/>
          <w:szCs w:val="17"/>
          <w:b w:val="1"/>
          <w:bCs w:val="1"/>
          <w:color w:val="auto"/>
        </w:rPr>
        <w:t>Equity</w:t>
      </w:r>
      <w:r>
        <w:rPr>
          <w:rFonts w:ascii="Arial" w:cs="Arial" w:eastAsia="Arial" w:hAnsi="Arial"/>
          <w:sz w:val="17"/>
          <w:szCs w:val="17"/>
          <w:color w:val="auto"/>
        </w:rPr>
        <w:t>”), MAYFIELD PHARMA EQUITY, LLC, a Delaware limited liability company (“</w:t>
      </w:r>
      <w:r>
        <w:rPr>
          <w:rFonts w:ascii="Arial" w:cs="Arial" w:eastAsia="Arial" w:hAnsi="Arial"/>
          <w:sz w:val="17"/>
          <w:szCs w:val="17"/>
          <w:b w:val="1"/>
          <w:bCs w:val="1"/>
          <w:color w:val="auto"/>
        </w:rPr>
        <w:t>Mayfield Pharma Equity</w:t>
      </w:r>
      <w:r>
        <w:rPr>
          <w:rFonts w:ascii="Arial" w:cs="Arial" w:eastAsia="Arial" w:hAnsi="Arial"/>
          <w:sz w:val="17"/>
          <w:szCs w:val="17"/>
          <w:color w:val="auto"/>
        </w:rPr>
        <w:t>”), STOWE PHARMA EQUITY,</w:t>
      </w:r>
      <w:r>
        <w:rPr>
          <w:rFonts w:ascii="Arial" w:cs="Arial" w:eastAsia="Arial" w:hAnsi="Arial"/>
          <w:sz w:val="17"/>
          <w:szCs w:val="17"/>
          <w:b w:val="1"/>
          <w:bCs w:val="1"/>
          <w:color w:val="auto"/>
        </w:rPr>
        <w:t xml:space="preserve"> </w:t>
      </w:r>
      <w:r>
        <w:rPr>
          <w:rFonts w:ascii="Arial" w:cs="Arial" w:eastAsia="Arial" w:hAnsi="Arial"/>
          <w:sz w:val="17"/>
          <w:szCs w:val="17"/>
          <w:color w:val="auto"/>
        </w:rPr>
        <w:t>LLC, a Delaware limited liability company (“</w:t>
      </w:r>
      <w:r>
        <w:rPr>
          <w:rFonts w:ascii="Arial" w:cs="Arial" w:eastAsia="Arial" w:hAnsi="Arial"/>
          <w:sz w:val="17"/>
          <w:szCs w:val="17"/>
          <w:b w:val="1"/>
          <w:bCs w:val="1"/>
          <w:color w:val="auto"/>
        </w:rPr>
        <w:t>Stowe Pharma Equity</w:t>
      </w:r>
      <w:r>
        <w:rPr>
          <w:rFonts w:ascii="Arial" w:cs="Arial" w:eastAsia="Arial" w:hAnsi="Arial"/>
          <w:sz w:val="17"/>
          <w:szCs w:val="17"/>
          <w:color w:val="auto"/>
        </w:rPr>
        <w:t>”), and RADLEY PHARMA EQUITY, LLC, a Delaware limited liability company (“</w:t>
      </w:r>
      <w:r>
        <w:rPr>
          <w:rFonts w:ascii="Arial" w:cs="Arial" w:eastAsia="Arial" w:hAnsi="Arial"/>
          <w:sz w:val="17"/>
          <w:szCs w:val="17"/>
          <w:b w:val="1"/>
          <w:bCs w:val="1"/>
          <w:color w:val="auto"/>
        </w:rPr>
        <w:t>Radley Pharma Equity</w:t>
      </w:r>
      <w:r>
        <w:rPr>
          <w:rFonts w:ascii="Arial" w:cs="Arial" w:eastAsia="Arial" w:hAnsi="Arial"/>
          <w:sz w:val="17"/>
          <w:szCs w:val="17"/>
          <w:color w:val="auto"/>
        </w:rPr>
        <w:t>”, and together with Harrow, NJOF, CA, NJ, ImprimisRx, Harrow IP, Eton Pharma Equity, Surface Pharma Equity, Melt Pharma Equity, Mayfield Pharma Equity, and Stowe Pharma Equity,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Borrower, the Lenders and Collateral Agent are parties to a Loan and Security Agreement dated as of July 19, 2017 (as amended by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Joinder and First Amendment to Loan and Security Agreement, dated as of May 25, 2019, and as further amended, restated or modified from time to time, the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Borrower has requested that the Lenders and Collateral Agent agree to certain amendments to the Loan and Security Agreement.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Collateral Agent have agreed to such request, subject to the terms and conditions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the terms and conditions set forth in this Amendment,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 Interpretation</w:t>
      </w:r>
      <w:r>
        <w:rPr>
          <w:rFonts w:ascii="Arial" w:cs="Arial" w:eastAsia="Arial" w:hAnsi="Arial"/>
          <w:sz w:val="18"/>
          <w:szCs w:val="18"/>
          <w:b w:val="1"/>
          <w:bCs w:val="1"/>
          <w:color w:val="auto"/>
        </w:rPr>
        <w:t>.</w:t>
      </w:r>
    </w:p>
    <w:p>
      <w:pPr>
        <w:spacing w:after="0" w:line="225" w:lineRule="exact"/>
        <w:rPr>
          <w:sz w:val="20"/>
          <w:szCs w:val="20"/>
          <w:color w:val="auto"/>
        </w:rPr>
      </w:pPr>
    </w:p>
    <w:p>
      <w:pPr>
        <w:ind w:firstLine="818"/>
        <w:spacing w:after="0" w:line="282" w:lineRule="auto"/>
        <w:tabs>
          <w:tab w:leader="none" w:pos="105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assigned to them in the Loan and Security Agreement.</w:t>
      </w:r>
    </w:p>
    <w:p>
      <w:pPr>
        <w:spacing w:after="0" w:line="161" w:lineRule="exact"/>
        <w:rPr>
          <w:rFonts w:ascii="Arial" w:cs="Arial" w:eastAsia="Arial" w:hAnsi="Arial"/>
          <w:sz w:val="18"/>
          <w:szCs w:val="18"/>
          <w:color w:val="auto"/>
        </w:rPr>
      </w:pPr>
    </w:p>
    <w:p>
      <w:pPr>
        <w:ind w:right="20" w:firstLine="818"/>
        <w:spacing w:after="0" w:line="282" w:lineRule="auto"/>
        <w:tabs>
          <w:tab w:leader="none" w:pos="110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Section 1.1 of the Loan and Security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 to the Loan and Security Agreement</w:t>
      </w:r>
      <w:r>
        <w:rPr>
          <w:rFonts w:ascii="Arial" w:cs="Arial" w:eastAsia="Arial" w:hAnsi="Arial"/>
          <w:sz w:val="18"/>
          <w:szCs w:val="18"/>
          <w:color w:val="auto"/>
        </w:rPr>
        <w:t>.</w:t>
      </w:r>
    </w:p>
    <w:p>
      <w:pPr>
        <w:spacing w:after="0" w:line="229" w:lineRule="exact"/>
        <w:rPr>
          <w:sz w:val="20"/>
          <w:szCs w:val="20"/>
          <w:color w:val="auto"/>
        </w:rPr>
      </w:pPr>
    </w:p>
    <w:p>
      <w:pPr>
        <w:ind w:left="400" w:hanging="24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Loan and Security Agreement shall be amended as follows effective as of the Amendment Effective Date:</w:t>
      </w:r>
    </w:p>
    <w:p>
      <w:pPr>
        <w:spacing w:after="0" w:line="225" w:lineRule="exact"/>
        <w:rPr>
          <w:rFonts w:ascii="Arial" w:cs="Arial" w:eastAsia="Arial" w:hAnsi="Arial"/>
          <w:sz w:val="18"/>
          <w:szCs w:val="18"/>
          <w:color w:val="auto"/>
        </w:rPr>
      </w:pPr>
    </w:p>
    <w:p>
      <w:pPr>
        <w:ind w:left="1300" w:right="1820" w:hanging="656"/>
        <w:spacing w:after="0" w:line="498" w:lineRule="auto"/>
        <w:tabs>
          <w:tab w:leader="none" w:pos="867"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New Definitions</w:t>
      </w:r>
      <w:r>
        <w:rPr>
          <w:rFonts w:ascii="Arial" w:cs="Arial" w:eastAsia="Arial" w:hAnsi="Arial"/>
          <w:sz w:val="18"/>
          <w:szCs w:val="18"/>
          <w:color w:val="auto"/>
        </w:rPr>
        <w:t>. The following definitions are hereby added to Section 1.3 in their proper alphabetical order: “</w:t>
      </w:r>
      <w:r>
        <w:rPr>
          <w:rFonts w:ascii="Arial" w:cs="Arial" w:eastAsia="Arial" w:hAnsi="Arial"/>
          <w:sz w:val="18"/>
          <w:szCs w:val="18"/>
          <w:b w:val="1"/>
          <w:bCs w:val="1"/>
          <w:color w:val="auto"/>
        </w:rPr>
        <w:t>PIK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2.2(b)(i)</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means April 1, 2020.</w:t>
      </w:r>
    </w:p>
    <w:p>
      <w:pPr>
        <w:spacing w:after="0" w:line="229" w:lineRule="exact"/>
        <w:rPr>
          <w:rFonts w:ascii="Arial" w:cs="Arial" w:eastAsia="Arial" w:hAnsi="Arial"/>
          <w:sz w:val="18"/>
          <w:szCs w:val="18"/>
          <w:color w:val="auto"/>
        </w:rPr>
      </w:pPr>
    </w:p>
    <w:p>
      <w:pPr>
        <w:ind w:left="1300" w:right="120" w:hanging="656"/>
        <w:spacing w:after="0" w:line="500" w:lineRule="auto"/>
        <w:tabs>
          <w:tab w:leader="none" w:pos="917"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Amended and Restated Definitions</w:t>
      </w:r>
      <w:r>
        <w:rPr>
          <w:rFonts w:ascii="Arial" w:cs="Arial" w:eastAsia="Arial" w:hAnsi="Arial"/>
          <w:sz w:val="18"/>
          <w:szCs w:val="18"/>
          <w:color w:val="auto"/>
        </w:rPr>
        <w:t>. The definition of “Amortization Date” in Section 1.3 is hereby amended and restated as follows: “</w:t>
      </w:r>
      <w:r>
        <w:rPr>
          <w:rFonts w:ascii="Arial" w:cs="Arial" w:eastAsia="Arial" w:hAnsi="Arial"/>
          <w:sz w:val="18"/>
          <w:szCs w:val="18"/>
          <w:b w:val="1"/>
          <w:bCs w:val="1"/>
          <w:color w:val="auto"/>
        </w:rPr>
        <w:t>Amortization Date</w:t>
      </w:r>
      <w:r>
        <w:rPr>
          <w:rFonts w:ascii="Arial" w:cs="Arial" w:eastAsia="Arial" w:hAnsi="Arial"/>
          <w:sz w:val="18"/>
          <w:szCs w:val="18"/>
          <w:color w:val="auto"/>
        </w:rPr>
        <w:t>” is August 14, 2020.</w:t>
      </w:r>
    </w:p>
    <w:p>
      <w:pPr>
        <w:spacing w:after="0" w:line="1" w:lineRule="exact"/>
        <w:rPr>
          <w:rFonts w:ascii="Arial" w:cs="Arial" w:eastAsia="Arial" w:hAnsi="Arial"/>
          <w:sz w:val="18"/>
          <w:szCs w:val="18"/>
          <w:color w:val="auto"/>
        </w:rPr>
      </w:pPr>
    </w:p>
    <w:p>
      <w:pPr>
        <w:ind w:left="960" w:hanging="316"/>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Section 2.2(a) is hereby amended and restated as follows:</w:t>
      </w:r>
    </w:p>
    <w:p>
      <w:pPr>
        <w:spacing w:after="0" w:line="225" w:lineRule="exact"/>
        <w:rPr>
          <w:rFonts w:ascii="Arial" w:cs="Arial" w:eastAsia="Arial" w:hAnsi="Arial"/>
          <w:sz w:val="18"/>
          <w:szCs w:val="18"/>
          <w:color w:val="auto"/>
        </w:rPr>
      </w:pPr>
    </w:p>
    <w:p>
      <w:pPr>
        <w:ind w:left="1540" w:hanging="248"/>
        <w:spacing w:after="0"/>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40"/>
        <w:spacing w:after="0" w:line="263" w:lineRule="auto"/>
        <w:tabs>
          <w:tab w:leader="none" w:pos="2179" w:val="left"/>
        </w:tabs>
        <w:numPr>
          <w:ilvl w:val="3"/>
          <w:numId w:val="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Lenders agree, severally and not jointly, to make term loans to Borrower on the Effective Date in an aggregate principal amount of Sixteen Million Dollars ($16,000,000.00) according to each Lender’s Term A Loan Commitment as set forth on Schedule 1.1 hereto.</w:t>
      </w:r>
    </w:p>
    <w:p>
      <w:pPr>
        <w:spacing w:after="0" w:line="183" w:lineRule="exact"/>
        <w:rPr>
          <w:rFonts w:ascii="Arial" w:cs="Arial" w:eastAsia="Arial" w:hAnsi="Arial"/>
          <w:sz w:val="18"/>
          <w:szCs w:val="18"/>
          <w:color w:val="auto"/>
        </w:rPr>
      </w:pPr>
    </w:p>
    <w:p>
      <w:pPr>
        <w:jc w:val="both"/>
        <w:ind w:left="1300" w:firstLine="640"/>
        <w:spacing w:after="0" w:line="257" w:lineRule="auto"/>
        <w:tabs>
          <w:tab w:leader="none" w:pos="2239" w:val="left"/>
        </w:tabs>
        <w:numPr>
          <w:ilvl w:val="3"/>
          <w:numId w:val="5"/>
        </w:numPr>
        <w:rPr>
          <w:rFonts w:ascii="Arial" w:cs="Arial" w:eastAsia="Arial" w:hAnsi="Arial"/>
          <w:sz w:val="18"/>
          <w:szCs w:val="18"/>
          <w:color w:val="auto"/>
        </w:rPr>
      </w:pPr>
      <w:r>
        <w:rPr>
          <w:rFonts w:ascii="Arial" w:cs="Arial" w:eastAsia="Arial" w:hAnsi="Arial"/>
          <w:sz w:val="18"/>
          <w:szCs w:val="18"/>
          <w:color w:val="auto"/>
        </w:rPr>
        <w:t>Subject to satisfaction of the Second Draw Conditions as of the date of such advance and the other terms and conditions of this Agreement, the Lenders agree, severally and not jointly, during the Second Draw Period, to make term loans to Borrower in an aggregate principal amount of up to Five Million Dollars ($5,000,000) according to each Lender’s Term B Loan Commitment as set forth on Schedule 1.1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300" w:firstLine="640"/>
        <w:spacing w:after="0" w:line="255" w:lineRule="auto"/>
        <w:tabs>
          <w:tab w:leader="none" w:pos="2264"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Lenders agree, severally and not jointly, to make term loans to Borrower on the Second Amendment Effective Date in an aggregate principal amount of One Million Dollars ($1,000,000) according to each Lender’s Term C Loan Commitment as set forth on Schedule 1.1 hereto (such term loans are hereinafter referred to singly as a “</w:t>
      </w:r>
      <w:r>
        <w:rPr>
          <w:rFonts w:ascii="Arial" w:cs="Arial" w:eastAsia="Arial" w:hAnsi="Arial"/>
          <w:sz w:val="18"/>
          <w:szCs w:val="18"/>
          <w:b w:val="1"/>
          <w:bCs w:val="1"/>
          <w:color w:val="auto"/>
        </w:rPr>
        <w:t>Term C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C Loans</w:t>
      </w:r>
      <w:r>
        <w:rPr>
          <w:rFonts w:ascii="Arial" w:cs="Arial" w:eastAsia="Arial" w:hAnsi="Arial"/>
          <w:sz w:val="18"/>
          <w:szCs w:val="18"/>
          <w:color w:val="auto"/>
        </w:rPr>
        <w:t>” each Term A Loan, Term B Loan or Term C Loan is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the Term A Loans, Term B Loans and Term C Loans are hereinafter referred to collectively as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240" w:hanging="300"/>
        <w:spacing w:after="0"/>
        <w:tabs>
          <w:tab w:leader="none" w:pos="2240" w:val="left"/>
        </w:tabs>
        <w:numPr>
          <w:ilvl w:val="3"/>
          <w:numId w:val="5"/>
        </w:numPr>
        <w:rPr>
          <w:rFonts w:ascii="Arial" w:cs="Arial" w:eastAsia="Arial" w:hAnsi="Arial"/>
          <w:sz w:val="18"/>
          <w:szCs w:val="18"/>
          <w:color w:val="auto"/>
        </w:rPr>
      </w:pPr>
      <w:r>
        <w:rPr>
          <w:rFonts w:ascii="Arial" w:cs="Arial" w:eastAsia="Arial" w:hAnsi="Arial"/>
          <w:sz w:val="18"/>
          <w:szCs w:val="18"/>
          <w:color w:val="auto"/>
        </w:rPr>
        <w:t>After repayment, no Term Loan may be re-borrowed.</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 w:name="page7"/>
    <w:bookmarkEnd w:id="6"/>
    <w:p>
      <w:pPr>
        <w:ind w:left="1600" w:hanging="296"/>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2.2(b)(i)</w:t>
      </w:r>
      <w:r>
        <w:rPr>
          <w:rFonts w:ascii="Arial" w:cs="Arial" w:eastAsia="Arial" w:hAnsi="Arial"/>
          <w:sz w:val="18"/>
          <w:szCs w:val="18"/>
          <w:color w:val="auto"/>
        </w:rPr>
        <w:t>. Section 2.2(b)(i) is hereby amended and restated as follows:</w:t>
      </w:r>
    </w:p>
    <w:p>
      <w:pPr>
        <w:spacing w:after="0" w:line="225" w:lineRule="exact"/>
        <w:rPr>
          <w:rFonts w:ascii="Arial" w:cs="Arial" w:eastAsia="Arial" w:hAnsi="Arial"/>
          <w:sz w:val="18"/>
          <w:szCs w:val="18"/>
          <w:color w:val="auto"/>
        </w:rPr>
      </w:pPr>
    </w:p>
    <w:p>
      <w:pPr>
        <w:jc w:val="both"/>
        <w:ind w:left="1960" w:firstLine="640"/>
        <w:spacing w:after="0" w:line="289" w:lineRule="auto"/>
        <w:tabs>
          <w:tab w:leader="none" w:pos="2865"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Borrower shall make quarterly payments of interest, in arrears, commencing on the first (1st) Payment Date following the Effective Date, and continuing on the Payment Date of each successive quarter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interest otherwise required to be paid on May 14, 2020 shall be paid in kind (such interest, together with any other interest that may be deferred from time to time, being “</w:t>
      </w:r>
      <w:r>
        <w:rPr>
          <w:rFonts w:ascii="Arial" w:cs="Arial" w:eastAsia="Arial" w:hAnsi="Arial"/>
          <w:sz w:val="16"/>
          <w:szCs w:val="16"/>
          <w:b w:val="1"/>
          <w:bCs w:val="1"/>
          <w:color w:val="auto"/>
        </w:rPr>
        <w:t>PIK Interest</w:t>
      </w:r>
      <w:r>
        <w:rPr>
          <w:rFonts w:ascii="Arial" w:cs="Arial" w:eastAsia="Arial" w:hAnsi="Arial"/>
          <w:sz w:val="16"/>
          <w:szCs w:val="16"/>
          <w:color w:val="auto"/>
        </w:rPr>
        <w:t>”) and added to the principal balance of the Term Loans with no further action by Collateral Agent, Lenders or Borrower. Commencing on the Effective Date, and continuing on the Payment Date of each quarter thereafter, Borrower shall make payments of principal and interest (other than PIK Interest) to each Lender in accordance with Section 2.6. All unpaid principal and accrued and unpaid interest with respect to each Term Loan is due and payable in full on the Maturity Date. The Term Loans may only be prepaid (other than via the application of Revenue-Based Payments in accordance with Section 2.6) in accordance with Sections 2.2(c) and 2.2(d).</w:t>
      </w:r>
    </w:p>
    <w:p>
      <w:pPr>
        <w:spacing w:after="0" w:line="166" w:lineRule="exact"/>
        <w:rPr>
          <w:rFonts w:ascii="Arial" w:cs="Arial" w:eastAsia="Arial" w:hAnsi="Arial"/>
          <w:sz w:val="16"/>
          <w:szCs w:val="16"/>
          <w:color w:val="auto"/>
        </w:rPr>
      </w:pPr>
    </w:p>
    <w:p>
      <w:pPr>
        <w:ind w:left="1560" w:hanging="256"/>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2.3(a)</w:t>
      </w:r>
      <w:r>
        <w:rPr>
          <w:rFonts w:ascii="Arial" w:cs="Arial" w:eastAsia="Arial" w:hAnsi="Arial"/>
          <w:sz w:val="18"/>
          <w:szCs w:val="18"/>
          <w:color w:val="auto"/>
        </w:rPr>
        <w:t>. Section 2.3(a) is hereby amended and restated as follows:</w:t>
      </w:r>
    </w:p>
    <w:p>
      <w:pPr>
        <w:spacing w:after="0" w:line="225" w:lineRule="exact"/>
        <w:rPr>
          <w:rFonts w:ascii="Arial" w:cs="Arial" w:eastAsia="Arial" w:hAnsi="Arial"/>
          <w:sz w:val="18"/>
          <w:szCs w:val="18"/>
          <w:color w:val="auto"/>
        </w:rPr>
      </w:pPr>
    </w:p>
    <w:p>
      <w:pPr>
        <w:jc w:val="both"/>
        <w:ind w:left="1960" w:firstLine="640"/>
        <w:spacing w:after="0" w:line="273" w:lineRule="auto"/>
        <w:tabs>
          <w:tab w:leader="none" w:pos="2866"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2.3(b), the principal amount outstanding under the Term Loans (including any capitalized PIK Interest outstanding from time to time) shall accrue interest at a per annum rate equal to the Applicable Rate plus the LIBOR Rate, which interest shall be payable quarterly in arrears in accordance with Sections 2.2(b) and 2.3(e). Interest shall accrue on each Term Loan commencing on, and including, the Funding Date of such Term Loan (or in the case of PIK Interest, on the date such PIK Interest was capitalized), and shall accrue on the principal amount outstanding under such Term Loan through and including the day on which such Term Loan is paid in full.</w:t>
      </w:r>
    </w:p>
    <w:p>
      <w:pPr>
        <w:spacing w:after="0" w:line="177" w:lineRule="exact"/>
        <w:rPr>
          <w:rFonts w:ascii="Arial" w:cs="Arial" w:eastAsia="Arial" w:hAnsi="Arial"/>
          <w:sz w:val="17"/>
          <w:szCs w:val="17"/>
          <w:color w:val="auto"/>
        </w:rPr>
      </w:pPr>
    </w:p>
    <w:p>
      <w:pPr>
        <w:ind w:left="1600" w:hanging="296"/>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Section 5.9</w:t>
      </w:r>
      <w:r>
        <w:rPr>
          <w:rFonts w:ascii="Arial" w:cs="Arial" w:eastAsia="Arial" w:hAnsi="Arial"/>
          <w:sz w:val="18"/>
          <w:szCs w:val="18"/>
          <w:color w:val="auto"/>
        </w:rPr>
        <w:t>. Section 5.9 is hereby amended and restated as follows:</w:t>
      </w:r>
    </w:p>
    <w:p>
      <w:pPr>
        <w:spacing w:after="0" w:line="221" w:lineRule="exact"/>
        <w:rPr>
          <w:sz w:val="20"/>
          <w:szCs w:val="20"/>
          <w:color w:val="auto"/>
        </w:rPr>
      </w:pPr>
    </w:p>
    <w:p>
      <w:pPr>
        <w:jc w:val="both"/>
        <w:ind w:left="1960" w:firstLine="648"/>
        <w:spacing w:after="0" w:line="274"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Use of Proceeds.</w:t>
      </w:r>
      <w:r>
        <w:rPr>
          <w:rFonts w:ascii="Arial" w:cs="Arial" w:eastAsia="Arial" w:hAnsi="Arial"/>
          <w:sz w:val="17"/>
          <w:szCs w:val="17"/>
          <w:color w:val="auto"/>
        </w:rPr>
        <w:t xml:space="preserve"> Borrower shall (a) use the proceeds of the Term A Loans solely as working capital and to fund its general business requirements in accordance with the provisions of this Agreement, and not for personal, family, household or agricultural purposes; (b) use the proceeds of the Term B Loans solely for Permitted Acquisitions in accordance with the provisions of this Agreement, and not for personal, family, household or agricultural purposes; and (c) use the proceeds of the Term C Loans solely as working capital and to fund its general business requirements in accordance with the provisions of this Agreement, and not for personal, family, household or agricultural purposes.</w:t>
      </w:r>
    </w:p>
    <w:p>
      <w:pPr>
        <w:spacing w:after="0" w:line="177" w:lineRule="exact"/>
        <w:rPr>
          <w:sz w:val="20"/>
          <w:szCs w:val="20"/>
          <w:color w:val="auto"/>
        </w:rPr>
      </w:pPr>
    </w:p>
    <w:p>
      <w:pPr>
        <w:ind w:firstLine="1304"/>
        <w:spacing w:after="0" w:line="277" w:lineRule="auto"/>
        <w:tabs>
          <w:tab w:leader="none" w:pos="1664"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Lenders and Commitments</w:t>
      </w:r>
      <w:r>
        <w:rPr>
          <w:rFonts w:ascii="Arial" w:cs="Arial" w:eastAsia="Arial" w:hAnsi="Arial"/>
          <w:sz w:val="18"/>
          <w:szCs w:val="18"/>
          <w:color w:val="auto"/>
        </w:rPr>
        <w:t xml:space="preserve">. Schedule 1.1 of the Loan and Security Agreement, the Schedules of Lenders and Commitments, is hereby amended and restated in its entirety with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66" w:lineRule="exact"/>
        <w:rPr>
          <w:rFonts w:ascii="Arial" w:cs="Arial" w:eastAsia="Arial" w:hAnsi="Arial"/>
          <w:sz w:val="18"/>
          <w:szCs w:val="18"/>
          <w:color w:val="auto"/>
        </w:rPr>
      </w:pPr>
    </w:p>
    <w:p>
      <w:pPr>
        <w:jc w:val="both"/>
        <w:ind w:firstLine="818"/>
        <w:spacing w:after="0" w:line="266" w:lineRule="auto"/>
        <w:tabs>
          <w:tab w:leader="none" w:pos="106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References Within Loan and Security Agreement</w:t>
      </w:r>
      <w:r>
        <w:rPr>
          <w:rFonts w:ascii="Arial" w:cs="Arial" w:eastAsia="Arial" w:hAnsi="Arial"/>
          <w:sz w:val="18"/>
          <w:szCs w:val="18"/>
          <w:color w:val="auto"/>
        </w:rPr>
        <w:t>. Each reference in the Loan and Security Agreement to “this Agreement” and the words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“herein,” “hereunder,” or words of like import, shall mean and be a reference to the Loan and Security Agreement as amended by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color w:val="auto"/>
        </w:rPr>
        <w:t>. Except as set forth in this Section 3, this Amendment shall become effective as of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shall have delivered to Collateral Agent this Amendment duly executed by an authorized officer of Borrower, and Collateral Agent and each Lender shall have executed and delivered this Amendment. The effectiveness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shall be subject to the satisfaction of each of the following conditions precedent:</w:t>
      </w:r>
    </w:p>
    <w:p>
      <w:pPr>
        <w:spacing w:after="0" w:line="180" w:lineRule="exact"/>
        <w:rPr>
          <w:sz w:val="20"/>
          <w:szCs w:val="20"/>
          <w:color w:val="auto"/>
        </w:rPr>
      </w:pPr>
    </w:p>
    <w:p>
      <w:pPr>
        <w:jc w:val="both"/>
        <w:ind w:firstLine="818"/>
        <w:spacing w:after="0" w:line="266" w:lineRule="auto"/>
        <w:tabs>
          <w:tab w:leader="none" w:pos="1068"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Fees and Expenses</w:t>
      </w:r>
      <w:r>
        <w:rPr>
          <w:rFonts w:ascii="Arial" w:cs="Arial" w:eastAsia="Arial" w:hAnsi="Arial"/>
          <w:sz w:val="18"/>
          <w:szCs w:val="18"/>
          <w:color w:val="auto"/>
        </w:rPr>
        <w:t>. Borrower shall have paid (i) a commitment fee equal to $10,000, (ii) all invoiced costs and expenses then due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5(d)</w:t>
      </w:r>
      <w:r>
        <w:rPr>
          <w:rFonts w:ascii="Arial" w:cs="Arial" w:eastAsia="Arial" w:hAnsi="Arial"/>
          <w:sz w:val="18"/>
          <w:szCs w:val="18"/>
          <w:color w:val="auto"/>
        </w:rPr>
        <w:t>, and (iii) all other fees, costs and expenses, if any, due and payable as of the Amendment Effective Date under the Loan and Security Agreement.</w:t>
      </w:r>
    </w:p>
    <w:p>
      <w:pPr>
        <w:spacing w:after="0" w:line="175" w:lineRule="exact"/>
        <w:rPr>
          <w:rFonts w:ascii="Arial" w:cs="Arial" w:eastAsia="Arial" w:hAnsi="Arial"/>
          <w:sz w:val="18"/>
          <w:szCs w:val="18"/>
          <w:color w:val="auto"/>
        </w:rPr>
      </w:pPr>
    </w:p>
    <w:p>
      <w:pPr>
        <w:ind w:firstLine="818"/>
        <w:spacing w:after="0" w:line="282" w:lineRule="auto"/>
        <w:tabs>
          <w:tab w:leader="none" w:pos="106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contemplated hereby:</w:t>
      </w:r>
    </w:p>
    <w:p>
      <w:pPr>
        <w:spacing w:after="0" w:line="165" w:lineRule="exact"/>
        <w:rPr>
          <w:rFonts w:ascii="Arial" w:cs="Arial" w:eastAsia="Arial" w:hAnsi="Arial"/>
          <w:sz w:val="18"/>
          <w:szCs w:val="18"/>
          <w:color w:val="auto"/>
        </w:rPr>
      </w:pPr>
    </w:p>
    <w:p>
      <w:pPr>
        <w:ind w:right="20" w:firstLine="1304"/>
        <w:spacing w:after="0" w:line="277" w:lineRule="auto"/>
        <w:tabs>
          <w:tab w:leader="none" w:pos="15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and correct on and as of the Amendment Effective Date as though made on and as of such date;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exist no Events of Default or events that with the passage of time would result in an Event of Default.</w:t>
      </w:r>
    </w:p>
    <w:p>
      <w:pPr>
        <w:spacing w:after="0" w:line="221" w:lineRule="exact"/>
        <w:rPr>
          <w:rFonts w:ascii="Arial" w:cs="Arial" w:eastAsia="Arial" w:hAnsi="Arial"/>
          <w:sz w:val="18"/>
          <w:szCs w:val="18"/>
          <w:color w:val="auto"/>
        </w:rPr>
      </w:pPr>
    </w:p>
    <w:p>
      <w:pPr>
        <w:ind w:firstLine="818"/>
        <w:spacing w:after="0" w:line="282" w:lineRule="auto"/>
        <w:tabs>
          <w:tab w:leader="none" w:pos="108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Corporate Deliverables</w:t>
      </w:r>
      <w:r>
        <w:rPr>
          <w:rFonts w:ascii="Arial" w:cs="Arial" w:eastAsia="Arial" w:hAnsi="Arial"/>
          <w:sz w:val="18"/>
          <w:szCs w:val="18"/>
          <w:color w:val="auto"/>
        </w:rPr>
        <w:t>. Collateral Agent shall have received a copy of resolutions of the governing body for Borrower evidencing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this Amendment.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To induce the Lenders to enter into this Amendment, Borrower hereby confirms,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w:t>
      </w:r>
    </w:p>
    <w:p>
      <w:pPr>
        <w:spacing w:after="0" w:line="166" w:lineRule="exact"/>
        <w:rPr>
          <w:sz w:val="20"/>
          <w:szCs w:val="20"/>
          <w:color w:val="auto"/>
        </w:rPr>
      </w:pPr>
    </w:p>
    <w:p>
      <w:pPr>
        <w:jc w:val="both"/>
        <w:ind w:firstLine="818"/>
        <w:spacing w:after="0" w:line="279" w:lineRule="auto"/>
        <w:tabs>
          <w:tab w:leader="none" w:pos="10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it in Section 5 of the Loan and Security Agreement and in the other Loan Documents are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w:t>
      </w:r>
      <w:r>
        <w:rPr>
          <w:rFonts w:ascii="Arial" w:cs="Arial" w:eastAsia="Arial" w:hAnsi="Arial"/>
          <w:sz w:val="17"/>
          <w:szCs w:val="17"/>
          <w:i w:val="1"/>
          <w:iCs w:val="1"/>
          <w:color w:val="auto"/>
        </w:rPr>
        <w:t>provided, further</w:t>
      </w:r>
      <w:r>
        <w:rPr>
          <w:rFonts w:ascii="Arial" w:cs="Arial" w:eastAsia="Arial" w:hAnsi="Arial"/>
          <w:sz w:val="17"/>
          <w:szCs w:val="17"/>
          <w:color w:val="auto"/>
        </w:rPr>
        <w:t>, that to the extent such representations and warranties by their terms expressly relate only to a prior date such representations and warranties shall be true and correct as of such prior date;</w:t>
      </w:r>
    </w:p>
    <w:p>
      <w:pPr>
        <w:spacing w:after="0" w:line="171" w:lineRule="exact"/>
        <w:rPr>
          <w:rFonts w:ascii="Arial" w:cs="Arial" w:eastAsia="Arial" w:hAnsi="Arial"/>
          <w:sz w:val="17"/>
          <w:szCs w:val="17"/>
          <w:color w:val="auto"/>
        </w:rPr>
      </w:pPr>
    </w:p>
    <w:p>
      <w:pPr>
        <w:ind w:firstLine="818"/>
        <w:spacing w:after="0" w:line="277" w:lineRule="auto"/>
        <w:tabs>
          <w:tab w:leader="none" w:pos="10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Borrower’s directors (or other applicable governing body) have authorized the execution, delivery and performance of this Amendment and any and all other Loan Documents executed and/or delivered in connection herewith;</w:t>
      </w:r>
    </w:p>
    <w:p>
      <w:pPr>
        <w:spacing w:after="0" w:line="170" w:lineRule="exact"/>
        <w:rPr>
          <w:rFonts w:ascii="Arial" w:cs="Arial" w:eastAsia="Arial" w:hAnsi="Arial"/>
          <w:sz w:val="18"/>
          <w:szCs w:val="18"/>
          <w:color w:val="auto"/>
        </w:rPr>
      </w:pPr>
    </w:p>
    <w:p>
      <w:pPr>
        <w:ind w:left="1060" w:hanging="24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has not been and there does not exist a Material Adverse Change;</w:t>
      </w:r>
    </w:p>
    <w:p>
      <w:pPr>
        <w:spacing w:after="0" w:line="225" w:lineRule="exact"/>
        <w:rPr>
          <w:rFonts w:ascii="Arial" w:cs="Arial" w:eastAsia="Arial" w:hAnsi="Arial"/>
          <w:sz w:val="18"/>
          <w:szCs w:val="18"/>
          <w:color w:val="auto"/>
        </w:rPr>
      </w:pPr>
    </w:p>
    <w:p>
      <w:pPr>
        <w:jc w:val="both"/>
        <w:ind w:firstLine="818"/>
        <w:spacing w:after="0" w:line="263" w:lineRule="auto"/>
        <w:tabs>
          <w:tab w:leader="none" w:pos="10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 has and shall continue to have valid, enforceable and perfected first-priority liens, subject only to Permitted Liens, on and security interests in the Collateral and all other collateral heretofore granted by Borrower to Lender, pursuant to the Loan Documents or otherwise granted to or held by Lender;</w:t>
      </w:r>
    </w:p>
    <w:p>
      <w:pPr>
        <w:spacing w:after="0" w:line="183" w:lineRule="exact"/>
        <w:rPr>
          <w:rFonts w:ascii="Arial" w:cs="Arial" w:eastAsia="Arial" w:hAnsi="Arial"/>
          <w:sz w:val="18"/>
          <w:szCs w:val="18"/>
          <w:color w:val="auto"/>
        </w:rPr>
      </w:pPr>
    </w:p>
    <w:p>
      <w:pPr>
        <w:jc w:val="both"/>
        <w:ind w:firstLine="818"/>
        <w:spacing w:after="0" w:line="259" w:lineRule="auto"/>
        <w:tabs>
          <w:tab w:leader="none" w:pos="10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w:t>
      </w:r>
    </w:p>
    <w:p>
      <w:pPr>
        <w:spacing w:after="0" w:line="186" w:lineRule="exact"/>
        <w:rPr>
          <w:rFonts w:ascii="Arial" w:cs="Arial" w:eastAsia="Arial" w:hAnsi="Arial"/>
          <w:sz w:val="18"/>
          <w:szCs w:val="18"/>
          <w:color w:val="auto"/>
        </w:rPr>
      </w:pPr>
    </w:p>
    <w:p>
      <w:pPr>
        <w:jc w:val="both"/>
        <w:ind w:firstLine="818"/>
        <w:spacing w:after="0" w:line="263" w:lineRule="auto"/>
        <w:tabs>
          <w:tab w:leader="none" w:pos="10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and</w:t>
      </w:r>
    </w:p>
    <w:p>
      <w:pPr>
        <w:spacing w:after="0" w:line="183" w:lineRule="exact"/>
        <w:rPr>
          <w:rFonts w:ascii="Arial" w:cs="Arial" w:eastAsia="Arial" w:hAnsi="Arial"/>
          <w:sz w:val="18"/>
          <w:szCs w:val="18"/>
          <w:color w:val="auto"/>
        </w:rPr>
      </w:pPr>
    </w:p>
    <w:p>
      <w:pPr>
        <w:ind w:left="1080" w:hanging="26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disclosed to Collateral Agent, Borrower has not amended its organizational documents since the date of the Loan Documents.</w:t>
      </w:r>
    </w:p>
    <w:p>
      <w:pPr>
        <w:spacing w:after="0" w:line="24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each reference in Section 5 of the Loan and Security Agreement to “this Agreement,” and the words “hereof,” “herein,” “hereunder,” or words of like import in such Section, shall mean and be a reference to the Loan and Security Agreement as amended by this Amendment.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1060" w:hanging="24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 No Novation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expressly amended pursuant hereto or referenced herein, the Loan and Security Agreement and the other Loan Documents shall remain unchanged and in full force and effect and are hereby ratified and confirmed in all respects. The Lenders’ and Collateral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70" w:val="left"/>
        </w:tabs>
        <w:numPr>
          <w:ilvl w:val="1"/>
          <w:numId w:val="13"/>
        </w:numPr>
        <w:rPr>
          <w:rFonts w:ascii="Arial" w:cs="Arial" w:eastAsia="Arial" w:hAnsi="Arial"/>
          <w:sz w:val="17"/>
          <w:szCs w:val="17"/>
          <w:color w:val="auto"/>
        </w:rPr>
      </w:pPr>
      <w:r>
        <w:rPr>
          <w:rFonts w:ascii="Arial" w:cs="Arial" w:eastAsia="Arial" w:hAnsi="Arial"/>
          <w:sz w:val="17"/>
          <w:szCs w:val="17"/>
          <w:color w:val="auto"/>
        </w:rPr>
        <w:t>Borrower hereby expressly (1) reaffirms, ratifies and confirms its Obligations under the Loan and Security Agreement and the other Loan Documents, (2) reaffirms, ratifies and confirms the grant of security under Section 4.1 of the Loan and Security Agreement, (3) reaffirms that such grant of security in the Collateral secures all Obligations under the Loan and Security Agreement, including without limitation any Term Loans funded on or after the Amendment Effective Date, as of the date hereof, and with effect from (and including) the Amendment Effective Date, such grant of security in the Collateral: (x) remains in full force and effect notwithstanding the amendments expressly referenced herein; and (y) secures all Obligations under the Loan and Security Agreement, as amended by this Amendment, and the other Loan Documents, (4) agrees that this Amendment shall be a “Loan Document” under the Loan and Security Agreement and (5) agrees that the Loan and Security Agreement and each other Loan Document shall remain in full force and effect following any action contemplated in connection herewith.</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16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Obligations under or in connection with the Loan and Security Agreement and any other Loan Document or to modify, affect or impair the perfection or continuity of Agent’s security interest in (on behalf of itself and the Lenders), security titles to or other liens on any Collateral for the Obligations.</w:t>
      </w:r>
    </w:p>
    <w:p>
      <w:pPr>
        <w:spacing w:after="0" w:line="183" w:lineRule="exact"/>
        <w:rPr>
          <w:rFonts w:ascii="Arial" w:cs="Arial" w:eastAsia="Arial" w:hAnsi="Arial"/>
          <w:sz w:val="18"/>
          <w:szCs w:val="18"/>
          <w:color w:val="auto"/>
        </w:rPr>
      </w:pPr>
    </w:p>
    <w:p>
      <w:pPr>
        <w:jc w:val="both"/>
        <w:ind w:firstLine="818"/>
        <w:spacing w:after="0" w:line="261" w:lineRule="auto"/>
        <w:tabs>
          <w:tab w:leader="none" w:pos="110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 deemed to have consented to, approved or accepted or to be satisfied with, each document or other matter required thereunder to be consented to or approved by or acceptable or satisfactory to a Lender unless Collateral Agent shall have received notice from such Lender prior to the Amendment Effective Date specifying its objection thereto.</w:t>
      </w:r>
    </w:p>
    <w:p>
      <w:pPr>
        <w:spacing w:after="0" w:line="179" w:lineRule="exact"/>
        <w:rPr>
          <w:rFonts w:ascii="Arial" w:cs="Arial" w:eastAsia="Arial" w:hAnsi="Arial"/>
          <w:sz w:val="18"/>
          <w:szCs w:val="18"/>
          <w:color w:val="auto"/>
        </w:rPr>
      </w:pPr>
    </w:p>
    <w:p>
      <w:pPr>
        <w:jc w:val="both"/>
        <w:ind w:firstLine="818"/>
        <w:spacing w:after="0" w:line="266" w:lineRule="auto"/>
        <w:tabs>
          <w:tab w:leader="none" w:pos="105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Borrower hereby acknowledges and confirms to Collateral Agent and the Lenders that Borrower is executing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basis of its own investigation and for its own reasons without reliance upon any agreement, representation, understanding or communication by or on behalf of any other Person.</w:t>
      </w:r>
    </w:p>
    <w:p>
      <w:pPr>
        <w:spacing w:after="0" w:line="175" w:lineRule="exact"/>
        <w:rPr>
          <w:rFonts w:ascii="Arial" w:cs="Arial" w:eastAsia="Arial" w:hAnsi="Arial"/>
          <w:sz w:val="18"/>
          <w:szCs w:val="18"/>
          <w:color w:val="auto"/>
        </w:rPr>
      </w:pPr>
    </w:p>
    <w:p>
      <w:pPr>
        <w:jc w:val="both"/>
        <w:ind w:firstLine="818"/>
        <w:spacing w:after="0" w:line="258" w:lineRule="auto"/>
        <w:tabs>
          <w:tab w:leader="none" w:pos="1078"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Borrower agrees to pay to Collateral Agent within ten (10) days of its receipt of an invoice (or on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to the extent invoiced on or prior to the Amendment Effective Date), the out-of-pocket costs and expenses of Collateral Agent and the Lenders party hereto, and the fees and disbursements of counsel to Collateral Agent and the Lenders party hereto (including allocated costs of internal counsel), in connection with the negotiation, preparation, execution and delivery of this Amendment and any other documents to be delivered in connection herewith on the Amendment Effective Date or after such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left="1060" w:hanging="24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5" w:lineRule="exact"/>
        <w:rPr>
          <w:rFonts w:ascii="Arial" w:cs="Arial" w:eastAsia="Arial" w:hAnsi="Arial"/>
          <w:sz w:val="18"/>
          <w:szCs w:val="18"/>
          <w:color w:val="auto"/>
        </w:rPr>
      </w:pPr>
    </w:p>
    <w:p>
      <w:pPr>
        <w:ind w:left="1060" w:hanging="24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AND THE RIGHTS AND OBLIGATIONS OF THE PARTIES HEREUNDER SHALL IN</w:t>
      </w:r>
    </w:p>
    <w:p>
      <w:pPr>
        <w:spacing w:after="0" w:line="27"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w:t>
      </w:r>
    </w:p>
    <w:p>
      <w:pPr>
        <w:spacing w:after="0" w:line="188" w:lineRule="exact"/>
        <w:rPr>
          <w:rFonts w:ascii="Arial" w:cs="Arial" w:eastAsia="Arial" w:hAnsi="Arial"/>
          <w:sz w:val="18"/>
          <w:szCs w:val="18"/>
          <w:color w:val="auto"/>
        </w:rPr>
      </w:pPr>
    </w:p>
    <w:p>
      <w:pPr>
        <w:jc w:val="both"/>
        <w:ind w:firstLine="818"/>
        <w:spacing w:after="0" w:line="261" w:lineRule="auto"/>
        <w:tabs>
          <w:tab w:leader="none" w:pos="106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Complete Agreement; Amendments</w:t>
      </w:r>
      <w:r>
        <w:rPr>
          <w:rFonts w:ascii="Arial" w:cs="Arial" w:eastAsia="Arial" w:hAnsi="Arial"/>
          <w:sz w:val="18"/>
          <w:szCs w:val="18"/>
          <w:color w:val="auto"/>
        </w:rPr>
        <w:t>. This Amendment and the Loan Documents represent the entire agreement about this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9" w:lineRule="exact"/>
        <w:rPr>
          <w:rFonts w:ascii="Arial" w:cs="Arial" w:eastAsia="Arial" w:hAnsi="Arial"/>
          <w:sz w:val="18"/>
          <w:szCs w:val="18"/>
          <w:color w:val="auto"/>
        </w:rPr>
      </w:pPr>
    </w:p>
    <w:p>
      <w:pPr>
        <w:ind w:left="1080" w:hanging="26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Amendment is severable from every other provision in determining the enforceability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provision.</w:t>
      </w:r>
    </w:p>
    <w:p>
      <w:pPr>
        <w:spacing w:after="0" w:line="206" w:lineRule="exact"/>
        <w:rPr>
          <w:rFonts w:ascii="Arial" w:cs="Arial" w:eastAsia="Arial" w:hAnsi="Arial"/>
          <w:sz w:val="16"/>
          <w:szCs w:val="16"/>
          <w:color w:val="auto"/>
        </w:rPr>
      </w:pPr>
    </w:p>
    <w:p>
      <w:pPr>
        <w:jc w:val="both"/>
        <w:ind w:firstLine="818"/>
        <w:spacing w:after="0" w:line="261" w:lineRule="auto"/>
        <w:tabs>
          <w:tab w:leader="none" w:pos="102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9" w:lineRule="exact"/>
        <w:rPr>
          <w:rFonts w:ascii="Arial" w:cs="Arial" w:eastAsia="Arial" w:hAnsi="Arial"/>
          <w:sz w:val="18"/>
          <w:szCs w:val="18"/>
          <w:color w:val="auto"/>
        </w:rPr>
      </w:pPr>
    </w:p>
    <w:p>
      <w:pPr>
        <w:ind w:left="1040" w:hanging="22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Loan Documents.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Appear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be executed as of the date first written above.</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PARK COMPOUNDING,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HARROW IP,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ETON PHARMA EQUITY,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SURFACE PHARMA EQUITY,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MELT PHARMA EQUITY,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MAYFIELD PHARMA EQUITY,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STOWE PHARMA EQUITY,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RADLEY PHARMA EQUITY, LLC</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Andrew Boll</w:t>
      </w:r>
    </w:p>
    <w:p>
      <w:pPr>
        <w:spacing w:after="0" w:line="3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IMPRIMIS NJOF, LLC</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IMPRIMISRX NJ, LLC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IMPRIMISRX, LLC</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P.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John P. Saharek</w:t>
      </w:r>
    </w:p>
    <w:p>
      <w:pPr>
        <w:spacing w:after="0" w:line="3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Second Amendment to Loan &amp;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SWK FUNDING,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SWC HOLDING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/s/Winston Black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Winston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Signature Page to Second Amendment to Loan &amp;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7"/>
              </w:rPr>
              <w:t>SCHEDULE 1.1</w:t>
            </w:r>
          </w:p>
        </w:tc>
        <w:tc>
          <w:tcPr>
            <w:tcW w:w="3600" w:type="dxa"/>
            <w:vAlign w:val="bottom"/>
          </w:tcPr>
          <w:p>
            <w:pPr>
              <w:spacing w:after="0"/>
              <w:rPr>
                <w:sz w:val="20"/>
                <w:szCs w:val="20"/>
                <w:color w:val="auto"/>
              </w:rPr>
            </w:pPr>
          </w:p>
        </w:tc>
      </w:tr>
      <w:tr>
        <w:trPr>
          <w:trHeight w:val="39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Lenders and Commitments</w:t>
            </w:r>
          </w:p>
        </w:tc>
        <w:tc>
          <w:tcPr>
            <w:tcW w:w="96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1"/>
              </w:rPr>
              <w:t>Term A Loans</w:t>
            </w:r>
          </w:p>
        </w:tc>
        <w:tc>
          <w:tcPr>
            <w:tcW w:w="3600" w:type="dxa"/>
            <w:vAlign w:val="bottom"/>
          </w:tcPr>
          <w:p>
            <w:pPr>
              <w:spacing w:after="0"/>
              <w:rPr>
                <w:sz w:val="24"/>
                <w:szCs w:val="24"/>
                <w:color w:val="auto"/>
              </w:rPr>
            </w:pPr>
          </w:p>
        </w:tc>
      </w:tr>
      <w:tr>
        <w:trPr>
          <w:trHeight w:val="459"/>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Lender</w:t>
            </w:r>
          </w:p>
        </w:tc>
        <w:tc>
          <w:tcPr>
            <w:tcW w:w="740" w:type="dxa"/>
            <w:vAlign w:val="bottom"/>
          </w:tcPr>
          <w:p>
            <w:pPr>
              <w:spacing w:after="0"/>
              <w:rPr>
                <w:sz w:val="24"/>
                <w:szCs w:val="24"/>
                <w:color w:val="auto"/>
              </w:rPr>
            </w:pPr>
          </w:p>
        </w:tc>
        <w:tc>
          <w:tcPr>
            <w:tcW w:w="30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3"/>
              </w:rPr>
              <w:t>Term A Loan Commitment</w:t>
            </w:r>
          </w:p>
        </w:tc>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Commitment Percentage</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SWK Funding LLC</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88"/>
              </w:rPr>
              <w:t>$9,720,000</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60.75%</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HI Imprimis, LLC</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color w:val="auto"/>
                <w:w w:val="88"/>
              </w:rPr>
              <w:t>$6,000,000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37.50%</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SR-Imprimis, LLC</w:t>
            </w:r>
          </w:p>
        </w:tc>
        <w:tc>
          <w:tcPr>
            <w:tcW w:w="28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0"/>
              </w:rPr>
              <w:t>$280,000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TOTAL</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$16,000,000.00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1"/>
              </w:rPr>
              <w:t>Term B Loans</w:t>
            </w:r>
          </w:p>
        </w:tc>
        <w:tc>
          <w:tcPr>
            <w:tcW w:w="3600" w:type="dxa"/>
            <w:vAlign w:val="bottom"/>
          </w:tcPr>
          <w:p>
            <w:pPr>
              <w:spacing w:after="0"/>
              <w:rPr>
                <w:sz w:val="24"/>
                <w:szCs w:val="24"/>
                <w:color w:val="auto"/>
              </w:rPr>
            </w:pPr>
          </w:p>
        </w:tc>
      </w:tr>
      <w:tr>
        <w:trPr>
          <w:trHeight w:val="459"/>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Lender</w:t>
            </w:r>
          </w:p>
        </w:tc>
        <w:tc>
          <w:tcPr>
            <w:tcW w:w="740" w:type="dxa"/>
            <w:vAlign w:val="bottom"/>
          </w:tcPr>
          <w:p>
            <w:pPr>
              <w:spacing w:after="0"/>
              <w:rPr>
                <w:sz w:val="24"/>
                <w:szCs w:val="24"/>
                <w:color w:val="auto"/>
              </w:rPr>
            </w:pPr>
          </w:p>
        </w:tc>
        <w:tc>
          <w:tcPr>
            <w:tcW w:w="306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2"/>
              </w:rPr>
              <w:t>Term Loan B Commitment</w:t>
            </w:r>
          </w:p>
        </w:tc>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Commitment Percentage</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SWK Funding LLC</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88"/>
              </w:rPr>
              <w:t>$3,037,500</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60.75%</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HI Imprimis, LLC</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color w:val="auto"/>
                <w:w w:val="88"/>
              </w:rPr>
              <w:t>$1,875,000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37.50%</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SR-Imprimis, LLC</w:t>
            </w:r>
          </w:p>
        </w:tc>
        <w:tc>
          <w:tcPr>
            <w:tcW w:w="28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2"/>
              </w:rPr>
              <w:t>$87,500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TOTAL</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$5,000,000.00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1"/>
              </w:rPr>
              <w:t>Term C Loans</w:t>
            </w:r>
          </w:p>
        </w:tc>
        <w:tc>
          <w:tcPr>
            <w:tcW w:w="3600" w:type="dxa"/>
            <w:vAlign w:val="bottom"/>
          </w:tcPr>
          <w:p>
            <w:pPr>
              <w:spacing w:after="0"/>
              <w:rPr>
                <w:sz w:val="24"/>
                <w:szCs w:val="24"/>
                <w:color w:val="auto"/>
              </w:rPr>
            </w:pPr>
          </w:p>
        </w:tc>
      </w:tr>
      <w:tr>
        <w:trPr>
          <w:trHeight w:val="459"/>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Lender</w:t>
            </w:r>
          </w:p>
        </w:tc>
        <w:tc>
          <w:tcPr>
            <w:tcW w:w="740" w:type="dxa"/>
            <w:vAlign w:val="bottom"/>
          </w:tcPr>
          <w:p>
            <w:pPr>
              <w:spacing w:after="0"/>
              <w:rPr>
                <w:sz w:val="24"/>
                <w:szCs w:val="24"/>
                <w:color w:val="auto"/>
              </w:rPr>
            </w:pPr>
          </w:p>
        </w:tc>
        <w:tc>
          <w:tcPr>
            <w:tcW w:w="30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3"/>
              </w:rPr>
              <w:t>Term Loan C Commitment</w:t>
            </w:r>
          </w:p>
        </w:tc>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Commitment Percentage</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SWK Funding LLC</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0"/>
              </w:rPr>
              <w:t>$607,500</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60.75%</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HI Imprimis, LLC</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color w:val="auto"/>
                <w:w w:val="90"/>
              </w:rPr>
              <w:t>$375,000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37.50%</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SR-Imprimis, LLC</w:t>
            </w:r>
          </w:p>
        </w:tc>
        <w:tc>
          <w:tcPr>
            <w:tcW w:w="28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2"/>
              </w:rPr>
              <w:t>$17,500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TOTAL</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$1,000,000.00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Aggregate (all Term Loans)</w:t>
            </w:r>
          </w:p>
        </w:tc>
        <w:tc>
          <w:tcPr>
            <w:tcW w:w="3600" w:type="dxa"/>
            <w:vAlign w:val="bottom"/>
          </w:tcPr>
          <w:p>
            <w:pPr>
              <w:spacing w:after="0"/>
              <w:rPr>
                <w:sz w:val="24"/>
                <w:szCs w:val="24"/>
                <w:color w:val="auto"/>
              </w:rPr>
            </w:pPr>
          </w:p>
        </w:tc>
      </w:tr>
      <w:tr>
        <w:trPr>
          <w:trHeight w:val="459"/>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Lender</w:t>
            </w:r>
          </w:p>
        </w:tc>
        <w:tc>
          <w:tcPr>
            <w:tcW w:w="740" w:type="dxa"/>
            <w:vAlign w:val="bottom"/>
          </w:tcPr>
          <w:p>
            <w:pPr>
              <w:spacing w:after="0"/>
              <w:rPr>
                <w:sz w:val="24"/>
                <w:szCs w:val="24"/>
                <w:color w:val="auto"/>
              </w:rPr>
            </w:pPr>
          </w:p>
        </w:tc>
        <w:tc>
          <w:tcPr>
            <w:tcW w:w="306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2"/>
              </w:rPr>
              <w:t>Term Loan Commitment</w:t>
            </w:r>
          </w:p>
        </w:tc>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Commitment Percentage</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SWK Funding LLC</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$13,365,000</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60.75%</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HI Imprimis, LLC</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color w:val="auto"/>
                <w:w w:val="88"/>
              </w:rPr>
              <w:t>$8,250,000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37.50%</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SR-Imprimis, LLC</w:t>
            </w:r>
          </w:p>
        </w:tc>
        <w:tc>
          <w:tcPr>
            <w:tcW w:w="284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0"/>
              </w:rPr>
              <w:t>$385,000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TOTAL</w:t>
            </w:r>
          </w:p>
        </w:tc>
        <w:tc>
          <w:tcPr>
            <w:tcW w:w="28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$22,000,000.00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100.00%</w:t>
            </w:r>
          </w:p>
        </w:tc>
      </w:tr>
      <w:tr>
        <w:trPr>
          <w:trHeight w:val="42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3" w:name="page14"/>
    <w:bookmarkEnd w:id="1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0"/>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5">
    <w:nsid w:val="4DB127F8"/>
    <w:multiLevelType w:val="hybridMultilevel"/>
    <w:lvl w:ilvl="0">
      <w:lvlJc w:val="left"/>
      <w:lvlText w:val="(%1)"/>
      <w:numFmt w:val="lowerRoman"/>
      <w:start w:val="4"/>
    </w:lvl>
    <w:lvl w:ilvl="1">
      <w:lvlJc w:val="left"/>
      <w:lvlText w:val="(%2)"/>
      <w:numFmt w:val="lowerLetter"/>
      <w:start w:val="9"/>
    </w:lvl>
  </w:abstractNum>
  <w:abstractNum w:abstractNumId="6">
    <w:nsid w:val="216231B"/>
    <w:multiLevelType w:val="hybridMultilevel"/>
    <w:lvl w:ilvl="0">
      <w:lvlJc w:val="left"/>
      <w:lvlText w:val="%1"/>
      <w:numFmt w:val="lowerRoman"/>
      <w:start w:val="1"/>
    </w:lvl>
    <w:lvl w:ilvl="1">
      <w:lvlJc w:val="left"/>
      <w:lvlText w:val="(%2)"/>
      <w:numFmt w:val="lowerLetter"/>
      <w:start w:val="1"/>
    </w:lvl>
  </w:abstractNum>
  <w:abstractNum w:abstractNumId="7">
    <w:nsid w:val="1F16E9E8"/>
    <w:multiLevelType w:val="hybridMultilevel"/>
    <w:lvl w:ilvl="0">
      <w:lvlJc w:val="left"/>
      <w:lvlText w:val="(%1)"/>
      <w:numFmt w:val="lowerRoman"/>
      <w:start w:val="6"/>
    </w:lvl>
    <w:lvl w:ilvl="1">
      <w:lvlJc w:val="left"/>
      <w:lvlText w:val="%2"/>
      <w:numFmt w:val="lowerLetter"/>
      <w:start w:val="1"/>
    </w:lvl>
  </w:abstractNum>
  <w:abstractNum w:abstractNumId="8">
    <w:nsid w:val="1190CDE7"/>
    <w:multiLevelType w:val="hybridMultilevel"/>
    <w:lvl w:ilvl="0">
      <w:lvlJc w:val="left"/>
      <w:lvlText w:val="%1"/>
      <w:numFmt w:val="lowerLetter"/>
      <w:start w:val="1"/>
    </w:lvl>
    <w:lvl w:ilvl="1">
      <w:lvlJc w:val="left"/>
      <w:lvlText w:val="(%2)"/>
      <w:numFmt w:val="lowerRoman"/>
      <w:start w:val="7"/>
    </w:lvl>
  </w:abstractNum>
  <w:abstractNum w:abstractNumId="9">
    <w:nsid w:val="66EF438D"/>
    <w:multiLevelType w:val="hybridMultilevel"/>
    <w:lvl w:ilvl="0">
      <w:lvlJc w:val="left"/>
      <w:lvlText w:val="(%1)"/>
      <w:numFmt w:val="lowerLetter"/>
      <w:start w:val="2"/>
    </w:lvl>
    <w:lvl w:ilvl="1">
      <w:lvlJc w:val="left"/>
      <w:lvlText w:val="%2"/>
      <w:numFmt w:val="lowerRoman"/>
      <w:start w:val="1"/>
    </w:lvl>
  </w:abstractNum>
  <w:abstractNum w:abstractNumId="10">
    <w:nsid w:val="140E0F76"/>
    <w:multiLevelType w:val="hybridMultilevel"/>
    <w:lvl w:ilvl="0">
      <w:lvlJc w:val="left"/>
      <w:lvlText w:val="(%1)"/>
      <w:numFmt w:val="lowerLetter"/>
      <w:start w:val="1"/>
    </w:lvl>
    <w:lvl w:ilvl="1">
      <w:lvlJc w:val="left"/>
      <w:lvlText w:val="(%2)"/>
      <w:numFmt w:val="lowerRoman"/>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2020-04-03T06:31:50Z</dcterms:created>
  <dcterms:modified xsi:type="dcterms:W3CDTF">2020-04-03T06:31:50Z</dcterms:modified>
</cp:coreProperties>
</file>