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LINDSTROM RICHARD L MD</w:t>
              </w:r>
            </w:hyperlink>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HARROW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2"/>
                <w:szCs w:val="2"/>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5"/>
                <w:szCs w:val="15"/>
                <w:color w:val="auto"/>
              </w:rPr>
            </w:pP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HARROW HEALTH, INC.</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09/30/2022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NASHVILLE   TN</w:t>
            </w:r>
          </w:p>
        </w:tc>
        <w:tc>
          <w:tcPr>
            <w:tcW w:w="8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37205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5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09/30/2022</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40,000</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12.62</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21"/>
                <w:szCs w:val="21"/>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26,100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predetermined Rule 10b5-1 trading plan adopted by the reporting person during December 2021.</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$13.03 to $12.50, inclusive. The reporting person undertakes to provide to Harrow Health, Inc. ("Harrow"), any security holder of Harrow,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the Lindstrom Family Limited Partnership No 2, a limited partnership of which the reporting person is the 100% owner and sole general partner.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Richard Lindstrom</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10/03/2022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2022-10-03T17:05:23Z</dcterms:created>
  <dcterms:modified xsi:type="dcterms:W3CDTF">2022-10-03T17:05:23Z</dcterms:modified>
</cp:coreProperties>
</file>