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59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5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380" w:type="dxa"/>
            <w:vAlign w:val="bottom"/>
            <w:gridSpan w:val="4"/>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440" w:type="dxa"/>
            <w:vAlign w:val="bottom"/>
            <w:gridSpan w:val="5"/>
          </w:tcPr>
          <w:p>
            <w:pPr>
              <w:ind w:left="260"/>
              <w:spacing w:after="0"/>
              <w:rPr>
                <w:sz w:val="20"/>
                <w:szCs w:val="20"/>
                <w:color w:val="auto"/>
              </w:rPr>
            </w:pPr>
            <w:r>
              <w:rPr>
                <w:rFonts w:ascii="Arial" w:cs="Arial" w:eastAsia="Arial" w:hAnsi="Arial"/>
                <w:sz w:val="12"/>
                <w:szCs w:val="12"/>
                <w:b w:val="1"/>
                <w:bCs w:val="1"/>
                <w:color w:val="auto"/>
              </w:rPr>
              <w:t>6. Ownership  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3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jc w:val="center"/>
              <w:ind w:left="31"/>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24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05/12/2025</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25.8959</w:t>
            </w:r>
            <w:r>
              <w:rPr>
                <w:rFonts w:ascii="Times New Roman" w:cs="Times New Roman" w:eastAsia="Times New Roman" w:hAnsi="Times New Roman"/>
                <w:sz w:val="22"/>
                <w:szCs w:val="22"/>
                <w:color w:val="008000"/>
                <w:w w:val="97"/>
                <w:vertAlign w:val="superscript"/>
              </w:rPr>
              <w:t>(3)</w:t>
            </w:r>
          </w:p>
        </w:tc>
        <w:tc>
          <w:tcPr>
            <w:tcW w:w="60" w:type="dxa"/>
            <w:vAlign w:val="bottom"/>
          </w:tcPr>
          <w:p>
            <w:pPr>
              <w:spacing w:after="0"/>
              <w:rPr>
                <w:sz w:val="21"/>
                <w:szCs w:val="21"/>
                <w:color w:val="auto"/>
              </w:rPr>
            </w:pPr>
          </w:p>
        </w:tc>
        <w:tc>
          <w:tcPr>
            <w:tcW w:w="860" w:type="dxa"/>
            <w:vAlign w:val="bottom"/>
            <w:gridSpan w:val="2"/>
            <w:vMerge w:val="restart"/>
          </w:tcPr>
          <w:p>
            <w:pPr>
              <w:jc w:val="center"/>
              <w:ind w:left="74"/>
              <w:spacing w:after="0"/>
              <w:rPr>
                <w:sz w:val="20"/>
                <w:szCs w:val="20"/>
                <w:color w:val="auto"/>
              </w:rPr>
            </w:pPr>
            <w:r>
              <w:rPr>
                <w:rFonts w:ascii="Times New Roman" w:cs="Times New Roman" w:eastAsia="Times New Roman" w:hAnsi="Times New Roman"/>
                <w:sz w:val="17"/>
                <w:szCs w:val="17"/>
                <w:color w:val="0000FF"/>
              </w:rPr>
              <w:t>130,000</w:t>
            </w:r>
          </w:p>
        </w:tc>
        <w:tc>
          <w:tcPr>
            <w:tcW w:w="98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Managed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340" w:type="dxa"/>
            <w:vAlign w:val="bottom"/>
            <w:gridSpan w:val="2"/>
            <w:vMerge w:val="restart"/>
          </w:tcPr>
          <w:p>
            <w:pPr>
              <w:ind w:left="160"/>
              <w:spacing w:after="0" w:line="281" w:lineRule="exact"/>
              <w:rPr>
                <w:sz w:val="20"/>
                <w:szCs w:val="20"/>
                <w:color w:val="auto"/>
              </w:rPr>
            </w:pPr>
            <w:r>
              <w:rPr>
                <w:rFonts w:ascii="Times New Roman" w:cs="Times New Roman" w:eastAsia="Times New Roman" w:hAnsi="Times New Roman"/>
                <w:sz w:val="32"/>
                <w:szCs w:val="32"/>
                <w:color w:val="0000FF"/>
                <w:w w:val="93"/>
                <w:vertAlign w:val="subscript"/>
              </w:rPr>
              <w:t>Account</w:t>
            </w:r>
            <w:r>
              <w:rPr>
                <w:rFonts w:ascii="Times New Roman" w:cs="Times New Roman" w:eastAsia="Times New Roman" w:hAnsi="Times New Roman"/>
                <w:sz w:val="11"/>
                <w:szCs w:val="11"/>
                <w:color w:val="008000"/>
                <w:w w:val="93"/>
              </w:rPr>
              <w:t>(1)(3)(4)(5)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tcBorders>
              <w:bottom w:val="single" w:sz="8" w:color="2C2C2C"/>
            </w:tcBorders>
            <w:vMerge w:val="continue"/>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05/13/2025</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2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ind w:right="3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26.589</w:t>
            </w:r>
            <w:r>
              <w:rPr>
                <w:rFonts w:ascii="Times New Roman" w:cs="Times New Roman" w:eastAsia="Times New Roman" w:hAnsi="Times New Roman"/>
                <w:sz w:val="22"/>
                <w:szCs w:val="22"/>
                <w:color w:val="008000"/>
                <w:vertAlign w:val="superscript"/>
              </w:rPr>
              <w:t>(4)</w:t>
            </w:r>
          </w:p>
        </w:tc>
        <w:tc>
          <w:tcPr>
            <w:tcW w:w="60" w:type="dxa"/>
            <w:vAlign w:val="bottom"/>
          </w:tcPr>
          <w:p>
            <w:pPr>
              <w:spacing w:after="0"/>
              <w:rPr>
                <w:sz w:val="21"/>
                <w:szCs w:val="21"/>
                <w:color w:val="auto"/>
              </w:rPr>
            </w:pPr>
          </w:p>
        </w:tc>
        <w:tc>
          <w:tcPr>
            <w:tcW w:w="860" w:type="dxa"/>
            <w:vAlign w:val="bottom"/>
            <w:gridSpan w:val="2"/>
            <w:vMerge w:val="restart"/>
          </w:tcPr>
          <w:p>
            <w:pPr>
              <w:jc w:val="center"/>
              <w:ind w:left="74"/>
              <w:spacing w:after="0"/>
              <w:rPr>
                <w:sz w:val="20"/>
                <w:szCs w:val="20"/>
                <w:color w:val="auto"/>
              </w:rPr>
            </w:pPr>
            <w:r>
              <w:rPr>
                <w:rFonts w:ascii="Times New Roman" w:cs="Times New Roman" w:eastAsia="Times New Roman" w:hAnsi="Times New Roman"/>
                <w:sz w:val="17"/>
                <w:szCs w:val="17"/>
                <w:color w:val="0000FF"/>
              </w:rPr>
              <w:t>125,000</w:t>
            </w:r>
          </w:p>
        </w:tc>
        <w:tc>
          <w:tcPr>
            <w:tcW w:w="98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Managed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340" w:type="dxa"/>
            <w:vAlign w:val="bottom"/>
            <w:gridSpan w:val="2"/>
            <w:vMerge w:val="restart"/>
          </w:tcPr>
          <w:p>
            <w:pPr>
              <w:ind w:left="160"/>
              <w:spacing w:after="0" w:line="281" w:lineRule="exact"/>
              <w:rPr>
                <w:sz w:val="20"/>
                <w:szCs w:val="20"/>
                <w:color w:val="auto"/>
              </w:rPr>
            </w:pPr>
            <w:r>
              <w:rPr>
                <w:rFonts w:ascii="Times New Roman" w:cs="Times New Roman" w:eastAsia="Times New Roman" w:hAnsi="Times New Roman"/>
                <w:sz w:val="32"/>
                <w:szCs w:val="32"/>
                <w:color w:val="0000FF"/>
                <w:w w:val="93"/>
                <w:vertAlign w:val="subscript"/>
              </w:rPr>
              <w:t>Account</w:t>
            </w:r>
            <w:r>
              <w:rPr>
                <w:rFonts w:ascii="Times New Roman" w:cs="Times New Roman" w:eastAsia="Times New Roman" w:hAnsi="Times New Roman"/>
                <w:sz w:val="11"/>
                <w:szCs w:val="11"/>
                <w:color w:val="008000"/>
                <w:w w:val="93"/>
              </w:rPr>
              <w:t>(1)(3)(4)(5)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tcBorders>
              <w:bottom w:val="single" w:sz="8" w:color="2C2C2C"/>
            </w:tcBorders>
            <w:vMerge w:val="continue"/>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2"/>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rPr>
              <w:t>3,815,000</w:t>
            </w:r>
          </w:p>
        </w:tc>
        <w:tc>
          <w:tcPr>
            <w:tcW w:w="98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Opaleye,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restart"/>
          </w:tcPr>
          <w:p>
            <w:pPr>
              <w:ind w:left="160"/>
              <w:spacing w:after="0" w:line="281" w:lineRule="exact"/>
              <w:rPr>
                <w:sz w:val="20"/>
                <w:szCs w:val="20"/>
                <w:color w:val="auto"/>
              </w:rPr>
            </w:pPr>
            <w:r>
              <w:rPr>
                <w:rFonts w:ascii="Times New Roman" w:cs="Times New Roman" w:eastAsia="Times New Roman" w:hAnsi="Times New Roman"/>
                <w:sz w:val="32"/>
                <w:szCs w:val="32"/>
                <w:color w:val="0000FF"/>
                <w:w w:val="88"/>
                <w:vertAlign w:val="subscript"/>
              </w:rPr>
              <w:t>L.P.</w:t>
            </w:r>
            <w:r>
              <w:rPr>
                <w:rFonts w:ascii="Times New Roman" w:cs="Times New Roman" w:eastAsia="Times New Roman" w:hAnsi="Times New Roman"/>
                <w:sz w:val="11"/>
                <w:szCs w:val="11"/>
                <w:color w:val="008000"/>
                <w:w w:val="88"/>
              </w:rPr>
              <w:t>(2)(5)</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40" w:type="dxa"/>
            <w:vAlign w:val="bottom"/>
            <w:gridSpan w:val="11"/>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gridSpan w:val="2"/>
          </w:tcPr>
          <w:p>
            <w:pPr>
              <w:ind w:left="5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9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$25.1642 - $26.4028 inclusive. The reporting person undertakes to provide, upon request by the SEC staff, the issuer, or a security holder of the issuer, full information regarding the number of shares sold at each price.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$26.5214 - $26.6565 inclusive. The reporting person undertakes to provide, upon request by the SEC staff, the issuer, or a security holder of the issuer, full information regarding the number of shares sold at each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2025-05-14T16:00:01Z</dcterms:created>
  <dcterms:modified xsi:type="dcterms:W3CDTF">2025-05-14T16:00:01Z</dcterms:modified>
</cp:coreProperties>
</file>