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nt10-k.htm"/>
      <w:bookmarkStart w:id="1" w:name="ksformnt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 001-35814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415858109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100"/>
        <w:gridCol w:w="60"/>
        <w:gridCol w:w="4565"/>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One)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 Form 20-F ☐ Form 11-K ☐ Form 10-Q</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10-D ☐ Form N-CEN ☐ Form N-CSR</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Transition Period Ended: </w:t>
            </w:r>
          </w:p>
        </w:tc>
      </w:tr>
    </w:tbl>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978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1A Burton Hills Blvd.,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w:t>
      </w:r>
      <w:r>
        <w:rPr>
          <w:rFonts w:ascii="Times New Roman;Times;Serif" w:hAnsi="Times New Roman;Times;Serif"/>
          <w:b/>
          <w:i/>
          <w:caps w:val="false"/>
          <w:smallCaps w:val="false"/>
          <w:sz w:val="20"/>
        </w:rPr>
        <w:t>Street and Number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Nashville, Tennessee 37215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sz w:val="4"/>
                <w:szCs w:val="4"/>
              </w:rPr>
            </w:pPr>
            <w:r>
              <w:rPr>
                <w:sz w:val="4"/>
                <w:szCs w:val="4"/>
              </w:rPr>
            </w:r>
          </w:p>
        </w:tc>
        <w:tc>
          <w:tcPr>
            <w:tcW w:w="199" w:type="dxa"/>
            <w:tcBorders>
              <w:left w:val="single" w:sz="8" w:space="0" w:color="000000"/>
            </w:tcBorders>
            <w:tcMar>
              <w:left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99" w:type="dxa"/>
            <w:tcBorders>
              <w:left w:val="single" w:sz="8" w:space="0" w:color="000000"/>
            </w:tcBorders>
            <w:tcMar>
              <w:left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filing this Notification of Late Filing on Form 12b-25 with respect to its Annual Report on Form 10-K for the fiscal year ended December 31, 2024 (the “</w:t>
      </w:r>
      <w:r>
        <w:rPr>
          <w:rFonts w:ascii="Times New Roman;Times;Serif" w:hAnsi="Times New Roman;Times;Serif"/>
          <w:b w:val="false"/>
          <w:i w:val="false"/>
          <w:caps w:val="false"/>
          <w:smallCaps w:val="false"/>
          <w:sz w:val="20"/>
          <w:u w:val="single"/>
        </w:rPr>
        <w:t>Form 10-K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could not file the Form 10-K within the prescribed period without unreasonable effort or expense. Although management has been working diligently to complete all of the required information for the Form 10-K, the Company requires additional time to perform certain accounting analyses, complete management’s evaluation of internal controls over financial reporting, and prepare certain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that (i) the Form 10-K will not result in changes to the preliminary unaudited financial results for the full year and fourth quarter of 2024 announced in the Company’s press release dated March 17, 2025 furnished with a Current Report on Form 8-K dated March 17, 2025, and (ii) the Form 10-K will be filed as soon as practicable on or before the 15th calendar day following the prescribed due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IV — OTHER INFORMATION </w:t>
      </w:r>
    </w:p>
    <w:p>
      <w:pPr>
        <w:pStyle w:val="TextBody"/>
        <w:bidi w:val="0"/>
        <w:spacing w:before="0" w:after="0"/>
        <w:ind w:left="0" w:right="0" w:hanging="0"/>
        <w:jc w:val="center"/>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260"/>
        <w:gridCol w:w="1923"/>
        <w:gridCol w:w="90"/>
        <w:gridCol w:w="1563"/>
        <w:gridCol w:w="90"/>
        <w:gridCol w:w="2667"/>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3"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tcBorders/>
            <w:vAlign w:val="center"/>
          </w:tcPr>
          <w:p>
            <w:pPr>
              <w:pStyle w:val="TableContents"/>
              <w:bidi w:val="0"/>
              <w:spacing w:before="0" w:after="283"/>
              <w:jc w:val="left"/>
              <w:rPr>
                <w:caps w:val="false"/>
                <w:smallCaps w:val="false"/>
              </w:rPr>
            </w:pPr>
            <w:r>
              <w:rPr>
                <w:caps w:val="false"/>
                <w:smallCaps w:val="false"/>
              </w:rPr>
              <w:t> </w:t>
            </w:r>
          </w:p>
        </w:tc>
        <w:tc>
          <w:tcPr>
            <w:tcW w:w="165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19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6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733-4730</w:t>
            </w:r>
          </w:p>
        </w:tc>
      </w:tr>
      <w:tr>
        <w:trPr/>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192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6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 Code)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66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it anticipated that any significant change in results of operations from the corresponding period for the last fiscal year will be reflected by the earnings statements to be included in the subject report or portion thereof? </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Attachment A</w:t>
            </w:r>
            <w:r>
              <w:rPr>
                <w:rFonts w:ascii="Times New Roman;Times;Serif" w:hAnsi="Times New Roman;Times;Serif"/>
                <w:b w:val="false"/>
                <w:i w:val="false"/>
                <w:caps w:val="false"/>
                <w:smallCaps w:val="false"/>
                <w:sz w:val="20"/>
              </w:rPr>
              <w:t xml:space="preserve"> hereto for preliminary unaudited financial results reported in the Company’s March 17, 2025 press release, which attachment is incorporated herein by reference.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745"/>
        <w:gridCol w:w="545"/>
        <w:gridCol w:w="1895"/>
      </w:tblGrid>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both"/>
        <w:rPr>
          <w:caps w:val="false"/>
          <w:smallCaps w:val="false"/>
        </w:rPr>
      </w:pPr>
      <w:r>
        <w:rPr>
          <w:caps w:val="false"/>
          <w:smallCaps w:val="false"/>
        </w:rPr>
        <w:t> </w:t>
      </w:r>
    </w:p>
    <w:tbl>
      <w:tblPr>
        <w:tblW w:w="8960" w:type="dxa"/>
        <w:jc w:val="left"/>
        <w:tblInd w:w="-10" w:type="dxa"/>
        <w:tblLayout w:type="fixed"/>
        <w:tblCellMar>
          <w:top w:w="28" w:type="dxa"/>
          <w:left w:w="28" w:type="dxa"/>
          <w:bottom w:w="28" w:type="dxa"/>
          <w:right w:w="28" w:type="dxa"/>
        </w:tblCellMar>
      </w:tblPr>
      <w:tblGrid>
        <w:gridCol w:w="8960"/>
      </w:tblGrid>
      <w:tr>
        <w:trPr/>
        <w:tc>
          <w:tcPr>
            <w:tcW w:w="8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 misstatements or omissions of fact constitute Federal Criminal Violations (See 18 U.S.C. 1001).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Attachment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its press release issued on March 17, 2025, included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the Company’s Current Report on Form 8-K filed March 17, 2025 (the “Form 8-K”), the Company reported the following preliminary unaudited results with respect to its 2024 full fiscal year and fourth quarter.</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4175"/>
        <w:gridCol w:w="60"/>
        <w:gridCol w:w="140"/>
        <w:gridCol w:w="2495"/>
        <w:gridCol w:w="60"/>
        <w:gridCol w:w="60"/>
        <w:gridCol w:w="140"/>
        <w:gridCol w:w="1730"/>
        <w:gridCol w:w="75"/>
      </w:tblGrid>
      <w:tr>
        <w:trPr/>
        <w:tc>
          <w:tcPr>
            <w:tcW w:w="4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95" w:type="dxa"/>
            <w:tcBorders>
              <w:bottom w:val="single" w:sz="8" w:space="0" w:color="000000"/>
            </w:tcBorders>
            <w:shd w:fill="FFFFFF" w:val="clear"/>
            <w:tcMar>
              <w:bottom w:w="28"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br/>
              <w:t>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shd w:fill="FFFFFF" w:val="clear"/>
            <w:tcMar>
              <w:bottom w:w="28"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br/>
              <w:t>December 31, 2024</w:t>
            </w:r>
          </w:p>
        </w:tc>
        <w:tc>
          <w:tcPr>
            <w:tcW w:w="7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4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65 - $67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198 - $200 million</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both"/>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4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 $7 million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7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 - $(19) million</w:t>
            </w:r>
          </w:p>
        </w:tc>
        <w:tc>
          <w:tcPr>
            <w:tcW w:w="7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both"/>
              <w:rPr/>
            </w:pPr>
            <w:r>
              <w:rPr/>
              <w:t>Adjusted EBITDA (a non-GAAP measure)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4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21 - $23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39 - $41 million</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and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189" w:type="dxa"/>
        <w:jc w:val="left"/>
        <w:tblInd w:w="0" w:type="dxa"/>
        <w:tblLayout w:type="fixed"/>
        <w:tblCellMar>
          <w:top w:w="0" w:type="dxa"/>
          <w:left w:w="0" w:type="dxa"/>
          <w:bottom w:w="0" w:type="dxa"/>
          <w:right w:w="0" w:type="dxa"/>
        </w:tblCellMar>
      </w:tblPr>
      <w:tblGrid>
        <w:gridCol w:w="3875"/>
        <w:gridCol w:w="60"/>
        <w:gridCol w:w="162"/>
        <w:gridCol w:w="2407"/>
        <w:gridCol w:w="95"/>
        <w:gridCol w:w="60"/>
        <w:gridCol w:w="140"/>
        <w:gridCol w:w="2315"/>
        <w:gridCol w:w="7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bottom w:val="single" w:sz="8" w:space="0" w:color="000000"/>
            </w:tcBorders>
            <w:tcMar>
              <w:bottom w:w="28" w:type="dxa"/>
            </w:tcMar>
            <w:vAlign w:val="center"/>
          </w:tcPr>
          <w:p>
            <w:pPr>
              <w:pStyle w:val="TableContents"/>
              <w:bidi w:val="0"/>
              <w:spacing w:before="0" w:after="283"/>
              <w:jc w:val="center"/>
              <w:rPr/>
            </w:pPr>
            <w:r>
              <w:rPr/>
              <w:t>For the Three Months</w:t>
              <w:br/>
              <w:t>Ended 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5" w:type="dxa"/>
            <w:gridSpan w:val="2"/>
            <w:tcBorders>
              <w:bottom w:val="single" w:sz="8" w:space="0" w:color="000000"/>
            </w:tcBorders>
            <w:tcMar>
              <w:bottom w:w="28" w:type="dxa"/>
            </w:tcMar>
            <w:vAlign w:val="center"/>
          </w:tcPr>
          <w:p>
            <w:pPr>
              <w:pStyle w:val="TableContents"/>
              <w:bidi w:val="0"/>
              <w:spacing w:before="0" w:after="283"/>
              <w:jc w:val="center"/>
              <w:rPr/>
            </w:pPr>
            <w:r>
              <w:rPr/>
              <w:t>For the Year Ended</w:t>
              <w:br/>
              <w:t>December 31, 2024</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income (loss) range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5,000,000 - 7,000,000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(17,000,000) – (19,000,000)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407" w:type="dxa"/>
            <w:tcBorders/>
            <w:shd w:fill="FFFFFF" w:val="clear"/>
            <w:vAlign w:val="center"/>
          </w:tcPr>
          <w:p>
            <w:pPr>
              <w:pStyle w:val="TableContents"/>
              <w:bidi w:val="0"/>
              <w:spacing w:before="0" w:after="283"/>
              <w:jc w:val="right"/>
              <w:rPr/>
            </w:pPr>
            <w:r>
              <w:rPr/>
              <w:t>4,794,000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17,619,000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253,000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253,000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407" w:type="dxa"/>
            <w:tcBorders/>
            <w:shd w:fill="FFFFFF" w:val="clear"/>
            <w:vAlign w:val="center"/>
          </w:tcPr>
          <w:p>
            <w:pPr>
              <w:pStyle w:val="TableContents"/>
              <w:bidi w:val="0"/>
              <w:spacing w:before="0" w:after="283"/>
              <w:jc w:val="right"/>
              <w:rPr/>
            </w:pPr>
            <w:r>
              <w:rPr/>
              <w:t>6,375,000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22,786,000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(514,000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161,000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407" w:type="dxa"/>
            <w:tcBorders/>
            <w:shd w:fill="FFFFFF" w:val="clear"/>
            <w:vAlign w:val="center"/>
          </w:tcPr>
          <w:p>
            <w:pPr>
              <w:pStyle w:val="TableContents"/>
              <w:bidi w:val="0"/>
              <w:spacing w:before="0" w:after="283"/>
              <w:jc w:val="right"/>
              <w:rPr/>
            </w:pPr>
            <w:r>
              <w:rPr/>
              <w:t>468,000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1,850,000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4,075,000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11,783,000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Investment loss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4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315" w:type="dxa"/>
            <w:tcBorders/>
            <w:shd w:fill="FFFFFF" w:val="clear"/>
            <w:vAlign w:val="center"/>
          </w:tcPr>
          <w:p>
            <w:pPr>
              <w:pStyle w:val="TableContents"/>
              <w:bidi w:val="0"/>
              <w:spacing w:before="0" w:after="283"/>
              <w:jc w:val="right"/>
              <w:rPr/>
            </w:pPr>
            <w:r>
              <w:rPr/>
              <w:t>3,171,000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07" w:type="dxa"/>
            <w:tcBorders>
              <w:bottom w:val="single" w:sz="8" w:space="0" w:color="000000"/>
            </w:tcBorders>
            <w:shd w:fill="CCEEFF" w:val="clear"/>
            <w:tcMar>
              <w:bottom w:w="28" w:type="dxa"/>
            </w:tcMar>
            <w:vAlign w:val="center"/>
          </w:tcPr>
          <w:p>
            <w:pPr>
              <w:pStyle w:val="TableContents"/>
              <w:bidi w:val="0"/>
              <w:spacing w:before="0" w:after="283"/>
              <w:jc w:val="right"/>
              <w:rPr/>
            </w:pPr>
            <w:r>
              <w:rPr/>
              <w:t>261,000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15" w:type="dxa"/>
            <w:tcBorders>
              <w:bottom w:val="single" w:sz="8" w:space="0" w:color="000000"/>
            </w:tcBorders>
            <w:shd w:fill="CCEEFF" w:val="clear"/>
            <w:tcMar>
              <w:bottom w:w="28" w:type="dxa"/>
            </w:tcMar>
            <w:vAlign w:val="center"/>
          </w:tcPr>
          <w:p>
            <w:pPr>
              <w:pStyle w:val="TableContents"/>
              <w:bidi w:val="0"/>
              <w:spacing w:before="0" w:after="283"/>
              <w:jc w:val="right"/>
              <w:rPr/>
            </w:pPr>
            <w:r>
              <w:rPr/>
              <w:t>185,000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xml:space="preserve">Adjusted EBITDA range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20,712,000 - 22,712,000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3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38,808,000 - 40,808,000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1150</Words>
  <Characters>6039</Characters>
  <CharactersWithSpaces>7265</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