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xdx_902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A_edei--DocumentPeriodEndDate_c202"/>
      <w:bookmarkEnd w:id="4"/>
      <w:r>
        <w:rPr>
          <w:rFonts w:ascii="Times New Roman;Times;Serif" w:hAnsi="Times New Roman;Times;Serif"/>
          <w:b/>
          <w:i w:val="false"/>
          <w:caps w:val="false"/>
          <w:smallCaps w:val="false"/>
          <w:sz w:val="20"/>
        </w:rPr>
        <w:t xml:space="preserve">March 31, </w:t>
      </w:r>
      <w:bookmarkStart w:id="5" w:name="xdx_907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xdx_902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F_edei--EntityFileNumber_c20250101"/>
      <w:bookmarkEnd w:id="7"/>
      <w:r>
        <w:rPr>
          <w:rFonts w:ascii="Times New Roman;Times;Serif" w:hAnsi="Times New Roman;Times;Serif"/>
          <w:b/>
          <w:i w:val="false"/>
          <w:caps w:val="false"/>
          <w:smallCaps w:val="false"/>
          <w:sz w:val="20"/>
        </w:rPr>
        <w:t>001-35814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7_edei--EntityRegistrantName_c2025"/>
      <w:bookmarkEnd w:id="8"/>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b/>
                <w:sz w:val="20"/>
              </w:rPr>
            </w:pPr>
            <w:bookmarkStart w:id="9" w:name="xdx_905_edei--EntityIncorporationStateCo"/>
            <w:bookmarkEnd w:id="9"/>
            <w:r>
              <w:rPr>
                <w:b/>
                <w:sz w:val="20"/>
              </w:rPr>
              <w:t>Delaware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10" w:name="xdx_902_edei--EntityTaxIdentificationNum"/>
            <w:bookmarkEnd w:id="10"/>
            <w:r>
              <w:rPr>
                <w:b/>
                <w:sz w:val="20"/>
              </w:rPr>
              <w:t>45-0567010</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F_edei--EntityAddressAddressLine1_"/>
            <w:bookmarkEnd w:id="11"/>
            <w:r>
              <w:rPr>
                <w:rFonts w:ascii="Times New Roman;Times;Serif" w:hAnsi="Times New Roman;Times;Serif"/>
                <w:b/>
                <w:i w:val="false"/>
                <w:caps w:val="false"/>
                <w:smallCaps w:val="false"/>
                <w:sz w:val="20"/>
              </w:rPr>
              <w:t xml:space="preserve">1A Burton Hills Blvd., </w:t>
            </w:r>
            <w:bookmarkStart w:id="12" w:name="xdx_908_edei--EntityAddressAddressLine2_"/>
            <w:bookmarkEnd w:id="12"/>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5_edei--EntityAddressCityOrTown_c2"/>
            <w:bookmarkEnd w:id="13"/>
            <w:r>
              <w:rPr>
                <w:rFonts w:ascii="Times New Roman;Times;Serif" w:hAnsi="Times New Roman;Times;Serif"/>
                <w:b/>
                <w:i w:val="false"/>
                <w:caps w:val="false"/>
                <w:smallCaps w:val="false"/>
                <w:sz w:val="20"/>
              </w:rPr>
              <w:t xml:space="preserve">Nashville, </w:t>
            </w:r>
            <w:bookmarkStart w:id="14" w:name="xdx_90B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center"/>
              <w:rPr>
                <w:b/>
                <w:sz w:val="20"/>
              </w:rPr>
            </w:pPr>
            <w:bookmarkStart w:id="15" w:name="xdx_902_edei--EntityAddressPostalZipCode"/>
            <w:bookmarkEnd w:id="15"/>
            <w:r>
              <w:rPr>
                <w:b/>
                <w:sz w:val="20"/>
              </w:rPr>
              <w:t>37215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F_edei--CityAreaCode_c20250101__20"/>
      <w:bookmarkEnd w:id="16"/>
      <w:r>
        <w:rPr>
          <w:rFonts w:ascii="Times New Roman;Times;Serif" w:hAnsi="Times New Roman;Times;Serif"/>
          <w:b/>
          <w:i w:val="false"/>
          <w:caps w:val="false"/>
          <w:smallCaps w:val="false"/>
          <w:sz w:val="20"/>
        </w:rPr>
        <w:t xml:space="preserve">(615) </w:t>
      </w:r>
      <w:bookmarkStart w:id="17" w:name="xdx_903_edei--LocalPhoneNumber_c20250101"/>
      <w:bookmarkEnd w:id="17"/>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215" w:type="dxa"/>
            <w:tcBorders>
              <w:bottom w:val="single" w:sz="8" w:space="0" w:color="000000"/>
            </w:tcBorders>
            <w:vAlign w:val="center"/>
          </w:tcPr>
          <w:p>
            <w:pPr>
              <w:pStyle w:val="TableContents"/>
              <w:bidi w:val="0"/>
              <w:spacing w:before="0" w:after="283"/>
              <w:jc w:val="center"/>
              <w:rPr>
                <w:sz w:val="20"/>
              </w:rPr>
            </w:pPr>
            <w:r>
              <w:rPr>
                <w:sz w:val="20"/>
              </w:rPr>
              <w:t>Name on exchange on which registered</w:t>
            </w:r>
          </w:p>
        </w:tc>
      </w:tr>
      <w:tr>
        <w:trPr/>
        <w:tc>
          <w:tcPr>
            <w:tcW w:w="3515" w:type="dxa"/>
            <w:tcBorders/>
            <w:tcMar>
              <w:bottom w:w="0" w:type="dxa"/>
            </w:tcMar>
            <w:vAlign w:val="center"/>
          </w:tcPr>
          <w:p>
            <w:pPr>
              <w:pStyle w:val="TableContents"/>
              <w:bidi w:val="0"/>
              <w:spacing w:before="0" w:after="283"/>
              <w:jc w:val="center"/>
              <w:rPr>
                <w:sz w:val="20"/>
              </w:rPr>
            </w:pPr>
            <w:bookmarkStart w:id="18" w:name="xdx_90A_edei--Security12bTitle_c20250101"/>
            <w:bookmarkEnd w:id="18"/>
            <w:r>
              <w:rPr>
                <w:sz w:val="20"/>
              </w:rPr>
              <w:t>Common Stock, $0.001 par value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D_edei--TradingSymbol_c20250101__2"/>
            <w:bookmarkEnd w:id="19"/>
            <w:r>
              <w:rPr>
                <w:sz w:val="20"/>
              </w:rPr>
              <w:t>HROW</w:t>
            </w:r>
          </w:p>
        </w:tc>
        <w:tc>
          <w:tcPr>
            <w:tcW w:w="60" w:type="dxa"/>
            <w:tcBorders/>
            <w:tcMar>
              <w:bottom w:w="0" w:type="dxa"/>
            </w:tcMar>
            <w:vAlign w:val="center"/>
          </w:tcPr>
          <w:p>
            <w:pPr>
              <w:pStyle w:val="TableContents"/>
              <w:bidi w:val="0"/>
              <w:spacing w:before="0" w:after="283"/>
              <w:jc w:val="center"/>
              <w:rPr/>
            </w:pPr>
            <w:r>
              <w:rPr/>
              <w:t> </w:t>
            </w:r>
          </w:p>
        </w:tc>
        <w:tc>
          <w:tcPr>
            <w:tcW w:w="3215" w:type="dxa"/>
            <w:tcBorders/>
            <w:tcMar>
              <w:bottom w:w="0" w:type="dxa"/>
            </w:tcMar>
            <w:vAlign w:val="center"/>
          </w:tcPr>
          <w:p>
            <w:pPr>
              <w:pStyle w:val="TableContents"/>
              <w:bidi w:val="0"/>
              <w:spacing w:before="0" w:after="283"/>
              <w:jc w:val="center"/>
              <w:rPr>
                <w:sz w:val="20"/>
              </w:rPr>
            </w:pPr>
            <w:bookmarkStart w:id="20" w:name="xdx_909_edei--SecurityExchangeName_c2025"/>
            <w:bookmarkEnd w:id="20"/>
            <w:r>
              <w:rPr>
                <w:sz w:val="20"/>
              </w:rPr>
              <w:t>The Nasdaq Stock Market LLC</w:t>
            </w:r>
          </w:p>
        </w:tc>
      </w:tr>
      <w:tr>
        <w:trPr/>
        <w:tc>
          <w:tcPr>
            <w:tcW w:w="3515" w:type="dxa"/>
            <w:tcBorders/>
            <w:tcMar>
              <w:bottom w:w="0" w:type="dxa"/>
            </w:tcMar>
            <w:vAlign w:val="center"/>
          </w:tcPr>
          <w:p>
            <w:pPr>
              <w:pStyle w:val="TableContents"/>
              <w:bidi w:val="0"/>
              <w:spacing w:before="0" w:after="283"/>
              <w:jc w:val="center"/>
              <w:rPr>
                <w:sz w:val="20"/>
              </w:rPr>
            </w:pPr>
            <w:bookmarkStart w:id="21" w:name="xdx_90E_edei--Security12bTitle_c20250101"/>
            <w:bookmarkEnd w:id="21"/>
            <w:r>
              <w:rPr>
                <w:sz w:val="20"/>
              </w:rPr>
              <w:t>8.625% Senior Notes due 2026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22" w:name="xdx_903_edei--TradingSymbol_c20250101__2"/>
            <w:bookmarkEnd w:id="22"/>
            <w:r>
              <w:rPr>
                <w:sz w:val="20"/>
              </w:rPr>
              <w:t>HROWL</w:t>
            </w:r>
          </w:p>
        </w:tc>
        <w:tc>
          <w:tcPr>
            <w:tcW w:w="60" w:type="dxa"/>
            <w:tcBorders/>
            <w:tcMar>
              <w:bottom w:w="0" w:type="dxa"/>
            </w:tcMar>
            <w:vAlign w:val="center"/>
          </w:tcPr>
          <w:p>
            <w:pPr>
              <w:pStyle w:val="TableContents"/>
              <w:bidi w:val="0"/>
              <w:spacing w:before="0" w:after="283"/>
              <w:jc w:val="center"/>
              <w:rPr/>
            </w:pPr>
            <w:r>
              <w:rPr/>
              <w:t> </w:t>
            </w:r>
          </w:p>
        </w:tc>
        <w:tc>
          <w:tcPr>
            <w:tcW w:w="3215" w:type="dxa"/>
            <w:tcBorders/>
            <w:tcMar>
              <w:bottom w:w="0" w:type="dxa"/>
            </w:tcMar>
            <w:vAlign w:val="center"/>
          </w:tcPr>
          <w:p>
            <w:pPr>
              <w:pStyle w:val="TableContents"/>
              <w:bidi w:val="0"/>
              <w:spacing w:before="0" w:after="283"/>
              <w:jc w:val="center"/>
              <w:rPr>
                <w:sz w:val="20"/>
              </w:rPr>
            </w:pPr>
            <w:bookmarkStart w:id="23" w:name="xdx_90A_edei--SecurityExchangeName_c2025"/>
            <w:bookmarkEnd w:id="23"/>
            <w:r>
              <w:rPr>
                <w:sz w:val="20"/>
              </w:rPr>
              <w:t>The Nasdaq Stock Market LLC</w:t>
            </w:r>
          </w:p>
        </w:tc>
      </w:tr>
      <w:tr>
        <w:trPr/>
        <w:tc>
          <w:tcPr>
            <w:tcW w:w="3515" w:type="dxa"/>
            <w:tcBorders/>
            <w:tcMar>
              <w:bottom w:w="0" w:type="dxa"/>
            </w:tcMar>
            <w:vAlign w:val="center"/>
          </w:tcPr>
          <w:p>
            <w:pPr>
              <w:pStyle w:val="TableContents"/>
              <w:bidi w:val="0"/>
              <w:spacing w:before="0" w:after="283"/>
              <w:jc w:val="center"/>
              <w:rPr>
                <w:sz w:val="20"/>
              </w:rPr>
            </w:pPr>
            <w:bookmarkStart w:id="24" w:name="xdx_904_edei--Security12bTitle_c20250101"/>
            <w:bookmarkEnd w:id="24"/>
            <w:r>
              <w:rPr>
                <w:sz w:val="20"/>
              </w:rPr>
              <w:t>11.875% Senior Notes due 2027</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25" w:name="xdx_906_edei--TradingSymbol_c20250101__2"/>
            <w:bookmarkEnd w:id="25"/>
            <w:r>
              <w:rPr>
                <w:sz w:val="20"/>
              </w:rPr>
              <w:t>HROWM</w:t>
            </w:r>
          </w:p>
        </w:tc>
        <w:tc>
          <w:tcPr>
            <w:tcW w:w="60" w:type="dxa"/>
            <w:tcBorders/>
            <w:tcMar>
              <w:bottom w:w="0" w:type="dxa"/>
            </w:tcMar>
            <w:vAlign w:val="center"/>
          </w:tcPr>
          <w:p>
            <w:pPr>
              <w:pStyle w:val="TableContents"/>
              <w:bidi w:val="0"/>
              <w:spacing w:before="0" w:after="283"/>
              <w:jc w:val="center"/>
              <w:rPr/>
            </w:pPr>
            <w:r>
              <w:rPr/>
              <w:t> </w:t>
            </w:r>
          </w:p>
        </w:tc>
        <w:tc>
          <w:tcPr>
            <w:tcW w:w="3215" w:type="dxa"/>
            <w:tcBorders/>
            <w:tcMar>
              <w:bottom w:w="0" w:type="dxa"/>
            </w:tcMar>
            <w:vAlign w:val="center"/>
          </w:tcPr>
          <w:p>
            <w:pPr>
              <w:pStyle w:val="TableContents"/>
              <w:bidi w:val="0"/>
              <w:spacing w:before="0" w:after="283"/>
              <w:jc w:val="center"/>
              <w:rPr>
                <w:sz w:val="20"/>
              </w:rPr>
            </w:pPr>
            <w:bookmarkStart w:id="26" w:name="xdx_904_edei--SecurityExchangeName_c2025"/>
            <w:bookmarkEnd w:id="26"/>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A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5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bookmarkStart w:id="29" w:name="xdx_905_edei--EntityFilerCategory_c20250"/>
            <w:bookmarkEnd w:id="29"/>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bookmarkStart w:id="30" w:name="xdx_90C_edei--EntitySmallBusiness_c20250"/>
            <w:bookmarkEnd w:id="30"/>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bookmarkStart w:id="31" w:name="xdx_904_edei--EntityEmergingGrowthCompan"/>
            <w:bookmarkEnd w:id="31"/>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No </w:t>
      </w:r>
      <w:bookmarkStart w:id="32" w:name="xdx_909_edei--EntityShellCompany_dbF_c20"/>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7, 2025, there were </w:t>
      </w:r>
      <w:bookmarkStart w:id="33" w:name="xdx_904_edei--EntityCommonStockSharesOut"/>
      <w:bookmarkEnd w:id="33"/>
      <w:r>
        <w:rPr>
          <w:rFonts w:ascii="Times New Roman;Times;Serif" w:hAnsi="Times New Roman;Times;Serif"/>
          <w:b w:val="false"/>
          <w:i w:val="false"/>
          <w:caps w:val="false"/>
          <w:smallCaps w:val="false"/>
          <w:sz w:val="20"/>
        </w:rPr>
        <w:t>36,699,553 shares of the registrant’s common stock, $</w:t>
      </w:r>
      <w:bookmarkStart w:id="34" w:name="xdx_90A_edei--EntityListingParValuePerSh"/>
      <w:bookmarkEnd w:id="34"/>
      <w:r>
        <w:rPr>
          <w:rFonts w:ascii="Times New Roman;Times;Serif" w:hAnsi="Times New Roman;Times;Serif"/>
          <w:b w:val="false"/>
          <w:i w:val="false"/>
          <w:caps w:val="false"/>
          <w:smallCaps w:val="false"/>
          <w:sz w:val="20"/>
        </w:rPr>
        <w:t>0.001 par value,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HARROW,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25"/>
        <w:gridCol w:w="60"/>
        <w:gridCol w:w="7280"/>
        <w:gridCol w:w="60"/>
        <w:gridCol w:w="45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25" w:type="dxa"/>
            <w:tcBorders/>
            <w:shd w:fill="CCEEFF" w:val="clear"/>
            <w:vAlign w:val="center"/>
          </w:tcPr>
          <w:p>
            <w:pPr>
              <w:pStyle w:val="TableContents"/>
              <w:bidi w:val="0"/>
              <w:spacing w:before="0" w:after="283"/>
              <w:jc w:val="left"/>
              <w:rPr>
                <w:sz w:val="20"/>
              </w:rPr>
            </w:pPr>
            <w:r>
              <w:rPr>
                <w:sz w:val="20"/>
              </w:rPr>
              <w:t>Part I</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FINANCIAL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1.</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2.</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26</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3.</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31</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4.</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Controls and Procedures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32</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Part II</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1.</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1A.</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2.</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3.</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4.</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Mine Safety Disclosures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5.</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6.</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Exhibits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34</w:t>
            </w:r>
          </w:p>
        </w:tc>
      </w:tr>
      <w:tr>
        <w:trPr/>
        <w:tc>
          <w:tcPr>
            <w:tcW w:w="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35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01"/>
      <w:bookmarkEnd w:id="3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02"/>
      <w:bookmarkEnd w:id="36"/>
      <w:r>
        <w:rPr>
          <w:rFonts w:ascii="Times New Roman;Times;Serif" w:hAnsi="Times New Roman;Times;Serif"/>
          <w:b/>
          <w:i w:val="false"/>
          <w:caps w:val="false"/>
          <w:smallCaps w:val="false"/>
          <w:sz w:val="20"/>
        </w:rPr>
        <w:t>Item 1. Financial Statements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xdx_30A_111_zaxkRjlMM571"/>
      <w:bookmarkStart w:id="38" w:name="xdx_30A_111_zaxkRjlMM571"/>
      <w:bookmarkEnd w:id="38"/>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 w:name="xdx_496_20250331_zTOHYca47NKa"/>
            <w:bookmarkEnd w:id="39"/>
          </w:p>
        </w:tc>
        <w:tc>
          <w:tcPr>
            <w:tcW w:w="1435" w:type="dxa"/>
            <w:gridSpan w:val="2"/>
            <w:tcBorders/>
            <w:vAlign w:val="center"/>
          </w:tcPr>
          <w:p>
            <w:pPr>
              <w:pStyle w:val="TableContents"/>
              <w:bidi w:val="0"/>
              <w:spacing w:before="0" w:after="283"/>
              <w:jc w:val="center"/>
              <w:rPr/>
            </w:pPr>
            <w:r>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 w:name="xdx_499_20241231_zUQPQX88LfUa"/>
            <w:bookmarkEnd w:id="40"/>
          </w:p>
        </w:tc>
        <w:tc>
          <w:tcPr>
            <w:tcW w:w="1435" w:type="dxa"/>
            <w:gridSpan w:val="2"/>
            <w:tcBorders/>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1" w:name="xdx_40B_eus-gaap--AssetsAbstract_iB_zTox"/>
            <w:bookmarkEnd w:id="41"/>
          </w:p>
        </w:tc>
      </w:tr>
      <w:tr>
        <w:trPr/>
        <w:tc>
          <w:tcPr>
            <w:tcW w:w="7010"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2" w:name="xdx_40C_eus-gaap--AssetsCurrentAbstract_"/>
            <w:bookmarkEnd w:id="42"/>
          </w:p>
        </w:tc>
      </w:tr>
      <w:tr>
        <w:trPr/>
        <w:tc>
          <w:tcPr>
            <w:tcW w:w="70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 w:name="xdx_400_eus-gaap--CashAndCashEquivalents"/>
            <w:bookmarkEnd w:id="43"/>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66,726,000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47,247,000</w:t>
            </w:r>
          </w:p>
        </w:tc>
        <w:tc>
          <w:tcPr>
            <w:tcW w:w="110" w:type="dxa"/>
            <w:tcBorders/>
            <w:shd w:fill="CCEEFF" w:val="clear"/>
            <w:vAlign w:val="center"/>
          </w:tcPr>
          <w:p>
            <w:pPr>
              <w:pStyle w:val="TableContents"/>
              <w:bidi w:val="0"/>
              <w:spacing w:before="0" w:after="283"/>
              <w:jc w:val="left"/>
              <w:rPr/>
            </w:pPr>
            <w:r>
              <w:rPr/>
              <w:t> </w:t>
            </w:r>
            <w:bookmarkStart w:id="44" w:name="xdx_40F_eus-gaap--AccountsReceivableNetC"/>
            <w:bookmarkEnd w:id="44"/>
          </w:p>
        </w:tc>
      </w:tr>
      <w:tr>
        <w:trPr/>
        <w:tc>
          <w:tcPr>
            <w:tcW w:w="701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77,063,000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116,373,000</w:t>
            </w:r>
          </w:p>
        </w:tc>
        <w:tc>
          <w:tcPr>
            <w:tcW w:w="110" w:type="dxa"/>
            <w:tcBorders/>
            <w:shd w:fill="FFFFFF" w:val="clear"/>
            <w:vAlign w:val="center"/>
          </w:tcPr>
          <w:p>
            <w:pPr>
              <w:pStyle w:val="TableContents"/>
              <w:bidi w:val="0"/>
              <w:spacing w:before="0" w:after="283"/>
              <w:jc w:val="left"/>
              <w:rPr/>
            </w:pPr>
            <w:r>
              <w:rPr/>
              <w:t> </w:t>
            </w:r>
            <w:bookmarkStart w:id="45" w:name="xdx_408_eus-gaap--InventoryNet_i02I_maAC"/>
            <w:bookmarkEnd w:id="45"/>
          </w:p>
        </w:tc>
      </w:tr>
      <w:tr>
        <w:trPr/>
        <w:tc>
          <w:tcPr>
            <w:tcW w:w="701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10,716,000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10,702,000</w:t>
            </w:r>
          </w:p>
        </w:tc>
        <w:tc>
          <w:tcPr>
            <w:tcW w:w="110" w:type="dxa"/>
            <w:tcBorders/>
            <w:shd w:fill="CCEEFF" w:val="clear"/>
            <w:vAlign w:val="center"/>
          </w:tcPr>
          <w:p>
            <w:pPr>
              <w:pStyle w:val="TableContents"/>
              <w:bidi w:val="0"/>
              <w:spacing w:before="0" w:after="283"/>
              <w:jc w:val="left"/>
              <w:rPr/>
            </w:pPr>
            <w:r>
              <w:rPr/>
              <w:t> </w:t>
            </w:r>
            <w:bookmarkStart w:id="46" w:name="xdx_400_eus-gaap--PrepaidExpenseAndOther"/>
            <w:bookmarkEnd w:id="46"/>
          </w:p>
        </w:tc>
      </w:tr>
      <w:tr>
        <w:trPr/>
        <w:tc>
          <w:tcPr>
            <w:tcW w:w="70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15,030,000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15,329,000</w:t>
            </w:r>
          </w:p>
        </w:tc>
        <w:tc>
          <w:tcPr>
            <w:tcW w:w="110" w:type="dxa"/>
            <w:tcBorders/>
            <w:shd w:fill="FFFFFF" w:val="clear"/>
            <w:vAlign w:val="center"/>
          </w:tcPr>
          <w:p>
            <w:pPr>
              <w:pStyle w:val="TableContents"/>
              <w:bidi w:val="0"/>
              <w:spacing w:before="0" w:after="283"/>
              <w:jc w:val="left"/>
              <w:rPr/>
            </w:pPr>
            <w:r>
              <w:rPr/>
              <w:t> </w:t>
            </w:r>
            <w:bookmarkStart w:id="47" w:name="xdx_40E_eus-gaap--AssetsCurrent_i02TI_mt"/>
            <w:bookmarkEnd w:id="47"/>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169,535,000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189,651,000</w:t>
            </w:r>
          </w:p>
        </w:tc>
        <w:tc>
          <w:tcPr>
            <w:tcW w:w="110" w:type="dxa"/>
            <w:tcBorders/>
            <w:shd w:fill="CCEEFF" w:val="clear"/>
            <w:vAlign w:val="center"/>
          </w:tcPr>
          <w:p>
            <w:pPr>
              <w:pStyle w:val="TableContents"/>
              <w:bidi w:val="0"/>
              <w:spacing w:before="0" w:after="283"/>
              <w:jc w:val="left"/>
              <w:rPr/>
            </w:pPr>
            <w:r>
              <w:rPr/>
              <w:t> </w:t>
            </w:r>
            <w:bookmarkStart w:id="48" w:name="xdx_403_eus-gaap--PropertyPlantAndEquipm"/>
            <w:bookmarkEnd w:id="48"/>
          </w:p>
        </w:tc>
      </w:tr>
      <w:tr>
        <w:trPr/>
        <w:tc>
          <w:tcPr>
            <w:tcW w:w="701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3,568,000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3,734,000</w:t>
            </w:r>
          </w:p>
        </w:tc>
        <w:tc>
          <w:tcPr>
            <w:tcW w:w="110" w:type="dxa"/>
            <w:tcBorders/>
            <w:shd w:fill="FFFFFF" w:val="clear"/>
            <w:vAlign w:val="center"/>
          </w:tcPr>
          <w:p>
            <w:pPr>
              <w:pStyle w:val="TableContents"/>
              <w:bidi w:val="0"/>
              <w:spacing w:before="0" w:after="283"/>
              <w:jc w:val="left"/>
              <w:rPr/>
            </w:pPr>
            <w:r>
              <w:rPr/>
              <w:t> </w:t>
            </w:r>
            <w:bookmarkStart w:id="49" w:name="xdx_40F_eus-gaap--CapitalizedComputerSof"/>
            <w:bookmarkEnd w:id="49"/>
          </w:p>
        </w:tc>
      </w:tr>
      <w:tr>
        <w:trPr/>
        <w:tc>
          <w:tcPr>
            <w:tcW w:w="7010" w:type="dxa"/>
            <w:tcBorders/>
            <w:shd w:fill="CCEEFF" w:val="clear"/>
            <w:vAlign w:val="center"/>
          </w:tcPr>
          <w:p>
            <w:pPr>
              <w:pStyle w:val="TableContents"/>
              <w:bidi w:val="0"/>
              <w:spacing w:before="0" w:after="283"/>
              <w:jc w:val="left"/>
              <w:rPr/>
            </w:pPr>
            <w:r>
              <w:rPr/>
              <w:t>Capitalized software costs,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1,627,000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1,751,000</w:t>
            </w:r>
          </w:p>
        </w:tc>
        <w:tc>
          <w:tcPr>
            <w:tcW w:w="110" w:type="dxa"/>
            <w:tcBorders/>
            <w:shd w:fill="CCEEFF" w:val="clear"/>
            <w:vAlign w:val="center"/>
          </w:tcPr>
          <w:p>
            <w:pPr>
              <w:pStyle w:val="TableContents"/>
              <w:bidi w:val="0"/>
              <w:spacing w:before="0" w:after="283"/>
              <w:jc w:val="left"/>
              <w:rPr/>
            </w:pPr>
            <w:r>
              <w:rPr/>
              <w:t> </w:t>
            </w:r>
            <w:bookmarkStart w:id="50" w:name="xdx_401_eus-gaap--OperatingLeaseRightOfU"/>
            <w:bookmarkEnd w:id="50"/>
          </w:p>
        </w:tc>
      </w:tr>
      <w:tr>
        <w:trPr/>
        <w:tc>
          <w:tcPr>
            <w:tcW w:w="7010"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8,337,000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8,554,000</w:t>
            </w:r>
          </w:p>
        </w:tc>
        <w:tc>
          <w:tcPr>
            <w:tcW w:w="110" w:type="dxa"/>
            <w:tcBorders/>
            <w:shd w:fill="FFFFFF" w:val="clear"/>
            <w:vAlign w:val="center"/>
          </w:tcPr>
          <w:p>
            <w:pPr>
              <w:pStyle w:val="TableContents"/>
              <w:bidi w:val="0"/>
              <w:spacing w:before="0" w:after="283"/>
              <w:jc w:val="left"/>
              <w:rPr/>
            </w:pPr>
            <w:r>
              <w:rPr/>
              <w:t> </w:t>
            </w:r>
            <w:bookmarkStart w:id="51" w:name="xdx_40D_eus-gaap--IntangibleAssetsNetExc"/>
            <w:bookmarkEnd w:id="51"/>
          </w:p>
        </w:tc>
      </w:tr>
      <w:tr>
        <w:trPr/>
        <w:tc>
          <w:tcPr>
            <w:tcW w:w="701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180,765,000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184,949,000</w:t>
            </w:r>
          </w:p>
        </w:tc>
        <w:tc>
          <w:tcPr>
            <w:tcW w:w="110" w:type="dxa"/>
            <w:tcBorders/>
            <w:shd w:fill="CCEEFF" w:val="clear"/>
            <w:vAlign w:val="center"/>
          </w:tcPr>
          <w:p>
            <w:pPr>
              <w:pStyle w:val="TableContents"/>
              <w:bidi w:val="0"/>
              <w:spacing w:before="0" w:after="283"/>
              <w:jc w:val="left"/>
              <w:rPr/>
            </w:pPr>
            <w:r>
              <w:rPr/>
              <w:t> </w:t>
            </w:r>
            <w:bookmarkStart w:id="52" w:name="xdx_40E_eus-gaap--Goodwill_i01I_maAz3Tg_"/>
            <w:bookmarkEnd w:id="52"/>
          </w:p>
        </w:tc>
      </w:tr>
      <w:tr>
        <w:trPr/>
        <w:tc>
          <w:tcPr>
            <w:tcW w:w="701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332,000</w:t>
            </w:r>
          </w:p>
        </w:tc>
        <w:tc>
          <w:tcPr>
            <w:tcW w:w="110" w:type="dxa"/>
            <w:tcBorders/>
            <w:shd w:fill="FFFFFF" w:val="clear"/>
            <w:vAlign w:val="center"/>
          </w:tcPr>
          <w:p>
            <w:pPr>
              <w:pStyle w:val="TableContents"/>
              <w:bidi w:val="0"/>
              <w:spacing w:before="0" w:after="283"/>
              <w:jc w:val="left"/>
              <w:rPr/>
            </w:pPr>
            <w:r>
              <w:rPr/>
              <w:t> </w:t>
            </w:r>
            <w:bookmarkStart w:id="53" w:name="xdx_404_eus-gaap--Assets_i01TI_mtAz3Tg_z"/>
            <w:bookmarkEnd w:id="53"/>
          </w:p>
        </w:tc>
      </w:tr>
      <w:tr>
        <w:trPr/>
        <w:tc>
          <w:tcPr>
            <w:tcW w:w="7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364,164,000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388,971,000</w:t>
            </w:r>
          </w:p>
        </w:tc>
        <w:tc>
          <w:tcPr>
            <w:tcW w:w="110" w:type="dxa"/>
            <w:tcBorders/>
            <w:shd w:fill="CCEEFF" w:val="clear"/>
            <w:vAlign w:val="center"/>
          </w:tcPr>
          <w:p>
            <w:pPr>
              <w:pStyle w:val="TableContents"/>
              <w:bidi w:val="0"/>
              <w:spacing w:before="0" w:after="283"/>
              <w:jc w:val="left"/>
              <w:rPr/>
            </w:pPr>
            <w:r>
              <w:rPr/>
              <w:t> </w:t>
            </w:r>
            <w:bookmarkStart w:id="54" w:name="xdx_404_eus-gaap--LiabilitiesAndStockhol"/>
            <w:bookmarkEnd w:id="54"/>
          </w:p>
        </w:tc>
      </w:tr>
      <w:tr>
        <w:trPr/>
        <w:tc>
          <w:tcPr>
            <w:tcW w:w="7010" w:type="dxa"/>
            <w:tcBorders/>
            <w:shd w:fill="FFFFFF" w:val="clear"/>
            <w:vAlign w:val="center"/>
          </w:tcPr>
          <w:p>
            <w:pPr>
              <w:pStyle w:val="TableContents"/>
              <w:bidi w:val="0"/>
              <w:spacing w:before="0" w:after="283"/>
              <w:jc w:val="center"/>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 w:name="xdx_40F_eus-gaap--LiabilitiesCurrentAbst"/>
            <w:bookmarkEnd w:id="55"/>
          </w:p>
        </w:tc>
      </w:tr>
      <w:tr>
        <w:trPr/>
        <w:tc>
          <w:tcPr>
            <w:tcW w:w="70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6" w:name="xdx_409_eus-gaap--AccountsPayableAndAccr"/>
            <w:bookmarkEnd w:id="56"/>
          </w:p>
        </w:tc>
      </w:tr>
      <w:tr>
        <w:trPr/>
        <w:tc>
          <w:tcPr>
            <w:tcW w:w="701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39,159,000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41,406,000</w:t>
            </w:r>
          </w:p>
        </w:tc>
        <w:tc>
          <w:tcPr>
            <w:tcW w:w="110" w:type="dxa"/>
            <w:tcBorders/>
            <w:shd w:fill="FFFFFF" w:val="clear"/>
            <w:vAlign w:val="center"/>
          </w:tcPr>
          <w:p>
            <w:pPr>
              <w:pStyle w:val="TableContents"/>
              <w:bidi w:val="0"/>
              <w:spacing w:before="0" w:after="283"/>
              <w:jc w:val="left"/>
              <w:rPr/>
            </w:pPr>
            <w:r>
              <w:rPr/>
              <w:t> </w:t>
            </w:r>
            <w:bookmarkStart w:id="57" w:name="xdx_40F_ecustom--AccruedRebatesAndCopayA"/>
            <w:bookmarkEnd w:id="57"/>
          </w:p>
        </w:tc>
      </w:tr>
      <w:tr>
        <w:trPr/>
        <w:tc>
          <w:tcPr>
            <w:tcW w:w="7010" w:type="dxa"/>
            <w:tcBorders/>
            <w:shd w:fill="CCEEFF" w:val="clear"/>
            <w:vAlign w:val="center"/>
          </w:tcPr>
          <w:p>
            <w:pPr>
              <w:pStyle w:val="TableContents"/>
              <w:bidi w:val="0"/>
              <w:spacing w:before="0" w:after="283"/>
              <w:jc w:val="left"/>
              <w:rPr/>
            </w:pPr>
            <w:r>
              <w:rPr/>
              <w:t>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31,153,000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39,900,000</w:t>
            </w:r>
          </w:p>
        </w:tc>
        <w:tc>
          <w:tcPr>
            <w:tcW w:w="110" w:type="dxa"/>
            <w:tcBorders/>
            <w:shd w:fill="CCEEFF" w:val="clear"/>
            <w:vAlign w:val="center"/>
          </w:tcPr>
          <w:p>
            <w:pPr>
              <w:pStyle w:val="TableContents"/>
              <w:bidi w:val="0"/>
              <w:spacing w:before="0" w:after="283"/>
              <w:jc w:val="left"/>
              <w:rPr/>
            </w:pPr>
            <w:r>
              <w:rPr/>
              <w:t> </w:t>
            </w:r>
            <w:bookmarkStart w:id="58" w:name="xdx_40E_eus-gaap--EmployeeRelatedLiabili"/>
            <w:bookmarkEnd w:id="58"/>
          </w:p>
        </w:tc>
      </w:tr>
      <w:tr>
        <w:trPr/>
        <w:tc>
          <w:tcPr>
            <w:tcW w:w="701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7,605,000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9,496,000</w:t>
            </w:r>
          </w:p>
        </w:tc>
        <w:tc>
          <w:tcPr>
            <w:tcW w:w="110" w:type="dxa"/>
            <w:tcBorders/>
            <w:shd w:fill="FFFFFF" w:val="clear"/>
            <w:vAlign w:val="center"/>
          </w:tcPr>
          <w:p>
            <w:pPr>
              <w:pStyle w:val="TableContents"/>
              <w:bidi w:val="0"/>
              <w:spacing w:before="0" w:after="283"/>
              <w:jc w:val="left"/>
              <w:rPr/>
            </w:pPr>
            <w:r>
              <w:rPr/>
              <w:t> </w:t>
            </w:r>
            <w:bookmarkStart w:id="59" w:name="xdx_40D_eus-gaap--ContractWithCustomerLi"/>
            <w:bookmarkEnd w:id="59"/>
          </w:p>
        </w:tc>
      </w:tr>
      <w:tr>
        <w:trPr/>
        <w:tc>
          <w:tcPr>
            <w:tcW w:w="701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44,000</w:t>
            </w:r>
          </w:p>
        </w:tc>
        <w:tc>
          <w:tcPr>
            <w:tcW w:w="110" w:type="dxa"/>
            <w:tcBorders/>
            <w:shd w:fill="CCEEFF" w:val="clear"/>
            <w:vAlign w:val="center"/>
          </w:tcPr>
          <w:p>
            <w:pPr>
              <w:pStyle w:val="TableContents"/>
              <w:bidi w:val="0"/>
              <w:spacing w:before="0" w:after="283"/>
              <w:jc w:val="left"/>
              <w:rPr/>
            </w:pPr>
            <w:r>
              <w:rPr/>
              <w:t> </w:t>
            </w:r>
            <w:bookmarkStart w:id="60" w:name="xdx_40F_eus-gaap--NotesPayableCurrent_i0"/>
            <w:bookmarkEnd w:id="60"/>
          </w:p>
        </w:tc>
      </w:tr>
      <w:tr>
        <w:trPr/>
        <w:tc>
          <w:tcPr>
            <w:tcW w:w="7010" w:type="dxa"/>
            <w:tcBorders/>
            <w:shd w:fill="FFFFFF" w:val="clear"/>
            <w:vAlign w:val="center"/>
          </w:tcPr>
          <w:p>
            <w:pPr>
              <w:pStyle w:val="TableContents"/>
              <w:bidi w:val="0"/>
              <w:spacing w:before="0" w:after="283"/>
              <w:jc w:val="left"/>
              <w:rPr/>
            </w:pPr>
            <w:r>
              <w:rPr/>
              <w:t>Current portion of notes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108,313,000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1" w:name="xdx_402_eus-gaap--OperatingLeaseLiabilit"/>
            <w:bookmarkEnd w:id="61"/>
          </w:p>
        </w:tc>
      </w:tr>
      <w:tr>
        <w:trPr/>
        <w:tc>
          <w:tcPr>
            <w:tcW w:w="7010" w:type="dxa"/>
            <w:tcBorders/>
            <w:shd w:fill="CCEEFF" w:val="clear"/>
            <w:vAlign w:val="center"/>
          </w:tcPr>
          <w:p>
            <w:pPr>
              <w:pStyle w:val="TableContents"/>
              <w:bidi w:val="0"/>
              <w:spacing w:before="0" w:after="283"/>
              <w:jc w:val="left"/>
              <w:rPr/>
            </w:pPr>
            <w:r>
              <w:rPr/>
              <w:t>Current portion of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497,000</w:t>
            </w:r>
          </w:p>
        </w:tc>
        <w:tc>
          <w:tcPr>
            <w:tcW w:w="110" w:type="dxa"/>
            <w:tcBorders/>
            <w:shd w:fill="CCEEFF" w:val="clear"/>
            <w:vAlign w:val="center"/>
          </w:tcPr>
          <w:p>
            <w:pPr>
              <w:pStyle w:val="TableContents"/>
              <w:bidi w:val="0"/>
              <w:spacing w:before="0" w:after="283"/>
              <w:jc w:val="left"/>
              <w:rPr/>
            </w:pPr>
            <w:r>
              <w:rPr/>
              <w:t> </w:t>
            </w:r>
            <w:bookmarkStart w:id="62" w:name="xdx_40D_eus-gaap--LiabilitiesCurrent_i02"/>
            <w:bookmarkEnd w:id="62"/>
          </w:p>
        </w:tc>
      </w:tr>
      <w:tr>
        <w:trPr/>
        <w:tc>
          <w:tcPr>
            <w:tcW w:w="701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186,986,000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91,343,000</w:t>
            </w:r>
          </w:p>
        </w:tc>
        <w:tc>
          <w:tcPr>
            <w:tcW w:w="110" w:type="dxa"/>
            <w:tcBorders/>
            <w:shd w:fill="FFFFFF" w:val="clear"/>
            <w:vAlign w:val="center"/>
          </w:tcPr>
          <w:p>
            <w:pPr>
              <w:pStyle w:val="TableContents"/>
              <w:bidi w:val="0"/>
              <w:spacing w:before="0" w:after="283"/>
              <w:jc w:val="left"/>
              <w:rPr/>
            </w:pPr>
            <w:r>
              <w:rPr/>
              <w:t> </w:t>
            </w:r>
            <w:bookmarkStart w:id="63" w:name="xdx_409_eus-gaap--OperatingLeaseLiabilit"/>
            <w:bookmarkEnd w:id="63"/>
          </w:p>
        </w:tc>
      </w:tr>
      <w:tr>
        <w:trPr/>
        <w:tc>
          <w:tcPr>
            <w:tcW w:w="7010" w:type="dxa"/>
            <w:tcBorders/>
            <w:shd w:fill="CCEEFF" w:val="clear"/>
            <w:vAlign w:val="center"/>
          </w:tcPr>
          <w:p>
            <w:pPr>
              <w:pStyle w:val="TableContents"/>
              <w:bidi w:val="0"/>
              <w:spacing w:before="0" w:after="283"/>
              <w:jc w:val="left"/>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8,581,000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8,792,000</w:t>
            </w:r>
          </w:p>
        </w:tc>
        <w:tc>
          <w:tcPr>
            <w:tcW w:w="110" w:type="dxa"/>
            <w:tcBorders/>
            <w:shd w:fill="CCEEFF" w:val="clear"/>
            <w:vAlign w:val="center"/>
          </w:tcPr>
          <w:p>
            <w:pPr>
              <w:pStyle w:val="TableContents"/>
              <w:bidi w:val="0"/>
              <w:spacing w:before="0" w:after="283"/>
              <w:jc w:val="left"/>
              <w:rPr/>
            </w:pPr>
            <w:r>
              <w:rPr/>
              <w:t> </w:t>
            </w:r>
            <w:bookmarkStart w:id="64" w:name="xdx_40A_eus-gaap--LongTermNotesPayable_i"/>
            <w:bookmarkEnd w:id="64"/>
          </w:p>
        </w:tc>
      </w:tr>
      <w:tr>
        <w:trPr/>
        <w:tc>
          <w:tcPr>
            <w:tcW w:w="7010" w:type="dxa"/>
            <w:tcBorders/>
            <w:shd w:fill="FFFFFF" w:val="clear"/>
            <w:vAlign w:val="center"/>
          </w:tcPr>
          <w:p>
            <w:pPr>
              <w:pStyle w:val="TableContents"/>
              <w:bidi w:val="0"/>
              <w:spacing w:before="0" w:after="283"/>
              <w:jc w:val="left"/>
              <w:rPr/>
            </w:pPr>
            <w:r>
              <w:rPr/>
              <w:t>Notes payable, net of unamortized debt discount and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112,501,000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219,539,000</w:t>
            </w:r>
          </w:p>
        </w:tc>
        <w:tc>
          <w:tcPr>
            <w:tcW w:w="110" w:type="dxa"/>
            <w:tcBorders/>
            <w:shd w:fill="FFFFFF" w:val="clear"/>
            <w:vAlign w:val="center"/>
          </w:tcPr>
          <w:p>
            <w:pPr>
              <w:pStyle w:val="TableContents"/>
              <w:bidi w:val="0"/>
              <w:spacing w:before="0" w:after="283"/>
              <w:jc w:val="left"/>
              <w:rPr/>
            </w:pPr>
            <w:r>
              <w:rPr/>
              <w:t> </w:t>
            </w:r>
            <w:bookmarkStart w:id="65" w:name="xdx_400_eus-gaap--Liabilities_i01TI_mtLz"/>
            <w:bookmarkEnd w:id="65"/>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308,068,000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319,674,000</w:t>
            </w:r>
          </w:p>
        </w:tc>
        <w:tc>
          <w:tcPr>
            <w:tcW w:w="110" w:type="dxa"/>
            <w:tcBorders/>
            <w:shd w:fill="CCEEFF" w:val="clear"/>
            <w:vAlign w:val="center"/>
          </w:tcPr>
          <w:p>
            <w:pPr>
              <w:pStyle w:val="TableContents"/>
              <w:bidi w:val="0"/>
              <w:spacing w:before="0" w:after="283"/>
              <w:jc w:val="left"/>
              <w:rPr/>
            </w:pPr>
            <w:r>
              <w:rPr/>
              <w:t> </w:t>
            </w:r>
            <w:bookmarkStart w:id="66" w:name="xdx_402_eus-gaap--CommitmentsAndContinge"/>
            <w:bookmarkEnd w:id="66"/>
          </w:p>
        </w:tc>
      </w:tr>
      <w:tr>
        <w:trPr/>
        <w:tc>
          <w:tcPr>
            <w:tcW w:w="7010"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bookmarkStart w:id="67" w:name="xdx_402_eus-gaap--StockholdersEquityAbst"/>
            <w:bookmarkEnd w:id="67"/>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8" w:name="xdx_404_eus-gaap--CommonStockValue_i02I_"/>
            <w:bookmarkEnd w:id="68"/>
          </w:p>
        </w:tc>
      </w:tr>
      <w:tr>
        <w:trPr/>
        <w:tc>
          <w:tcPr>
            <w:tcW w:w="7010" w:type="dxa"/>
            <w:tcBorders/>
            <w:shd w:fill="FFFFFF" w:val="clear"/>
            <w:vAlign w:val="center"/>
          </w:tcPr>
          <w:p>
            <w:pPr>
              <w:pStyle w:val="TableContents"/>
              <w:bidi w:val="0"/>
              <w:spacing w:before="0" w:after="283"/>
              <w:jc w:val="left"/>
              <w:rPr/>
            </w:pPr>
            <w:r>
              <w:rPr/>
              <w:t>Common stock, $</w:t>
            </w:r>
            <w:bookmarkStart w:id="69" w:name="xdx_905_eus-gaap--CommonStockParOrStated"/>
            <w:bookmarkStart w:id="70" w:name="xdx_904_eus-gaap--CommonStockParOrStated"/>
            <w:bookmarkEnd w:id="69"/>
            <w:bookmarkEnd w:id="70"/>
            <w:r>
              <w:rPr/>
              <w:t xml:space="preserve">0.001 par value, </w:t>
            </w:r>
            <w:bookmarkStart w:id="71" w:name="xdx_907_eus-gaap--CommonStockSharesAutho"/>
            <w:bookmarkStart w:id="72" w:name="xdx_90E_eus-gaap--CommonStockSharesAutho"/>
            <w:bookmarkEnd w:id="71"/>
            <w:bookmarkEnd w:id="72"/>
            <w:r>
              <w:rPr/>
              <w:t xml:space="preserve">50,000,000 shares authorized, </w:t>
            </w:r>
            <w:bookmarkStart w:id="73" w:name="xdx_904_eus-gaap--CommonStockSharesOutst"/>
            <w:bookmarkStart w:id="74" w:name="xdx_90A_eus-gaap--CommonStockSharesIssue"/>
            <w:bookmarkEnd w:id="73"/>
            <w:bookmarkEnd w:id="74"/>
            <w:r>
              <w:rPr/>
              <w:t xml:space="preserve">35,654,171 and </w:t>
            </w:r>
            <w:bookmarkStart w:id="75" w:name="xdx_904_eus-gaap--CommonStockSharesOutst"/>
            <w:bookmarkStart w:id="76" w:name="xdx_908_eus-gaap--CommonStockSharesIssue"/>
            <w:bookmarkEnd w:id="75"/>
            <w:bookmarkEnd w:id="76"/>
            <w:r>
              <w:rPr/>
              <w:t>35,622,214 shares issued and outstanding at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35,000</w:t>
            </w:r>
          </w:p>
        </w:tc>
        <w:tc>
          <w:tcPr>
            <w:tcW w:w="110" w:type="dxa"/>
            <w:tcBorders/>
            <w:shd w:fill="FFFFFF" w:val="clear"/>
            <w:vAlign w:val="center"/>
          </w:tcPr>
          <w:p>
            <w:pPr>
              <w:pStyle w:val="TableContents"/>
              <w:bidi w:val="0"/>
              <w:spacing w:before="0" w:after="283"/>
              <w:jc w:val="left"/>
              <w:rPr/>
            </w:pPr>
            <w:r>
              <w:rPr/>
              <w:t> </w:t>
            </w:r>
            <w:bookmarkStart w:id="77" w:name="xdx_409_eus-gaap--AdditionalPaidInCapita"/>
            <w:bookmarkEnd w:id="77"/>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225,581,000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221,002,000</w:t>
            </w:r>
          </w:p>
        </w:tc>
        <w:tc>
          <w:tcPr>
            <w:tcW w:w="110" w:type="dxa"/>
            <w:tcBorders/>
            <w:shd w:fill="CCEEFF" w:val="clear"/>
            <w:vAlign w:val="center"/>
          </w:tcPr>
          <w:p>
            <w:pPr>
              <w:pStyle w:val="TableContents"/>
              <w:bidi w:val="0"/>
              <w:spacing w:before="0" w:after="283"/>
              <w:jc w:val="left"/>
              <w:rPr/>
            </w:pPr>
            <w:r>
              <w:rPr/>
              <w:t> </w:t>
            </w:r>
            <w:bookmarkStart w:id="78" w:name="xdx_40C_eus-gaap--RetainedEarningsAccumu"/>
            <w:bookmarkEnd w:id="78"/>
          </w:p>
        </w:tc>
      </w:tr>
      <w:tr>
        <w:trPr/>
        <w:tc>
          <w:tcPr>
            <w:tcW w:w="70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(169,165,000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(151,385,000</w:t>
            </w:r>
          </w:p>
        </w:tc>
        <w:tc>
          <w:tcPr>
            <w:tcW w:w="110" w:type="dxa"/>
            <w:tcBorders/>
            <w:shd w:fill="FFFFFF" w:val="clear"/>
            <w:vAlign w:val="center"/>
          </w:tcPr>
          <w:p>
            <w:pPr>
              <w:pStyle w:val="TableContents"/>
              <w:bidi w:val="0"/>
              <w:spacing w:before="0" w:after="283"/>
              <w:jc w:val="left"/>
              <w:rPr/>
            </w:pPr>
            <w:r>
              <w:rPr/>
              <w:t>)</w:t>
            </w:r>
            <w:bookmarkStart w:id="79" w:name="xdx_401_eus-gaap--StockholdersEquity_i02"/>
            <w:bookmarkEnd w:id="79"/>
          </w:p>
        </w:tc>
      </w:tr>
      <w:tr>
        <w:trPr/>
        <w:tc>
          <w:tcPr>
            <w:tcW w:w="7010" w:type="dxa"/>
            <w:tcBorders/>
            <w:shd w:fill="CCEEFF" w:val="clear"/>
            <w:vAlign w:val="center"/>
          </w:tcPr>
          <w:p>
            <w:pPr>
              <w:pStyle w:val="TableContents"/>
              <w:bidi w:val="0"/>
              <w:spacing w:before="0" w:after="283"/>
              <w:jc w:val="left"/>
              <w:rPr/>
            </w:pPr>
            <w:r>
              <w:rPr/>
              <w:t>TOTAL HARROW, INC.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56,451,000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69,652,000</w:t>
            </w:r>
          </w:p>
        </w:tc>
        <w:tc>
          <w:tcPr>
            <w:tcW w:w="110" w:type="dxa"/>
            <w:tcBorders/>
            <w:shd w:fill="CCEEFF" w:val="clear"/>
            <w:vAlign w:val="center"/>
          </w:tcPr>
          <w:p>
            <w:pPr>
              <w:pStyle w:val="TableContents"/>
              <w:bidi w:val="0"/>
              <w:spacing w:before="0" w:after="283"/>
              <w:jc w:val="left"/>
              <w:rPr/>
            </w:pPr>
            <w:r>
              <w:rPr/>
              <w:t> </w:t>
            </w:r>
            <w:bookmarkStart w:id="80" w:name="xdx_408_eus-gaap--MinorityInterest_i02I_"/>
            <w:bookmarkEnd w:id="80"/>
          </w:p>
        </w:tc>
      </w:tr>
      <w:tr>
        <w:trPr/>
        <w:tc>
          <w:tcPr>
            <w:tcW w:w="701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(355,000</w:t>
            </w:r>
          </w:p>
        </w:tc>
        <w:tc>
          <w:tcPr>
            <w:tcW w:w="110" w:type="dxa"/>
            <w:tcBorders/>
            <w:shd w:fill="FFFFFF" w:val="clear"/>
            <w:vAlign w:val="center"/>
          </w:tcPr>
          <w:p>
            <w:pPr>
              <w:pStyle w:val="TableContents"/>
              <w:bidi w:val="0"/>
              <w:spacing w:before="0" w:after="283"/>
              <w:jc w:val="left"/>
              <w:rPr/>
            </w:pPr>
            <w:r>
              <w:rPr/>
              <w:t>)</w:t>
            </w:r>
            <w:bookmarkStart w:id="81" w:name="xdx_402_eus-gaap--StockholdersEquityIncl"/>
            <w:bookmarkEnd w:id="81"/>
          </w:p>
        </w:tc>
      </w:tr>
      <w:tr>
        <w:trPr/>
        <w:tc>
          <w:tcPr>
            <w:tcW w:w="701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56,096,000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69,297,000</w:t>
            </w:r>
          </w:p>
        </w:tc>
        <w:tc>
          <w:tcPr>
            <w:tcW w:w="110" w:type="dxa"/>
            <w:tcBorders/>
            <w:shd w:fill="CCEEFF" w:val="clear"/>
            <w:vAlign w:val="center"/>
          </w:tcPr>
          <w:p>
            <w:pPr>
              <w:pStyle w:val="TableContents"/>
              <w:bidi w:val="0"/>
              <w:spacing w:before="0" w:after="283"/>
              <w:jc w:val="left"/>
              <w:rPr/>
            </w:pPr>
            <w:r>
              <w:rPr/>
              <w:t> </w:t>
            </w:r>
            <w:bookmarkStart w:id="82" w:name="xdx_408_eus-gaap--LiabilitiesAndStockhol"/>
            <w:bookmarkEnd w:id="82"/>
          </w:p>
        </w:tc>
      </w:tr>
      <w:tr>
        <w:trPr/>
        <w:tc>
          <w:tcPr>
            <w:tcW w:w="701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364,164,000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388,971,000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3" w:name="xdx_30C_113_zbdU3OBNSxbk"/>
      <w:bookmarkStart w:id="84" w:name="xdx_30C_113_zbdU3OBNSxbk"/>
      <w:bookmarkEnd w:id="84"/>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 w:name="xdx_49E_20250101__20250331_z7OWCGMb3eZ3"/>
            <w:bookmarkEnd w:id="85"/>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 w:name="xdx_491_20240101__20240331_z14hUXAdq351"/>
            <w:bookmarkEnd w:id="86"/>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pPr>
            <w:r>
              <w:rPr/>
              <w:t>For the Three Months Ended</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March 31,</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87" w:name="xdx_400_eus-gaap--RevenuesAbstract_iB_zb"/>
            <w:bookmarkEnd w:id="87"/>
          </w:p>
        </w:tc>
      </w:tr>
      <w:tr>
        <w:trPr/>
        <w:tc>
          <w:tcPr>
            <w:tcW w:w="725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8" w:name="xdx_407_eus-gaap--RevenueFromContractWit"/>
            <w:bookmarkEnd w:id="88"/>
          </w:p>
        </w:tc>
      </w:tr>
      <w:tr>
        <w:trPr/>
        <w:tc>
          <w:tcPr>
            <w:tcW w:w="7250" w:type="dxa"/>
            <w:tcBorders/>
            <w:shd w:fill="FFFFFF" w:val="clear"/>
            <w:vAlign w:val="center"/>
          </w:tcPr>
          <w:p>
            <w:pPr>
              <w:pStyle w:val="TableContents"/>
              <w:bidi w:val="0"/>
              <w:spacing w:before="0" w:after="283"/>
              <w:jc w:val="left"/>
              <w:rPr/>
            </w:pPr>
            <w:r>
              <w:rPr/>
              <w:t>Product sales,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47,745,000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34,508,000</w:t>
            </w:r>
          </w:p>
        </w:tc>
        <w:tc>
          <w:tcPr>
            <w:tcW w:w="110" w:type="dxa"/>
            <w:tcBorders/>
            <w:shd w:fill="FFFFFF" w:val="clear"/>
            <w:vAlign w:val="center"/>
          </w:tcPr>
          <w:p>
            <w:pPr>
              <w:pStyle w:val="TableContents"/>
              <w:bidi w:val="0"/>
              <w:spacing w:before="0" w:after="283"/>
              <w:jc w:val="left"/>
              <w:rPr/>
            </w:pPr>
            <w:r>
              <w:rPr/>
              <w:t> </w:t>
            </w:r>
            <w:bookmarkStart w:id="89" w:name="xdx_40E_eus-gaap--RevenueFromContractWit"/>
            <w:bookmarkEnd w:id="89"/>
          </w:p>
        </w:tc>
      </w:tr>
      <w:tr>
        <w:trPr/>
        <w:tc>
          <w:tcPr>
            <w:tcW w:w="7250"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79,000</w:t>
            </w:r>
          </w:p>
        </w:tc>
        <w:tc>
          <w:tcPr>
            <w:tcW w:w="110" w:type="dxa"/>
            <w:tcBorders/>
            <w:shd w:fill="CCEEFF" w:val="clear"/>
            <w:vAlign w:val="center"/>
          </w:tcPr>
          <w:p>
            <w:pPr>
              <w:pStyle w:val="TableContents"/>
              <w:bidi w:val="0"/>
              <w:spacing w:before="0" w:after="283"/>
              <w:jc w:val="left"/>
              <w:rPr/>
            </w:pPr>
            <w:r>
              <w:rPr/>
              <w:t> </w:t>
            </w:r>
            <w:bookmarkStart w:id="90" w:name="xdx_40F_eus-gaap--RevenueFromContractWit"/>
            <w:bookmarkEnd w:id="90"/>
          </w:p>
        </w:tc>
      </w:tr>
      <w:tr>
        <w:trPr/>
        <w:tc>
          <w:tcPr>
            <w:tcW w:w="725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47,831,000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34,587,000</w:t>
            </w:r>
          </w:p>
        </w:tc>
        <w:tc>
          <w:tcPr>
            <w:tcW w:w="110" w:type="dxa"/>
            <w:tcBorders/>
            <w:shd w:fill="FFFFFF" w:val="clear"/>
            <w:vAlign w:val="center"/>
          </w:tcPr>
          <w:p>
            <w:pPr>
              <w:pStyle w:val="TableContents"/>
              <w:bidi w:val="0"/>
              <w:spacing w:before="0" w:after="283"/>
              <w:jc w:val="left"/>
              <w:rPr/>
            </w:pPr>
            <w:r>
              <w:rPr/>
              <w:t> </w:t>
            </w:r>
            <w:bookmarkStart w:id="91" w:name="xdx_404_eus-gaap--CostOfGoodsAndServices"/>
            <w:bookmarkEnd w:id="91"/>
          </w:p>
        </w:tc>
      </w:tr>
      <w:tr>
        <w:trPr/>
        <w:tc>
          <w:tcPr>
            <w:tcW w:w="725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(15,524,000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(10,553,000</w:t>
            </w:r>
          </w:p>
        </w:tc>
        <w:tc>
          <w:tcPr>
            <w:tcW w:w="110" w:type="dxa"/>
            <w:tcBorders/>
            <w:shd w:fill="CCEEFF" w:val="clear"/>
            <w:vAlign w:val="center"/>
          </w:tcPr>
          <w:p>
            <w:pPr>
              <w:pStyle w:val="TableContents"/>
              <w:bidi w:val="0"/>
              <w:spacing w:before="0" w:after="283"/>
              <w:jc w:val="left"/>
              <w:rPr/>
            </w:pPr>
            <w:r>
              <w:rPr/>
              <w:t>)</w:t>
            </w:r>
            <w:bookmarkStart w:id="92" w:name="xdx_404_eus-gaap--GrossProfit_iT_mtCzS1o"/>
            <w:bookmarkEnd w:id="92"/>
          </w:p>
        </w:tc>
      </w:tr>
      <w:tr>
        <w:trPr/>
        <w:tc>
          <w:tcPr>
            <w:tcW w:w="725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32,307,000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24,034,000</w:t>
            </w:r>
          </w:p>
        </w:tc>
        <w:tc>
          <w:tcPr>
            <w:tcW w:w="110" w:type="dxa"/>
            <w:tcBorders/>
            <w:shd w:fill="FFFFFF" w:val="clear"/>
            <w:vAlign w:val="center"/>
          </w:tcPr>
          <w:p>
            <w:pPr>
              <w:pStyle w:val="TableContents"/>
              <w:bidi w:val="0"/>
              <w:spacing w:before="0" w:after="283"/>
              <w:jc w:val="left"/>
              <w:rPr/>
            </w:pPr>
            <w:r>
              <w:rPr/>
              <w:t> </w:t>
            </w:r>
            <w:bookmarkStart w:id="93" w:name="xdx_400_eus-gaap--OperatingExpensesAbstr"/>
            <w:bookmarkEnd w:id="93"/>
          </w:p>
        </w:tc>
      </w:tr>
      <w:tr>
        <w:trPr/>
        <w:tc>
          <w:tcPr>
            <w:tcW w:w="725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4" w:name="xdx_40D_eus-gaap--SellingGeneralAndAdmin"/>
            <w:bookmarkEnd w:id="94"/>
          </w:p>
        </w:tc>
      </w:tr>
      <w:tr>
        <w:trPr/>
        <w:tc>
          <w:tcPr>
            <w:tcW w:w="725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40,513,000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28,813,000</w:t>
            </w:r>
          </w:p>
        </w:tc>
        <w:tc>
          <w:tcPr>
            <w:tcW w:w="110" w:type="dxa"/>
            <w:tcBorders/>
            <w:shd w:fill="FFFFFF" w:val="clear"/>
            <w:vAlign w:val="center"/>
          </w:tcPr>
          <w:p>
            <w:pPr>
              <w:pStyle w:val="TableContents"/>
              <w:bidi w:val="0"/>
              <w:spacing w:before="0" w:after="283"/>
              <w:jc w:val="left"/>
              <w:rPr/>
            </w:pPr>
            <w:r>
              <w:rPr/>
              <w:t> </w:t>
            </w:r>
            <w:bookmarkStart w:id="95" w:name="xdx_405_eus-gaap--ResearchAndDevelopment"/>
            <w:bookmarkEnd w:id="95"/>
          </w:p>
        </w:tc>
      </w:tr>
      <w:tr>
        <w:trPr/>
        <w:tc>
          <w:tcPr>
            <w:tcW w:w="72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2,149,000</w:t>
            </w:r>
          </w:p>
        </w:tc>
        <w:tc>
          <w:tcPr>
            <w:tcW w:w="110" w:type="dxa"/>
            <w:tcBorders/>
            <w:shd w:fill="CCEEFF" w:val="clear"/>
            <w:vAlign w:val="center"/>
          </w:tcPr>
          <w:p>
            <w:pPr>
              <w:pStyle w:val="TableContents"/>
              <w:bidi w:val="0"/>
              <w:spacing w:before="0" w:after="283"/>
              <w:jc w:val="left"/>
              <w:rPr/>
            </w:pPr>
            <w:r>
              <w:rPr/>
              <w:t> </w:t>
            </w:r>
            <w:bookmarkStart w:id="96" w:name="xdx_40F_eus-gaap--OperatingExpenses_i01T"/>
            <w:bookmarkEnd w:id="96"/>
          </w:p>
        </w:tc>
      </w:tr>
      <w:tr>
        <w:trPr/>
        <w:tc>
          <w:tcPr>
            <w:tcW w:w="725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43,539,000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30,962,000</w:t>
            </w:r>
          </w:p>
        </w:tc>
        <w:tc>
          <w:tcPr>
            <w:tcW w:w="110" w:type="dxa"/>
            <w:tcBorders/>
            <w:shd w:fill="FFFFFF" w:val="clear"/>
            <w:vAlign w:val="center"/>
          </w:tcPr>
          <w:p>
            <w:pPr>
              <w:pStyle w:val="TableContents"/>
              <w:bidi w:val="0"/>
              <w:spacing w:before="0" w:after="283"/>
              <w:jc w:val="left"/>
              <w:rPr/>
            </w:pPr>
            <w:r>
              <w:rPr/>
              <w:t> </w:t>
            </w:r>
            <w:bookmarkStart w:id="97" w:name="xdx_40B_eus-gaap--OperatingIncomeLoss_iT"/>
            <w:bookmarkEnd w:id="97"/>
          </w:p>
        </w:tc>
      </w:tr>
      <w:tr>
        <w:trPr/>
        <w:tc>
          <w:tcPr>
            <w:tcW w:w="725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(11,232,000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(6,928,000</w:t>
            </w:r>
          </w:p>
        </w:tc>
        <w:tc>
          <w:tcPr>
            <w:tcW w:w="110" w:type="dxa"/>
            <w:tcBorders/>
            <w:shd w:fill="CCEEFF" w:val="clear"/>
            <w:vAlign w:val="center"/>
          </w:tcPr>
          <w:p>
            <w:pPr>
              <w:pStyle w:val="TableContents"/>
              <w:bidi w:val="0"/>
              <w:spacing w:before="0" w:after="283"/>
              <w:jc w:val="left"/>
              <w:rPr/>
            </w:pPr>
            <w:r>
              <w:rPr/>
              <w:t>)</w:t>
            </w:r>
            <w:bookmarkStart w:id="98" w:name="xdx_404_eus-gaap--NonoperatingIncomeExpe"/>
            <w:bookmarkEnd w:id="98"/>
          </w:p>
        </w:tc>
      </w:tr>
      <w:tr>
        <w:trPr/>
        <w:tc>
          <w:tcPr>
            <w:tcW w:w="725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9" w:name="xdx_400_eus-gaap--InterestExpenseNonoper"/>
            <w:bookmarkEnd w:id="99"/>
          </w:p>
        </w:tc>
      </w:tr>
      <w:tr>
        <w:trPr/>
        <w:tc>
          <w:tcPr>
            <w:tcW w:w="725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(5,415,000</w:t>
            </w:r>
          </w:p>
        </w:tc>
        <w:tc>
          <w:tcPr>
            <w:tcW w:w="110" w:type="dxa"/>
            <w:tcBorders/>
            <w:shd w:fill="CCEEFF" w:val="clear"/>
            <w:vAlign w:val="center"/>
          </w:tcPr>
          <w:p>
            <w:pPr>
              <w:pStyle w:val="TableContents"/>
              <w:bidi w:val="0"/>
              <w:spacing w:before="0" w:after="283"/>
              <w:jc w:val="left"/>
              <w:rPr/>
            </w:pPr>
            <w:r>
              <w:rPr/>
              <w:t>)</w:t>
            </w:r>
            <w:bookmarkStart w:id="100" w:name="xdx_40C_eus-gaap--GainLossOnInvestments_"/>
            <w:bookmarkEnd w:id="100"/>
          </w:p>
        </w:tc>
      </w:tr>
      <w:tr>
        <w:trPr/>
        <w:tc>
          <w:tcPr>
            <w:tcW w:w="7250" w:type="dxa"/>
            <w:tcBorders/>
            <w:shd w:fill="FFFFFF" w:val="clear"/>
            <w:vAlign w:val="center"/>
          </w:tcPr>
          <w:p>
            <w:pPr>
              <w:pStyle w:val="TableContents"/>
              <w:bidi w:val="0"/>
              <w:spacing w:before="0" w:after="283"/>
              <w:jc w:val="left"/>
              <w:rPr/>
            </w:pPr>
            <w:r>
              <w:rPr/>
              <w:t>Investment loss from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(1,248,000</w:t>
            </w:r>
          </w:p>
        </w:tc>
        <w:tc>
          <w:tcPr>
            <w:tcW w:w="110" w:type="dxa"/>
            <w:tcBorders/>
            <w:shd w:fill="FFFFFF" w:val="clear"/>
            <w:vAlign w:val="center"/>
          </w:tcPr>
          <w:p>
            <w:pPr>
              <w:pStyle w:val="TableContents"/>
              <w:bidi w:val="0"/>
              <w:spacing w:before="0" w:after="283"/>
              <w:jc w:val="left"/>
              <w:rPr/>
            </w:pPr>
            <w:r>
              <w:rPr/>
              <w:t>)</w:t>
            </w:r>
            <w:bookmarkStart w:id="101" w:name="xdx_409_eus-gaap--OtherNonoperatingIncom"/>
            <w:bookmarkEnd w:id="101"/>
          </w:p>
        </w:tc>
      </w:tr>
      <w:tr>
        <w:trPr/>
        <w:tc>
          <w:tcPr>
            <w:tcW w:w="72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26,000</w:t>
            </w:r>
          </w:p>
        </w:tc>
        <w:tc>
          <w:tcPr>
            <w:tcW w:w="110" w:type="dxa"/>
            <w:tcBorders/>
            <w:shd w:fill="CCEEFF" w:val="clear"/>
            <w:vAlign w:val="center"/>
          </w:tcPr>
          <w:p>
            <w:pPr>
              <w:pStyle w:val="TableContents"/>
              <w:bidi w:val="0"/>
              <w:spacing w:before="0" w:after="283"/>
              <w:jc w:val="left"/>
              <w:rPr/>
            </w:pPr>
            <w:r>
              <w:rPr/>
              <w:t> </w:t>
            </w:r>
            <w:bookmarkStart w:id="102" w:name="xdx_409_eus-gaap--NonoperatingIncomeExpe"/>
            <w:bookmarkEnd w:id="102"/>
          </w:p>
        </w:tc>
      </w:tr>
      <w:tr>
        <w:trPr/>
        <w:tc>
          <w:tcPr>
            <w:tcW w:w="725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(6,548,000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(6,637,000</w:t>
            </w:r>
          </w:p>
        </w:tc>
        <w:tc>
          <w:tcPr>
            <w:tcW w:w="110" w:type="dxa"/>
            <w:tcBorders/>
            <w:shd w:fill="FFFFFF" w:val="clear"/>
            <w:vAlign w:val="center"/>
          </w:tcPr>
          <w:p>
            <w:pPr>
              <w:pStyle w:val="TableContents"/>
              <w:bidi w:val="0"/>
              <w:spacing w:before="0" w:after="283"/>
              <w:jc w:val="left"/>
              <w:rPr/>
            </w:pPr>
            <w:r>
              <w:rPr/>
              <w:t>)</w:t>
            </w:r>
            <w:bookmarkStart w:id="103" w:name="xdx_404_eus-gaap--NetIncomeLoss_iT_mtCzU"/>
            <w:bookmarkEnd w:id="103"/>
          </w:p>
        </w:tc>
      </w:tr>
      <w:tr>
        <w:trPr/>
        <w:tc>
          <w:tcPr>
            <w:tcW w:w="72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(17,780,000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(13,565,000</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Basic and diluted net loss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4" w:name="xdx_90C_eus-gaap--EarningsPerShareDilute"/>
            <w:bookmarkStart w:id="105" w:name="xdx_909_eus-gaap--EarningsPerShareBasic_"/>
            <w:bookmarkEnd w:id="104"/>
            <w:bookmarkEnd w:id="105"/>
            <w:r>
              <w:rPr/>
              <w:t>(0.50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6" w:name="xdx_907_eus-gaap--EarningsPerShareDilute"/>
            <w:bookmarkStart w:id="107" w:name="xdx_905_eus-gaap--EarningsPerShareBasic_"/>
            <w:bookmarkEnd w:id="106"/>
            <w:bookmarkEnd w:id="107"/>
            <w:r>
              <w:rPr/>
              <w:t>(0.38</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8" w:name="xdx_907_eus-gaap--WeightedAverageNumberO"/>
            <w:bookmarkStart w:id="109" w:name="xdx_909_eus-gaap--WeightedAverageNumberO"/>
            <w:bookmarkEnd w:id="108"/>
            <w:bookmarkEnd w:id="109"/>
            <w:r>
              <w:rPr/>
              <w:t>35,826,452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0" w:name="xdx_900_eus-gaap--WeightedAverageNumberO"/>
            <w:bookmarkStart w:id="111" w:name="xdx_90E_eus-gaap--WeightedAverageNumberO"/>
            <w:bookmarkEnd w:id="110"/>
            <w:bookmarkEnd w:id="111"/>
            <w:r>
              <w:rPr/>
              <w:t>35,469,638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 and 2024</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 w:name="xdx_308_114_zPpV7FXfmgZ"/>
      <w:bookmarkStart w:id="113" w:name="xdx_308_114_zPpV7FXfmgZ"/>
      <w:bookmarkEnd w:id="113"/>
    </w:p>
    <w:tbl>
      <w:tblPr>
        <w:tblW w:w="1127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60"/>
        <w:gridCol w:w="60"/>
        <w:gridCol w:w="140"/>
        <w:gridCol w:w="1220"/>
        <w:gridCol w:w="95"/>
        <w:gridCol w:w="60"/>
        <w:gridCol w:w="140"/>
        <w:gridCol w:w="1295"/>
        <w:gridCol w:w="95"/>
        <w:gridCol w:w="60"/>
        <w:gridCol w:w="140"/>
        <w:gridCol w:w="1175"/>
        <w:gridCol w:w="95"/>
        <w:gridCol w:w="60"/>
        <w:gridCol w:w="201"/>
        <w:gridCol w:w="1259"/>
        <w:gridCol w:w="95"/>
        <w:gridCol w:w="60"/>
        <w:gridCol w:w="140"/>
        <w:gridCol w:w="1175"/>
        <w:gridCol w:w="110"/>
      </w:tblGrid>
      <w:tr>
        <w:trPr/>
        <w:tc>
          <w:tcPr>
            <w:tcW w:w="13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B7_us-gaap--StatementEquityComponen"/>
            <w:bookmarkEnd w:id="114"/>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B7_us-gaap--StatementEquityComponen"/>
            <w:bookmarkEnd w:id="115"/>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E_us-gaap--StatementEquityComponen"/>
            <w:bookmarkEnd w:id="116"/>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9_us-gaap--StatementEquityComponen"/>
            <w:bookmarkEnd w:id="117"/>
          </w:p>
        </w:tc>
        <w:tc>
          <w:tcPr>
            <w:tcW w:w="1315"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2_us-gaap--StatementEquityComponen"/>
            <w:bookmarkEnd w:id="118"/>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9_z2zUedKFGTAa"/>
            <w:bookmarkEnd w:id="119"/>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ind w:left="0" w:right="0" w:hanging="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ind w:left="0" w:right="0" w:hanging="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ind w:left="0" w:right="0" w:hanging="0"/>
              <w:jc w:val="left"/>
              <w:rPr/>
            </w:pPr>
            <w:r>
              <w:rPr/>
              <w:t> </w:t>
            </w:r>
            <w:bookmarkStart w:id="120" w:name="xdx_43E_c20240101__20240331_eus-gaap--St"/>
            <w:bookmarkEnd w:id="120"/>
          </w:p>
        </w:tc>
      </w:tr>
      <w:tr>
        <w:trPr/>
        <w:tc>
          <w:tcPr>
            <w:tcW w:w="1340" w:type="dxa"/>
            <w:tcBorders/>
            <w:shd w:fill="CCEEFF" w:val="clear"/>
            <w:vAlign w:val="center"/>
          </w:tcPr>
          <w:p>
            <w:pPr>
              <w:pStyle w:val="TableContents"/>
              <w:bidi w:val="0"/>
              <w:spacing w:before="0" w:after="283"/>
              <w:jc w:val="left"/>
              <w:rPr/>
            </w:pPr>
            <w:r>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F_eus-gaap--SharesOutstanding_iS_c"/>
            <w:bookmarkEnd w:id="121"/>
          </w:p>
        </w:tc>
        <w:tc>
          <w:tcPr>
            <w:tcW w:w="1100" w:type="dxa"/>
            <w:tcBorders/>
            <w:shd w:fill="CCEEFF" w:val="clear"/>
            <w:vAlign w:val="center"/>
          </w:tcPr>
          <w:p>
            <w:pPr>
              <w:pStyle w:val="TableContents"/>
              <w:bidi w:val="0"/>
              <w:spacing w:before="0" w:after="283"/>
              <w:jc w:val="right"/>
              <w:rPr/>
            </w:pPr>
            <w:r>
              <w:rPr/>
              <w:t>35,168,260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204,635,000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(133,904,000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70,766,000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70,411,000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122" w:name="xdx_40E_eus-gaap--StockIssuedDuringPerio"/>
            <w:bookmarkEnd w:id="122"/>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3" w:name="xdx_981_eus-gaap--StockIssuedDuringPerio"/>
            <w:bookmarkEnd w:id="123"/>
          </w:p>
        </w:tc>
        <w:tc>
          <w:tcPr>
            <w:tcW w:w="1100" w:type="dxa"/>
            <w:tcBorders/>
            <w:shd w:fill="FFFFFF" w:val="clear"/>
            <w:vAlign w:val="center"/>
          </w:tcPr>
          <w:p>
            <w:pPr>
              <w:pStyle w:val="TableContents"/>
              <w:bidi w:val="0"/>
              <w:spacing w:before="0" w:after="283"/>
              <w:jc w:val="right"/>
              <w:rPr/>
            </w:pPr>
            <w:r>
              <w:rPr/>
              <w:t>46,175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348,000</w:t>
            </w:r>
          </w:p>
        </w:tc>
        <w:tc>
          <w:tcPr>
            <w:tcW w:w="110" w:type="dxa"/>
            <w:tcBorders/>
            <w:shd w:fill="FFFFFF" w:val="clear"/>
            <w:vAlign w:val="center"/>
          </w:tcPr>
          <w:p>
            <w:pPr>
              <w:pStyle w:val="TableContents"/>
              <w:bidi w:val="0"/>
              <w:spacing w:before="0" w:after="283"/>
              <w:ind w:left="0" w:right="0" w:hanging="0"/>
              <w:jc w:val="left"/>
              <w:rPr/>
            </w:pPr>
            <w:r>
              <w:rPr/>
              <w:t> </w:t>
            </w:r>
            <w:bookmarkStart w:id="124" w:name="xdx_408_eus-gaap--StockIssuedDuringPerio"/>
            <w:bookmarkEnd w:id="124"/>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5" w:name="xdx_982_eus-gaap--StockIssuedDuringPerio"/>
            <w:bookmarkEnd w:id="125"/>
          </w:p>
        </w:tc>
        <w:tc>
          <w:tcPr>
            <w:tcW w:w="1100" w:type="dxa"/>
            <w:tcBorders/>
            <w:shd w:fill="CCEEFF" w:val="clear"/>
            <w:vAlign w:val="center"/>
          </w:tcPr>
          <w:p>
            <w:pPr>
              <w:pStyle w:val="TableContents"/>
              <w:bidi w:val="0"/>
              <w:spacing w:before="0" w:after="283"/>
              <w:jc w:val="right"/>
              <w:rPr/>
            </w:pPr>
            <w:r>
              <w:rPr/>
              <w:t>275,000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126" w:name="xdx_40A_eus-gaap--StockIssuedDuringPerio"/>
            <w:bookmarkEnd w:id="126"/>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7" w:name="xdx_98C_eus-gaap--StockIssuedDuringPerio"/>
            <w:bookmarkEnd w:id="127"/>
          </w:p>
        </w:tc>
        <w:tc>
          <w:tcPr>
            <w:tcW w:w="1100" w:type="dxa"/>
            <w:tcBorders/>
            <w:shd w:fill="FFFFFF" w:val="clear"/>
            <w:vAlign w:val="center"/>
          </w:tcPr>
          <w:p>
            <w:pPr>
              <w:pStyle w:val="TableContents"/>
              <w:bidi w:val="0"/>
              <w:spacing w:before="0" w:after="283"/>
              <w:jc w:val="right"/>
              <w:rPr/>
            </w:pPr>
            <w:r>
              <w:rPr/>
              <w:t>(108,480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(1,157,000</w:t>
            </w:r>
          </w:p>
        </w:tc>
        <w:tc>
          <w:tcPr>
            <w:tcW w:w="110" w:type="dxa"/>
            <w:tcBorders/>
            <w:shd w:fill="FFFFFF" w:val="clear"/>
            <w:vAlign w:val="center"/>
          </w:tcPr>
          <w:p>
            <w:pPr>
              <w:pStyle w:val="TableContents"/>
              <w:bidi w:val="0"/>
              <w:spacing w:before="0" w:after="283"/>
              <w:ind w:left="0" w:right="0" w:hanging="0"/>
              <w:jc w:val="left"/>
              <w:rPr/>
            </w:pPr>
            <w:r>
              <w:rPr/>
              <w:t>)</w:t>
            </w:r>
            <w:bookmarkStart w:id="128" w:name="xdx_40E_eus-gaap--AdjustmentsToAdditiona"/>
            <w:bookmarkEnd w:id="128"/>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4,169,000</w:t>
            </w:r>
          </w:p>
        </w:tc>
        <w:tc>
          <w:tcPr>
            <w:tcW w:w="110" w:type="dxa"/>
            <w:tcBorders/>
            <w:shd w:fill="CCEEFF" w:val="clear"/>
            <w:vAlign w:val="center"/>
          </w:tcPr>
          <w:p>
            <w:pPr>
              <w:pStyle w:val="TableContents"/>
              <w:bidi w:val="0"/>
              <w:spacing w:before="0" w:after="283"/>
              <w:ind w:left="0" w:right="0" w:hanging="0"/>
              <w:jc w:val="left"/>
              <w:rPr/>
            </w:pPr>
            <w:r>
              <w:rPr/>
              <w:t> </w:t>
            </w:r>
            <w:bookmarkStart w:id="129" w:name="xdx_40C_eus-gaap--NetIncomeLoss_zM6d95b6"/>
            <w:bookmarkEnd w:id="129"/>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(13,565,000</w:t>
            </w:r>
          </w:p>
        </w:tc>
        <w:tc>
          <w:tcPr>
            <w:tcW w:w="110" w:type="dxa"/>
            <w:tcBorders/>
            <w:shd w:fill="FFFFFF" w:val="clear"/>
            <w:vAlign w:val="center"/>
          </w:tcPr>
          <w:p>
            <w:pPr>
              <w:pStyle w:val="TableContents"/>
              <w:bidi w:val="0"/>
              <w:spacing w:before="0" w:after="283"/>
              <w:ind w:left="0" w:right="0" w:hanging="0"/>
              <w:jc w:val="left"/>
              <w:rPr/>
            </w:pPr>
            <w:r>
              <w:rPr/>
              <w:t>)</w:t>
            </w:r>
            <w:bookmarkStart w:id="130" w:name="xdx_43F_c20240101__20240331_eus-gaap--St"/>
            <w:bookmarkEnd w:id="130"/>
          </w:p>
        </w:tc>
      </w:tr>
      <w:tr>
        <w:trPr/>
        <w:tc>
          <w:tcPr>
            <w:tcW w:w="1340" w:type="dxa"/>
            <w:tcBorders/>
            <w:shd w:fill="CCEEFF" w:val="clear"/>
            <w:vAlign w:val="center"/>
          </w:tcPr>
          <w:p>
            <w:pPr>
              <w:pStyle w:val="TableContents"/>
              <w:bidi w:val="0"/>
              <w:spacing w:before="0" w:after="283"/>
              <w:jc w:val="left"/>
              <w:rPr/>
            </w:pPr>
            <w:r>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1" w:name="xdx_98D_eus-gaap--SharesOutstanding_iE_c"/>
            <w:bookmarkEnd w:id="13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35,380,955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207,995,000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(147,469,000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60,561,000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60,206,000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200"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40"/>
        <w:gridCol w:w="680"/>
        <w:gridCol w:w="60"/>
        <w:gridCol w:w="60"/>
        <w:gridCol w:w="140"/>
        <w:gridCol w:w="1220"/>
        <w:gridCol w:w="60"/>
        <w:gridCol w:w="60"/>
        <w:gridCol w:w="140"/>
        <w:gridCol w:w="1295"/>
        <w:gridCol w:w="95"/>
        <w:gridCol w:w="60"/>
        <w:gridCol w:w="140"/>
        <w:gridCol w:w="1175"/>
        <w:gridCol w:w="95"/>
        <w:gridCol w:w="60"/>
        <w:gridCol w:w="201"/>
        <w:gridCol w:w="1259"/>
        <w:gridCol w:w="95"/>
        <w:gridCol w:w="60"/>
        <w:gridCol w:w="140"/>
        <w:gridCol w:w="1175"/>
        <w:gridCol w:w="110"/>
      </w:tblGrid>
      <w:tr>
        <w:trPr/>
        <w:tc>
          <w:tcPr>
            <w:tcW w:w="13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ind w:left="0" w:right="0" w:hanging="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ind w:left="0" w:right="0" w:hanging="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ind w:left="0" w:right="0" w:hanging="0"/>
              <w:jc w:val="left"/>
              <w:rPr/>
            </w:pPr>
            <w:r>
              <w:rPr/>
              <w:t> </w:t>
            </w:r>
            <w:bookmarkStart w:id="132" w:name="xdx_430_c20250101__20250331_eus-gaap--St"/>
            <w:bookmarkEnd w:id="132"/>
          </w:p>
        </w:tc>
      </w:tr>
      <w:tr>
        <w:trPr/>
        <w:tc>
          <w:tcPr>
            <w:tcW w:w="134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2_eus-gaap--SharesOutstanding_iS_c"/>
            <w:bookmarkEnd w:id="133"/>
          </w:p>
        </w:tc>
        <w:tc>
          <w:tcPr>
            <w:tcW w:w="1100" w:type="dxa"/>
            <w:tcBorders/>
            <w:shd w:fill="CCEEFF" w:val="clear"/>
            <w:vAlign w:val="center"/>
          </w:tcPr>
          <w:p>
            <w:pPr>
              <w:pStyle w:val="TableContents"/>
              <w:bidi w:val="0"/>
              <w:spacing w:before="0" w:after="283"/>
              <w:jc w:val="right"/>
              <w:rPr/>
            </w:pPr>
            <w:r>
              <w:rPr/>
              <w:t>35,622,214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221,002,000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(151,385,000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69,652,000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69,297,000</w:t>
            </w:r>
          </w:p>
        </w:tc>
        <w:tc>
          <w:tcPr>
            <w:tcW w:w="110" w:type="dxa"/>
            <w:tcBorders/>
            <w:shd w:fill="CCEEFF" w:val="clear"/>
            <w:vAlign w:val="center"/>
          </w:tcPr>
          <w:p>
            <w:pPr>
              <w:pStyle w:val="TableContents"/>
              <w:bidi w:val="0"/>
              <w:spacing w:before="0" w:after="283"/>
              <w:ind w:left="0" w:right="0" w:hanging="0"/>
              <w:jc w:val="left"/>
              <w:rPr/>
            </w:pPr>
            <w:r>
              <w:rPr/>
              <w:t> </w:t>
            </w:r>
            <w:bookmarkStart w:id="134" w:name="xdx_435_c20250101__20250331_eus-gaap--St"/>
            <w:bookmarkEnd w:id="134"/>
          </w:p>
        </w:tc>
      </w:tr>
      <w:tr>
        <w:trPr/>
        <w:tc>
          <w:tcPr>
            <w:tcW w:w="134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6_eus-gaap--SharesOutstanding_iS_c"/>
            <w:bookmarkEnd w:id="135"/>
          </w:p>
        </w:tc>
        <w:tc>
          <w:tcPr>
            <w:tcW w:w="1100" w:type="dxa"/>
            <w:tcBorders/>
            <w:shd w:fill="CCEEFF" w:val="clear"/>
            <w:vAlign w:val="center"/>
          </w:tcPr>
          <w:p>
            <w:pPr>
              <w:pStyle w:val="TableContents"/>
              <w:bidi w:val="0"/>
              <w:spacing w:before="0" w:after="283"/>
              <w:jc w:val="right"/>
              <w:rPr/>
            </w:pPr>
            <w:r>
              <w:rPr/>
              <w:t>35,622,214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221,002,000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(151,385,000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69,652,000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69,297,000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136" w:name="xdx_405_eus-gaap--StockIssuedDuringPerio"/>
            <w:bookmarkEnd w:id="136"/>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7" w:name="xdx_984_eus-gaap--StockIssuedDuringPerio"/>
            <w:bookmarkEnd w:id="137"/>
          </w:p>
        </w:tc>
        <w:tc>
          <w:tcPr>
            <w:tcW w:w="1100" w:type="dxa"/>
            <w:tcBorders/>
            <w:shd w:fill="FFFFFF" w:val="clear"/>
            <w:vAlign w:val="center"/>
          </w:tcPr>
          <w:p>
            <w:pPr>
              <w:pStyle w:val="TableContents"/>
              <w:bidi w:val="0"/>
              <w:spacing w:before="0" w:after="283"/>
              <w:jc w:val="right"/>
              <w:rPr/>
            </w:pPr>
            <w:r>
              <w:rPr/>
              <w:t>2,743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23,000</w:t>
            </w:r>
          </w:p>
        </w:tc>
        <w:tc>
          <w:tcPr>
            <w:tcW w:w="110" w:type="dxa"/>
            <w:tcBorders/>
            <w:shd w:fill="FFFFFF" w:val="clear"/>
            <w:vAlign w:val="center"/>
          </w:tcPr>
          <w:p>
            <w:pPr>
              <w:pStyle w:val="TableContents"/>
              <w:bidi w:val="0"/>
              <w:spacing w:before="0" w:after="283"/>
              <w:ind w:left="0" w:right="0" w:hanging="0"/>
              <w:jc w:val="left"/>
              <w:rPr/>
            </w:pPr>
            <w:r>
              <w:rPr/>
              <w:t> </w:t>
            </w:r>
            <w:bookmarkStart w:id="138" w:name="xdx_408_eus-gaap--StockIssuedDuringPerio"/>
            <w:bookmarkEnd w:id="138"/>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8_eus-gaap--StockIssuedDuringPerio"/>
            <w:bookmarkEnd w:id="139"/>
          </w:p>
        </w:tc>
        <w:tc>
          <w:tcPr>
            <w:tcW w:w="1100" w:type="dxa"/>
            <w:tcBorders/>
            <w:shd w:fill="CCEEFF" w:val="clear"/>
            <w:vAlign w:val="center"/>
          </w:tcPr>
          <w:p>
            <w:pPr>
              <w:pStyle w:val="TableContents"/>
              <w:bidi w:val="0"/>
              <w:spacing w:before="0" w:after="283"/>
              <w:jc w:val="right"/>
              <w:rPr/>
            </w:pPr>
            <w:r>
              <w:rPr/>
              <w:t>29,214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bookmarkStart w:id="140" w:name="xdx_409_eus-gaap--AdjustmentsToAdditiona"/>
            <w:bookmarkEnd w:id="140"/>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4,556,000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4,556,000</w:t>
            </w:r>
          </w:p>
        </w:tc>
        <w:tc>
          <w:tcPr>
            <w:tcW w:w="110" w:type="dxa"/>
            <w:tcBorders/>
            <w:shd w:fill="FFFFFF" w:val="clear"/>
            <w:vAlign w:val="center"/>
          </w:tcPr>
          <w:p>
            <w:pPr>
              <w:pStyle w:val="TableContents"/>
              <w:bidi w:val="0"/>
              <w:spacing w:before="0" w:after="283"/>
              <w:ind w:left="0" w:right="0" w:hanging="0"/>
              <w:jc w:val="left"/>
              <w:rPr/>
            </w:pPr>
            <w:r>
              <w:rPr/>
              <w:t> </w:t>
            </w:r>
            <w:bookmarkStart w:id="141" w:name="xdx_401_eus-gaap--NetIncomeLoss_zsf9hBsr"/>
            <w:bookmarkEnd w:id="141"/>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(17,780,000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(17,780,000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(17,780,000</w:t>
            </w:r>
          </w:p>
        </w:tc>
        <w:tc>
          <w:tcPr>
            <w:tcW w:w="110" w:type="dxa"/>
            <w:tcBorders/>
            <w:shd w:fill="CCEEFF" w:val="clear"/>
            <w:vAlign w:val="center"/>
          </w:tcPr>
          <w:p>
            <w:pPr>
              <w:pStyle w:val="TableContents"/>
              <w:bidi w:val="0"/>
              <w:spacing w:before="0" w:after="283"/>
              <w:ind w:left="0" w:right="0" w:hanging="0"/>
              <w:jc w:val="left"/>
              <w:rPr/>
            </w:pPr>
            <w:r>
              <w:rPr/>
              <w:t>)</w:t>
            </w:r>
            <w:bookmarkStart w:id="142" w:name="xdx_43F_c20250101__20250331_eus-gaap--St"/>
            <w:bookmarkEnd w:id="142"/>
          </w:p>
        </w:tc>
      </w:tr>
      <w:tr>
        <w:trPr/>
        <w:tc>
          <w:tcPr>
            <w:tcW w:w="1340" w:type="dxa"/>
            <w:tcBorders/>
            <w:shd w:fill="FFFFFF" w:val="clear"/>
            <w:vAlign w:val="center"/>
          </w:tcPr>
          <w:p>
            <w:pPr>
              <w:pStyle w:val="TableContents"/>
              <w:bidi w:val="0"/>
              <w:spacing w:before="0" w:after="283"/>
              <w:jc w:val="left"/>
              <w:rPr/>
            </w:pPr>
            <w:r>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3" w:name="xdx_989_eus-gaap--SharesOutstanding_iE_c"/>
            <w:bookmarkEnd w:id="14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35,654,171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225,581,000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(169,165,000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56,451,000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56,096,000</w:t>
            </w:r>
          </w:p>
        </w:tc>
        <w:tc>
          <w:tcPr>
            <w:tcW w:w="110" w:type="dxa"/>
            <w:tcBorders/>
            <w:shd w:fill="FFFFFF" w:val="clear"/>
            <w:vAlign w:val="center"/>
          </w:tcPr>
          <w:p>
            <w:pPr>
              <w:pStyle w:val="TableContents"/>
              <w:bidi w:val="0"/>
              <w:spacing w:before="0" w:after="283"/>
              <w:ind w:left="0" w:right="0" w:hanging="0"/>
              <w:jc w:val="left"/>
              <w:rPr/>
            </w:pPr>
            <w:r>
              <w:rPr/>
              <w:t> </w:t>
            </w:r>
            <w:bookmarkStart w:id="144" w:name="xdx_435_c20250101__20250331_eus-gaap--St"/>
            <w:bookmarkEnd w:id="144"/>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5" w:name="xdx_983_eus-gaap--SharesOutstanding_iE_c"/>
            <w:bookmarkEnd w:id="14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35,654,171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225,581,000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(169,165,000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56,451,000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56,096,000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6" w:name="xdx_309_112_zyF3uaMXamol"/>
      <w:bookmarkStart w:id="147" w:name="xdx_309_112_zyF3uaMXamol"/>
      <w:bookmarkEnd w:id="147"/>
    </w:p>
    <w:tbl>
      <w:tblPr>
        <w:tblW w:w="10205" w:type="dxa"/>
        <w:jc w:val="left"/>
        <w:tblInd w:w="0" w:type="dxa"/>
        <w:tblLayout w:type="fixed"/>
        <w:tblCellMar>
          <w:top w:w="0" w:type="dxa"/>
          <w:left w:w="0" w:type="dxa"/>
          <w:bottom w:w="0" w:type="dxa"/>
          <w:right w:w="0" w:type="dxa"/>
        </w:tblCellMar>
      </w:tblPr>
      <w:tblGrid>
        <w:gridCol w:w="7070"/>
        <w:gridCol w:w="60"/>
        <w:gridCol w:w="140"/>
        <w:gridCol w:w="1175"/>
        <w:gridCol w:w="95"/>
        <w:gridCol w:w="60"/>
        <w:gridCol w:w="140"/>
        <w:gridCol w:w="1175"/>
        <w:gridCol w:w="290"/>
      </w:tblGrid>
      <w:tr>
        <w:trPr/>
        <w:tc>
          <w:tcPr>
            <w:tcW w:w="7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8" w:name="xdx_496_20250101__20250331_zwx7nQZ5NlI2"/>
            <w:bookmarkEnd w:id="148"/>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9" w:name="xdx_49D_20240101__20240331_zFY2aZX08mi7"/>
            <w:bookmarkEnd w:id="149"/>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 </w:t>
            </w:r>
          </w:p>
        </w:tc>
      </w:tr>
      <w:tr>
        <w:trPr/>
        <w:tc>
          <w:tcPr>
            <w:tcW w:w="7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pPr>
            <w:r>
              <w:rPr/>
              <w:t>For the Three Months Ended</w:t>
            </w:r>
          </w:p>
        </w:tc>
        <w:tc>
          <w:tcPr>
            <w:tcW w:w="29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March 31,</w:t>
            </w:r>
          </w:p>
        </w:tc>
        <w:tc>
          <w:tcPr>
            <w:tcW w:w="29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29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bookmarkStart w:id="150" w:name="xdx_400_eus-gaap--NetCashProvidedByUsedI"/>
            <w:bookmarkEnd w:id="150"/>
          </w:p>
        </w:tc>
      </w:tr>
      <w:tr>
        <w:trPr/>
        <w:tc>
          <w:tcPr>
            <w:tcW w:w="707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51" w:name="xdx_402_eus-gaap--NetIncomeLoss_i01_pp0p"/>
            <w:bookmarkEnd w:id="151"/>
          </w:p>
        </w:tc>
      </w:tr>
      <w:tr>
        <w:trPr/>
        <w:tc>
          <w:tcPr>
            <w:tcW w:w="70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(17,780,000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(13,565,000</w:t>
            </w:r>
          </w:p>
        </w:tc>
        <w:tc>
          <w:tcPr>
            <w:tcW w:w="290" w:type="dxa"/>
            <w:tcBorders/>
            <w:shd w:fill="FFFFFF" w:val="clear"/>
            <w:vAlign w:val="center"/>
          </w:tcPr>
          <w:p>
            <w:pPr>
              <w:pStyle w:val="TableContents"/>
              <w:bidi w:val="0"/>
              <w:spacing w:before="0" w:after="283"/>
              <w:jc w:val="left"/>
              <w:rPr/>
            </w:pPr>
            <w:r>
              <w:rPr/>
              <w:t>)</w:t>
            </w:r>
            <w:bookmarkStart w:id="152" w:name="xdx_403_eus-gaap--AdjustmentsToReconcile"/>
            <w:bookmarkEnd w:id="152"/>
          </w:p>
        </w:tc>
      </w:tr>
      <w:tr>
        <w:trPr/>
        <w:tc>
          <w:tcPr>
            <w:tcW w:w="7070" w:type="dxa"/>
            <w:tcBorders/>
            <w:shd w:fill="CCEE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53" w:name="xdx_408_eus-gaap--DepreciationAndAmortiz"/>
            <w:bookmarkEnd w:id="153"/>
          </w:p>
        </w:tc>
      </w:tr>
      <w:tr>
        <w:trPr/>
        <w:tc>
          <w:tcPr>
            <w:tcW w:w="7070" w:type="dxa"/>
            <w:tcBorders/>
            <w:shd w:fill="FFFFFF" w:val="clear"/>
            <w:vAlign w:val="center"/>
          </w:tcPr>
          <w:p>
            <w:pPr>
              <w:pStyle w:val="TableContents"/>
              <w:bidi w:val="0"/>
              <w:spacing w:before="0" w:after="283"/>
              <w:jc w:val="left"/>
              <w:rPr/>
            </w:pPr>
            <w:r>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432,000</w:t>
            </w:r>
          </w:p>
        </w:tc>
        <w:tc>
          <w:tcPr>
            <w:tcW w:w="290" w:type="dxa"/>
            <w:tcBorders/>
            <w:shd w:fill="FFFFFF" w:val="clear"/>
            <w:vAlign w:val="center"/>
          </w:tcPr>
          <w:p>
            <w:pPr>
              <w:pStyle w:val="TableContents"/>
              <w:bidi w:val="0"/>
              <w:spacing w:before="0" w:after="283"/>
              <w:jc w:val="left"/>
              <w:rPr/>
            </w:pPr>
            <w:r>
              <w:rPr/>
              <w:t> </w:t>
            </w:r>
            <w:bookmarkStart w:id="154" w:name="xdx_403_eus-gaap--AmortizationOfIntangib"/>
            <w:bookmarkEnd w:id="154"/>
          </w:p>
        </w:tc>
      </w:tr>
      <w:tr>
        <w:trPr/>
        <w:tc>
          <w:tcPr>
            <w:tcW w:w="707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2,554,000</w:t>
            </w:r>
          </w:p>
        </w:tc>
        <w:tc>
          <w:tcPr>
            <w:tcW w:w="290" w:type="dxa"/>
            <w:tcBorders/>
            <w:shd w:fill="CCEEFF" w:val="clear"/>
            <w:vAlign w:val="center"/>
          </w:tcPr>
          <w:p>
            <w:pPr>
              <w:pStyle w:val="TableContents"/>
              <w:bidi w:val="0"/>
              <w:spacing w:before="0" w:after="283"/>
              <w:jc w:val="left"/>
              <w:rPr/>
            </w:pPr>
            <w:r>
              <w:rPr/>
              <w:t> </w:t>
            </w:r>
            <w:bookmarkStart w:id="155" w:name="xdx_403_eus-gaap--OperatingLeaseRightOfU"/>
            <w:bookmarkEnd w:id="155"/>
          </w:p>
        </w:tc>
      </w:tr>
      <w:tr>
        <w:trPr/>
        <w:tc>
          <w:tcPr>
            <w:tcW w:w="7070"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194,000</w:t>
            </w:r>
          </w:p>
        </w:tc>
        <w:tc>
          <w:tcPr>
            <w:tcW w:w="290" w:type="dxa"/>
            <w:tcBorders/>
            <w:shd w:fill="FFFFFF" w:val="clear"/>
            <w:vAlign w:val="center"/>
          </w:tcPr>
          <w:p>
            <w:pPr>
              <w:pStyle w:val="TableContents"/>
              <w:bidi w:val="0"/>
              <w:spacing w:before="0" w:after="283"/>
              <w:jc w:val="left"/>
              <w:rPr/>
            </w:pPr>
            <w:r>
              <w:rPr/>
              <w:t> </w:t>
            </w:r>
            <w:bookmarkStart w:id="156" w:name="xdx_407_eus-gaap--ProvisionForDoubtfulAc"/>
            <w:bookmarkEnd w:id="156"/>
          </w:p>
        </w:tc>
      </w:tr>
      <w:tr>
        <w:trPr/>
        <w:tc>
          <w:tcPr>
            <w:tcW w:w="7070" w:type="dxa"/>
            <w:tcBorders/>
            <w:shd w:fill="CCEEFF" w:val="clear"/>
            <w:vAlign w:val="center"/>
          </w:tcPr>
          <w:p>
            <w:pPr>
              <w:pStyle w:val="TableContents"/>
              <w:bidi w:val="0"/>
              <w:spacing w:before="0" w:after="283"/>
              <w:jc w:val="left"/>
              <w:rPr/>
            </w:pPr>
            <w:r>
              <w:rPr/>
              <w:t>Provision (recovery of)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(85,000</w:t>
            </w:r>
          </w:p>
        </w:tc>
        <w:tc>
          <w:tcPr>
            <w:tcW w:w="290" w:type="dxa"/>
            <w:tcBorders/>
            <w:shd w:fill="CCEEFF" w:val="clear"/>
            <w:vAlign w:val="center"/>
          </w:tcPr>
          <w:p>
            <w:pPr>
              <w:pStyle w:val="TableContents"/>
              <w:bidi w:val="0"/>
              <w:spacing w:before="0" w:after="283"/>
              <w:ind w:left="0" w:right="0" w:firstLine="180"/>
              <w:jc w:val="left"/>
              <w:rPr/>
            </w:pPr>
            <w:r>
              <w:rPr/>
              <w:t>)</w:t>
            </w:r>
            <w:bookmarkStart w:id="157" w:name="xdx_403_eus-gaap--AmortizationOfFinancin"/>
            <w:bookmarkEnd w:id="157"/>
          </w:p>
        </w:tc>
      </w:tr>
      <w:tr>
        <w:trPr/>
        <w:tc>
          <w:tcPr>
            <w:tcW w:w="7070" w:type="dxa"/>
            <w:tcBorders/>
            <w:shd w:fill="FFFFFF" w:val="clear"/>
            <w:vAlign w:val="center"/>
          </w:tcPr>
          <w:p>
            <w:pPr>
              <w:pStyle w:val="TableContents"/>
              <w:bidi w:val="0"/>
              <w:spacing w:before="0" w:after="283"/>
              <w:jc w:val="left"/>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976,000</w:t>
            </w:r>
          </w:p>
        </w:tc>
        <w:tc>
          <w:tcPr>
            <w:tcW w:w="290" w:type="dxa"/>
            <w:tcBorders/>
            <w:shd w:fill="FFFFFF" w:val="clear"/>
            <w:vAlign w:val="center"/>
          </w:tcPr>
          <w:p>
            <w:pPr>
              <w:pStyle w:val="TableContents"/>
              <w:bidi w:val="0"/>
              <w:spacing w:before="0" w:after="283"/>
              <w:ind w:left="0" w:right="0" w:firstLine="180"/>
              <w:jc w:val="left"/>
              <w:rPr/>
            </w:pPr>
            <w:r>
              <w:rPr/>
              <w:t> </w:t>
            </w:r>
            <w:bookmarkStart w:id="158" w:name="xdx_403_eus-gaap--GainLossOnInvestments_"/>
            <w:bookmarkEnd w:id="158"/>
          </w:p>
        </w:tc>
      </w:tr>
      <w:tr>
        <w:trPr/>
        <w:tc>
          <w:tcPr>
            <w:tcW w:w="7070" w:type="dxa"/>
            <w:tcBorders/>
            <w:shd w:fill="CCEEFF" w:val="clear"/>
            <w:vAlign w:val="center"/>
          </w:tcPr>
          <w:p>
            <w:pPr>
              <w:pStyle w:val="TableContents"/>
              <w:bidi w:val="0"/>
              <w:spacing w:before="0" w:after="283"/>
              <w:jc w:val="left"/>
              <w:rPr/>
            </w:pPr>
            <w:r>
              <w:rPr/>
              <w:t>Investment loss from investment in Eton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1,248,000</w:t>
            </w:r>
          </w:p>
        </w:tc>
        <w:tc>
          <w:tcPr>
            <w:tcW w:w="290" w:type="dxa"/>
            <w:tcBorders/>
            <w:shd w:fill="CCEEFF" w:val="clear"/>
            <w:vAlign w:val="center"/>
          </w:tcPr>
          <w:p>
            <w:pPr>
              <w:pStyle w:val="TableContents"/>
              <w:bidi w:val="0"/>
              <w:spacing w:before="0" w:after="283"/>
              <w:jc w:val="left"/>
              <w:rPr/>
            </w:pPr>
            <w:r>
              <w:rPr/>
              <w:t> </w:t>
            </w:r>
            <w:bookmarkStart w:id="159" w:name="xdx_408_eus-gaap--ShareBasedCompensation"/>
            <w:bookmarkEnd w:id="159"/>
          </w:p>
        </w:tc>
      </w:tr>
      <w:tr>
        <w:trPr/>
        <w:tc>
          <w:tcPr>
            <w:tcW w:w="70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4,169,000</w:t>
            </w:r>
          </w:p>
        </w:tc>
        <w:tc>
          <w:tcPr>
            <w:tcW w:w="290" w:type="dxa"/>
            <w:tcBorders/>
            <w:shd w:fill="FFFFFF" w:val="clear"/>
            <w:vAlign w:val="center"/>
          </w:tcPr>
          <w:p>
            <w:pPr>
              <w:pStyle w:val="TableContents"/>
              <w:bidi w:val="0"/>
              <w:spacing w:before="0" w:after="283"/>
              <w:jc w:val="left"/>
              <w:rPr/>
            </w:pPr>
            <w:r>
              <w:rPr/>
              <w:t> </w:t>
            </w:r>
            <w:bookmarkStart w:id="160" w:name="xdx_404_eus-gaap--IncreaseDecreaseInOper"/>
            <w:bookmarkEnd w:id="160"/>
          </w:p>
        </w:tc>
      </w:tr>
      <w:tr>
        <w:trPr/>
        <w:tc>
          <w:tcPr>
            <w:tcW w:w="707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61" w:name="xdx_406_eus-gaap--IncreaseDecreaseInAcco"/>
            <w:bookmarkEnd w:id="161"/>
          </w:p>
        </w:tc>
      </w:tr>
      <w:tr>
        <w:trPr/>
        <w:tc>
          <w:tcPr>
            <w:tcW w:w="70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39,196,000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8,396,000</w:t>
            </w:r>
          </w:p>
        </w:tc>
        <w:tc>
          <w:tcPr>
            <w:tcW w:w="290" w:type="dxa"/>
            <w:tcBorders/>
            <w:shd w:fill="FFFFFF" w:val="clear"/>
            <w:vAlign w:val="center"/>
          </w:tcPr>
          <w:p>
            <w:pPr>
              <w:pStyle w:val="TableContents"/>
              <w:bidi w:val="0"/>
              <w:spacing w:before="0" w:after="283"/>
              <w:jc w:val="left"/>
              <w:rPr/>
            </w:pPr>
            <w:r>
              <w:rPr/>
              <w:t> </w:t>
            </w:r>
            <w:bookmarkStart w:id="162" w:name="xdx_407_eus-gaap--IncreaseDecreaseInInve"/>
            <w:bookmarkEnd w:id="162"/>
          </w:p>
        </w:tc>
      </w:tr>
      <w:tr>
        <w:trPr/>
        <w:tc>
          <w:tcPr>
            <w:tcW w:w="707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57,000</w:t>
            </w:r>
          </w:p>
        </w:tc>
        <w:tc>
          <w:tcPr>
            <w:tcW w:w="290" w:type="dxa"/>
            <w:tcBorders/>
            <w:shd w:fill="CCEEFF" w:val="clear"/>
            <w:vAlign w:val="center"/>
          </w:tcPr>
          <w:p>
            <w:pPr>
              <w:pStyle w:val="TableContents"/>
              <w:bidi w:val="0"/>
              <w:spacing w:before="0" w:after="283"/>
              <w:jc w:val="left"/>
              <w:rPr/>
            </w:pPr>
            <w:r>
              <w:rPr/>
              <w:t> </w:t>
            </w:r>
            <w:bookmarkStart w:id="163" w:name="xdx_408_eus-gaap--IncreaseDecreaseInPrep"/>
            <w:bookmarkEnd w:id="163"/>
          </w:p>
        </w:tc>
      </w:tr>
      <w:tr>
        <w:trPr/>
        <w:tc>
          <w:tcPr>
            <w:tcW w:w="707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321,000</w:t>
            </w:r>
          </w:p>
        </w:tc>
        <w:tc>
          <w:tcPr>
            <w:tcW w:w="290" w:type="dxa"/>
            <w:tcBorders/>
            <w:shd w:fill="FFFFFF" w:val="clear"/>
            <w:vAlign w:val="center"/>
          </w:tcPr>
          <w:p>
            <w:pPr>
              <w:pStyle w:val="TableContents"/>
              <w:bidi w:val="0"/>
              <w:spacing w:before="0" w:after="283"/>
              <w:jc w:val="left"/>
              <w:rPr/>
            </w:pPr>
            <w:r>
              <w:rPr/>
              <w:t> </w:t>
            </w:r>
            <w:bookmarkStart w:id="164" w:name="xdx_400_eus-gaap--IncreaseDecreaseInAcco"/>
            <w:bookmarkEnd w:id="164"/>
          </w:p>
        </w:tc>
      </w:tr>
      <w:tr>
        <w:trPr/>
        <w:tc>
          <w:tcPr>
            <w:tcW w:w="7070" w:type="dxa"/>
            <w:tcBorders/>
            <w:shd w:fill="CCEEFF" w:val="clear"/>
            <w:vAlign w:val="center"/>
          </w:tcPr>
          <w:p>
            <w:pPr>
              <w:pStyle w:val="TableContents"/>
              <w:bidi w:val="0"/>
              <w:spacing w:before="0" w:after="283"/>
              <w:jc w:val="left"/>
              <w:rPr/>
            </w:pPr>
            <w:r>
              <w:rPr/>
              <w:t>Accounts payable, accrued expenses, 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(11,096,000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(8,939,000</w:t>
            </w:r>
          </w:p>
        </w:tc>
        <w:tc>
          <w:tcPr>
            <w:tcW w:w="290" w:type="dxa"/>
            <w:tcBorders/>
            <w:shd w:fill="CCEEFF" w:val="clear"/>
            <w:vAlign w:val="center"/>
          </w:tcPr>
          <w:p>
            <w:pPr>
              <w:pStyle w:val="TableContents"/>
              <w:bidi w:val="0"/>
              <w:spacing w:before="0" w:after="283"/>
              <w:jc w:val="left"/>
              <w:rPr/>
            </w:pPr>
            <w:r>
              <w:rPr/>
              <w:t>)</w:t>
            </w:r>
            <w:bookmarkStart w:id="165" w:name="xdx_40E_eus-gaap--IncreaseDecreaseInEmpl"/>
            <w:bookmarkEnd w:id="165"/>
          </w:p>
        </w:tc>
      </w:tr>
      <w:tr>
        <w:trPr/>
        <w:tc>
          <w:tcPr>
            <w:tcW w:w="707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(423,000</w:t>
            </w:r>
          </w:p>
        </w:tc>
        <w:tc>
          <w:tcPr>
            <w:tcW w:w="290" w:type="dxa"/>
            <w:tcBorders/>
            <w:shd w:fill="FFFFFF" w:val="clear"/>
            <w:vAlign w:val="center"/>
          </w:tcPr>
          <w:p>
            <w:pPr>
              <w:pStyle w:val="TableContents"/>
              <w:bidi w:val="0"/>
              <w:spacing w:before="0" w:after="283"/>
              <w:jc w:val="left"/>
              <w:rPr/>
            </w:pPr>
            <w:r>
              <w:rPr/>
              <w:t>)</w:t>
            </w:r>
            <w:bookmarkStart w:id="166" w:name="xdx_401_eus-gaap--IncreaseDecreaseInDefe"/>
            <w:bookmarkEnd w:id="166"/>
          </w:p>
        </w:tc>
      </w:tr>
      <w:tr>
        <w:trPr/>
        <w:tc>
          <w:tcPr>
            <w:tcW w:w="707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37,000</w:t>
            </w:r>
          </w:p>
        </w:tc>
        <w:tc>
          <w:tcPr>
            <w:tcW w:w="290" w:type="dxa"/>
            <w:tcBorders/>
            <w:shd w:fill="CCEEFF" w:val="clear"/>
            <w:vAlign w:val="center"/>
          </w:tcPr>
          <w:p>
            <w:pPr>
              <w:pStyle w:val="TableContents"/>
              <w:bidi w:val="0"/>
              <w:spacing w:before="0" w:after="283"/>
              <w:jc w:val="left"/>
              <w:rPr/>
            </w:pPr>
            <w:r>
              <w:rPr/>
              <w:t> </w:t>
            </w:r>
            <w:bookmarkStart w:id="167" w:name="xdx_401_eus-gaap--NetCashProvidedByUsedI"/>
            <w:bookmarkEnd w:id="167"/>
          </w:p>
        </w:tc>
      </w:tr>
      <w:tr>
        <w:trPr/>
        <w:tc>
          <w:tcPr>
            <w:tcW w:w="7070"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19,668,000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(4,628,000</w:t>
            </w:r>
          </w:p>
        </w:tc>
        <w:tc>
          <w:tcPr>
            <w:tcW w:w="290" w:type="dxa"/>
            <w:tcBorders/>
            <w:shd w:fill="FFFFFF" w:val="clear"/>
            <w:vAlign w:val="center"/>
          </w:tcPr>
          <w:p>
            <w:pPr>
              <w:pStyle w:val="TableContents"/>
              <w:bidi w:val="0"/>
              <w:spacing w:before="0" w:after="283"/>
              <w:jc w:val="left"/>
              <w:rPr/>
            </w:pPr>
            <w:r>
              <w:rPr/>
              <w:t>)</w:t>
            </w:r>
            <w:bookmarkStart w:id="168" w:name="xdx_406_eus-gaap--NetCashProvidedByUsedI"/>
            <w:bookmarkEnd w:id="168"/>
          </w:p>
        </w:tc>
      </w:tr>
      <w:tr>
        <w:trPr/>
        <w:tc>
          <w:tcPr>
            <w:tcW w:w="707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69" w:name="xdx_40E_eus-gaap--PaymentsToAcquireIntan"/>
            <w:bookmarkEnd w:id="169"/>
          </w:p>
        </w:tc>
      </w:tr>
      <w:tr>
        <w:trPr/>
        <w:tc>
          <w:tcPr>
            <w:tcW w:w="7070" w:type="dxa"/>
            <w:tcBorders/>
            <w:shd w:fill="FFFFFF" w:val="clear"/>
            <w:vAlign w:val="center"/>
          </w:tcPr>
          <w:p>
            <w:pPr>
              <w:pStyle w:val="TableContents"/>
              <w:bidi w:val="0"/>
              <w:spacing w:before="0" w:after="283"/>
              <w:jc w:val="left"/>
              <w:rPr/>
            </w:pPr>
            <w:r>
              <w:rPr/>
              <w:t>Investment in patent and trademark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(18,000</w:t>
            </w:r>
          </w:p>
        </w:tc>
        <w:tc>
          <w:tcPr>
            <w:tcW w:w="290" w:type="dxa"/>
            <w:tcBorders/>
            <w:shd w:fill="FFFFFF" w:val="clear"/>
            <w:vAlign w:val="center"/>
          </w:tcPr>
          <w:p>
            <w:pPr>
              <w:pStyle w:val="TableContents"/>
              <w:bidi w:val="0"/>
              <w:spacing w:before="0" w:after="283"/>
              <w:jc w:val="left"/>
              <w:rPr/>
            </w:pPr>
            <w:r>
              <w:rPr/>
              <w:t>)</w:t>
            </w:r>
            <w:bookmarkStart w:id="170" w:name="xdx_403_eus-gaap--PaymentsToAcquirePrope"/>
            <w:bookmarkEnd w:id="170"/>
          </w:p>
        </w:tc>
      </w:tr>
      <w:tr>
        <w:trPr/>
        <w:tc>
          <w:tcPr>
            <w:tcW w:w="7070"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(92,000</w:t>
            </w:r>
          </w:p>
        </w:tc>
        <w:tc>
          <w:tcPr>
            <w:tcW w:w="290" w:type="dxa"/>
            <w:tcBorders/>
            <w:shd w:fill="CCEEFF" w:val="clear"/>
            <w:vAlign w:val="center"/>
          </w:tcPr>
          <w:p>
            <w:pPr>
              <w:pStyle w:val="TableContents"/>
              <w:bidi w:val="0"/>
              <w:spacing w:before="0" w:after="283"/>
              <w:jc w:val="left"/>
              <w:rPr/>
            </w:pPr>
            <w:r>
              <w:rPr/>
              <w:t>)</w:t>
            </w:r>
            <w:bookmarkStart w:id="171" w:name="xdx_40A_eus-gaap--NetCashProvidedByUsedI"/>
            <w:bookmarkEnd w:id="171"/>
          </w:p>
        </w:tc>
      </w:tr>
      <w:tr>
        <w:trPr/>
        <w:tc>
          <w:tcPr>
            <w:tcW w:w="707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(110,000</w:t>
            </w:r>
          </w:p>
        </w:tc>
        <w:tc>
          <w:tcPr>
            <w:tcW w:w="290" w:type="dxa"/>
            <w:tcBorders/>
            <w:shd w:fill="FFFFFF" w:val="clear"/>
            <w:vAlign w:val="center"/>
          </w:tcPr>
          <w:p>
            <w:pPr>
              <w:pStyle w:val="TableContents"/>
              <w:bidi w:val="0"/>
              <w:spacing w:before="0" w:after="283"/>
              <w:jc w:val="left"/>
              <w:rPr/>
            </w:pPr>
            <w:r>
              <w:rPr/>
              <w:t>)</w:t>
            </w:r>
            <w:bookmarkStart w:id="172" w:name="xdx_403_eus-gaap--NetCashProvidedByUsedI"/>
            <w:bookmarkEnd w:id="172"/>
          </w:p>
        </w:tc>
      </w:tr>
      <w:tr>
        <w:trPr/>
        <w:tc>
          <w:tcPr>
            <w:tcW w:w="707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73" w:name="xdx_40F_ecustom--PaymentOfPayrollTaxesUp"/>
            <w:bookmarkEnd w:id="173"/>
          </w:p>
        </w:tc>
      </w:tr>
      <w:tr>
        <w:trPr/>
        <w:tc>
          <w:tcPr>
            <w:tcW w:w="7070" w:type="dxa"/>
            <w:tcBorders/>
            <w:shd w:fill="FFFFFF" w:val="clear"/>
            <w:vAlign w:val="center"/>
          </w:tcPr>
          <w:p>
            <w:pPr>
              <w:pStyle w:val="TableContents"/>
              <w:bidi w:val="0"/>
              <w:spacing w:before="0" w:after="283"/>
              <w:jc w:val="left"/>
              <w:rPr/>
            </w:pPr>
            <w:r>
              <w:rPr/>
              <w:t>Payment of payroll taxes upon vesting of PSUs, RSUs and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(1,157,000</w:t>
            </w:r>
          </w:p>
        </w:tc>
        <w:tc>
          <w:tcPr>
            <w:tcW w:w="290" w:type="dxa"/>
            <w:tcBorders/>
            <w:shd w:fill="FFFFFF" w:val="clear"/>
            <w:vAlign w:val="center"/>
          </w:tcPr>
          <w:p>
            <w:pPr>
              <w:pStyle w:val="TableContents"/>
              <w:bidi w:val="0"/>
              <w:spacing w:before="0" w:after="283"/>
              <w:jc w:val="left"/>
              <w:rPr/>
            </w:pPr>
            <w:r>
              <w:rPr/>
              <w:t>)</w:t>
            </w:r>
            <w:bookmarkStart w:id="174" w:name="xdx_40C_eus-gaap--ProceedsFromStockOptio"/>
            <w:bookmarkEnd w:id="174"/>
          </w:p>
        </w:tc>
      </w:tr>
      <w:tr>
        <w:trPr/>
        <w:tc>
          <w:tcPr>
            <w:tcW w:w="707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348,000</w:t>
            </w:r>
          </w:p>
        </w:tc>
        <w:tc>
          <w:tcPr>
            <w:tcW w:w="290" w:type="dxa"/>
            <w:tcBorders/>
            <w:shd w:fill="CCEEFF" w:val="clear"/>
            <w:vAlign w:val="center"/>
          </w:tcPr>
          <w:p>
            <w:pPr>
              <w:pStyle w:val="TableContents"/>
              <w:bidi w:val="0"/>
              <w:spacing w:before="0" w:after="283"/>
              <w:jc w:val="left"/>
              <w:rPr/>
            </w:pPr>
            <w:r>
              <w:rPr/>
              <w:t> </w:t>
            </w:r>
            <w:bookmarkStart w:id="175" w:name="xdx_405_eus-gaap--NetCashProvidedByUsedI"/>
            <w:bookmarkEnd w:id="175"/>
          </w:p>
        </w:tc>
      </w:tr>
      <w:tr>
        <w:trPr/>
        <w:tc>
          <w:tcPr>
            <w:tcW w:w="7070"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(809,000</w:t>
            </w:r>
          </w:p>
        </w:tc>
        <w:tc>
          <w:tcPr>
            <w:tcW w:w="290" w:type="dxa"/>
            <w:tcBorders/>
            <w:shd w:fill="FFFFFF" w:val="clear"/>
            <w:vAlign w:val="center"/>
          </w:tcPr>
          <w:p>
            <w:pPr>
              <w:pStyle w:val="TableContents"/>
              <w:bidi w:val="0"/>
              <w:spacing w:before="0" w:after="283"/>
              <w:jc w:val="left"/>
              <w:rPr/>
            </w:pPr>
            <w:r>
              <w:rPr/>
              <w:t>)</w:t>
            </w:r>
            <w:bookmarkStart w:id="176" w:name="xdx_400_eus-gaap--CashCashEquivalentsRes"/>
            <w:bookmarkEnd w:id="176"/>
          </w:p>
        </w:tc>
      </w:tr>
      <w:tr>
        <w:trPr/>
        <w:tc>
          <w:tcPr>
            <w:tcW w:w="7070"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19,479,000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(5,547,000</w:t>
            </w:r>
          </w:p>
        </w:tc>
        <w:tc>
          <w:tcPr>
            <w:tcW w:w="290" w:type="dxa"/>
            <w:tcBorders/>
            <w:shd w:fill="CCEEFF" w:val="clear"/>
            <w:vAlign w:val="center"/>
          </w:tcPr>
          <w:p>
            <w:pPr>
              <w:pStyle w:val="TableContents"/>
              <w:bidi w:val="0"/>
              <w:spacing w:before="0" w:after="283"/>
              <w:jc w:val="left"/>
              <w:rPr/>
            </w:pPr>
            <w:r>
              <w:rPr/>
              <w:t>)</w:t>
            </w:r>
            <w:bookmarkStart w:id="177" w:name="xdx_40F_eus-gaap--CashCashEquivalentsRes"/>
            <w:bookmarkEnd w:id="177"/>
          </w:p>
        </w:tc>
      </w:tr>
      <w:tr>
        <w:trPr/>
        <w:tc>
          <w:tcPr>
            <w:tcW w:w="707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47,247,000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74,085,000</w:t>
            </w:r>
          </w:p>
        </w:tc>
        <w:tc>
          <w:tcPr>
            <w:tcW w:w="290" w:type="dxa"/>
            <w:tcBorders/>
            <w:shd w:fill="FFFFFF" w:val="clear"/>
            <w:vAlign w:val="center"/>
          </w:tcPr>
          <w:p>
            <w:pPr>
              <w:pStyle w:val="TableContents"/>
              <w:bidi w:val="0"/>
              <w:spacing w:before="0" w:after="283"/>
              <w:jc w:val="left"/>
              <w:rPr/>
            </w:pPr>
            <w:r>
              <w:rPr/>
              <w:t> </w:t>
            </w:r>
            <w:bookmarkStart w:id="178" w:name="xdx_40B_eus-gaap--CashCashEquivalentsRes"/>
            <w:bookmarkEnd w:id="178"/>
          </w:p>
        </w:tc>
      </w:tr>
      <w:tr>
        <w:trPr/>
        <w:tc>
          <w:tcPr>
            <w:tcW w:w="7070" w:type="dxa"/>
            <w:tcBorders/>
            <w:shd w:fill="CCEEFF" w:val="clear"/>
            <w:vAlign w:val="center"/>
          </w:tcPr>
          <w:p>
            <w:pPr>
              <w:pStyle w:val="TableContents"/>
              <w:bidi w:val="0"/>
              <w:spacing w:before="0" w:after="283"/>
              <w:jc w:val="left"/>
              <w:rPr/>
            </w:pPr>
            <w:r>
              <w:rPr/>
              <w:t>CASH,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66,726,000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68,538,000</w:t>
            </w:r>
          </w:p>
        </w:tc>
        <w:tc>
          <w:tcPr>
            <w:tcW w:w="290" w:type="dxa"/>
            <w:tcBorders/>
            <w:shd w:fill="CCEEFF" w:val="clear"/>
            <w:vAlign w:val="center"/>
          </w:tcPr>
          <w:p>
            <w:pPr>
              <w:pStyle w:val="TableContents"/>
              <w:bidi w:val="0"/>
              <w:spacing w:before="0" w:after="283"/>
              <w:jc w:val="left"/>
              <w:rPr/>
            </w:pPr>
            <w:r>
              <w:rPr/>
              <w:t> </w:t>
            </w:r>
            <w:bookmarkStart w:id="179" w:name="xdx_402_eus-gaap--SupplementalCashFlowIn"/>
            <w:bookmarkEnd w:id="179"/>
          </w:p>
        </w:tc>
      </w:tr>
      <w:tr>
        <w:trPr/>
        <w:tc>
          <w:tcPr>
            <w:tcW w:w="7070" w:type="dxa"/>
            <w:tcBorders/>
            <w:shd w:fill="FFFFFF" w:val="clear"/>
            <w:vAlign w:val="center"/>
          </w:tcPr>
          <w:p>
            <w:pPr>
              <w:pStyle w:val="TableContents"/>
              <w:bidi w:val="0"/>
              <w:spacing w:before="0" w:after="283"/>
              <w:jc w:val="left"/>
              <w:rPr/>
            </w:pPr>
            <w:r>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bookmarkStart w:id="180" w:name="xdx_409_eus-gaap--IncomeTaxesPaidNet_i01"/>
            <w:bookmarkEnd w:id="180"/>
          </w:p>
        </w:tc>
      </w:tr>
      <w:tr>
        <w:trPr/>
        <w:tc>
          <w:tcPr>
            <w:tcW w:w="707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bookmarkStart w:id="181" w:name="xdx_401_eus-gaap--InterestPaidNet_i01_zF"/>
            <w:bookmarkEnd w:id="181"/>
          </w:p>
        </w:tc>
      </w:tr>
      <w:tr>
        <w:trPr/>
        <w:tc>
          <w:tcPr>
            <w:tcW w:w="707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6,392,000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5,340,000</w:t>
            </w:r>
          </w:p>
        </w:tc>
        <w:tc>
          <w:tcPr>
            <w:tcW w:w="290" w:type="dxa"/>
            <w:tcBorders/>
            <w:shd w:fill="FFFFFF" w:val="clear"/>
            <w:vAlign w:val="center"/>
          </w:tcPr>
          <w:p>
            <w:pPr>
              <w:pStyle w:val="TableContents"/>
              <w:bidi w:val="0"/>
              <w:spacing w:before="0" w:after="283"/>
              <w:jc w:val="left"/>
              <w:rPr/>
            </w:pPr>
            <w:r>
              <w:rPr/>
              <w:t> </w:t>
            </w:r>
            <w:bookmarkStart w:id="182" w:name="xdx_400_eus-gaap--CashFlowNoncashInvesti"/>
            <w:bookmarkEnd w:id="182"/>
          </w:p>
        </w:tc>
      </w:tr>
      <w:tr>
        <w:trPr/>
        <w:tc>
          <w:tcPr>
            <w:tcW w:w="7070" w:type="dxa"/>
            <w:tcBorders/>
            <w:shd w:fill="CCEEFF" w:val="clear"/>
            <w:vAlign w:val="center"/>
          </w:tcPr>
          <w:p>
            <w:pPr>
              <w:pStyle w:val="TableContents"/>
              <w:bidi w:val="0"/>
              <w:spacing w:before="0" w:after="283"/>
              <w:jc w:val="left"/>
              <w:rPr/>
            </w:pPr>
            <w:r>
              <w:rPr/>
              <w:t>SUPPLEMENTAL DISCLOSURES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bookmarkStart w:id="183" w:name="xdx_40A_eus-gaap--CapitalExpendituresInc"/>
            <w:bookmarkEnd w:id="183"/>
          </w:p>
        </w:tc>
      </w:tr>
      <w:tr>
        <w:trPr/>
        <w:tc>
          <w:tcPr>
            <w:tcW w:w="7070" w:type="dxa"/>
            <w:tcBorders/>
            <w:shd w:fill="FFFFFF" w:val="clear"/>
            <w:vAlign w:val="center"/>
          </w:tcPr>
          <w:p>
            <w:pPr>
              <w:pStyle w:val="TableContents"/>
              <w:bidi w:val="0"/>
              <w:spacing w:before="0" w:after="283"/>
              <w:jc w:val="left"/>
              <w:rPr/>
            </w:pPr>
            <w:r>
              <w:rPr/>
              <w:t>Purchase of property, plant and equipment included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89,000</w:t>
            </w:r>
          </w:p>
        </w:tc>
        <w:tc>
          <w:tcPr>
            <w:tcW w:w="290" w:type="dxa"/>
            <w:tcBorders/>
            <w:shd w:fill="FFFFFF" w:val="clear"/>
            <w:vAlign w:val="center"/>
          </w:tcPr>
          <w:p>
            <w:pPr>
              <w:pStyle w:val="TableContents"/>
              <w:bidi w:val="0"/>
              <w:spacing w:before="0" w:after="283"/>
              <w:jc w:val="left"/>
              <w:rPr/>
            </w:pPr>
            <w:r>
              <w:rPr/>
              <w:t> </w:t>
            </w:r>
            <w:bookmarkStart w:id="184" w:name="xdx_409_ecustom--ChangeInRightofuseAsset"/>
            <w:bookmarkEnd w:id="184"/>
          </w:p>
        </w:tc>
      </w:tr>
      <w:tr>
        <w:trPr/>
        <w:tc>
          <w:tcPr>
            <w:tcW w:w="7070" w:type="dxa"/>
            <w:tcBorders/>
            <w:shd w:fill="CCEEFF" w:val="clear"/>
            <w:vAlign w:val="center"/>
          </w:tcPr>
          <w:p>
            <w:pPr>
              <w:pStyle w:val="TableContents"/>
              <w:bidi w:val="0"/>
              <w:spacing w:before="0" w:after="283"/>
              <w:jc w:val="left"/>
              <w:rPr/>
            </w:pPr>
            <w:r>
              <w:rPr/>
              <w:t>Change in right-of-use assets for operating lease obligations assumptions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377,000</w:t>
            </w:r>
          </w:p>
        </w:tc>
        <w:tc>
          <w:tcPr>
            <w:tcW w:w="290" w:type="dxa"/>
            <w:tcBorders/>
            <w:shd w:fill="CCEEFF" w:val="clear"/>
            <w:vAlign w:val="center"/>
          </w:tcPr>
          <w:p>
            <w:pPr>
              <w:pStyle w:val="TableContents"/>
              <w:bidi w:val="0"/>
              <w:spacing w:before="0" w:after="283"/>
              <w:jc w:val="left"/>
              <w:rPr/>
            </w:pPr>
            <w:r>
              <w:rPr/>
              <w:t> </w:t>
            </w:r>
            <w:bookmarkStart w:id="185" w:name="xdx_406_ecustom--InsurancePremiumFinance"/>
            <w:bookmarkEnd w:id="185"/>
          </w:p>
        </w:tc>
      </w:tr>
      <w:tr>
        <w:trPr/>
        <w:tc>
          <w:tcPr>
            <w:tcW w:w="7070" w:type="dxa"/>
            <w:tcBorders/>
            <w:shd w:fill="FFFFFF" w:val="clear"/>
            <w:vAlign w:val="center"/>
          </w:tcPr>
          <w:p>
            <w:pPr>
              <w:pStyle w:val="TableContents"/>
              <w:bidi w:val="0"/>
              <w:spacing w:before="0" w:after="283"/>
              <w:jc w:val="left"/>
              <w:rPr/>
            </w:pPr>
            <w:r>
              <w:rPr/>
              <w:t>Insurance premium financed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450,000</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 w:name="xdx_806_eus-gaap--BusinessDescriptionAnd"/>
      <w:bookmarkEnd w:id="186"/>
      <w:r>
        <w:rPr>
          <w:rFonts w:ascii="Times New Roman;Times;Serif" w:hAnsi="Times New Roman;Times;Serif"/>
          <w:b/>
          <w:i w:val="false"/>
          <w:caps w:val="false"/>
          <w:smallCaps w:val="false"/>
          <w:sz w:val="20"/>
        </w:rPr>
        <w:t xml:space="preserve">NOTE 1. </w:t>
      </w:r>
      <w:bookmarkStart w:id="187" w:name="xdx_828_zj8GQ7a11bY4"/>
      <w:bookmarkEnd w:id="187"/>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shd w:fill="FFFFFF" w:val="clear"/>
        </w:rPr>
        <w:b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all of which are marketed under its Harrow name. The Company also owns and operates ImprimisRx, one of the nation’s leading ophthalmology-focused pharmaceutical-compounding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2025 are not necessarily indicative of the results that may be expected for the year ending December 31, 2025 or for any other period. For further information, refer to the Company’s audited consolidated financial statements and notes thereto included in the Company’s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and majority-owned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188" w:name="xdx_902_ecustom--ConsolidationBasisDescr"/>
      <w:bookmarkEnd w:id="188"/>
      <w:r>
        <w:rPr>
          <w:rFonts w:ascii="Times New Roman;Times;Serif" w:hAnsi="Times New Roman;Times;Serif"/>
          <w:b w:val="false"/>
          <w:i w:val="false"/>
          <w:caps w:val="false"/>
          <w:smallCaps w:val="false"/>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9" w:name="xdx_808_eus-gaap--SignificantAccountingP"/>
      <w:bookmarkEnd w:id="189"/>
      <w:r>
        <w:rPr>
          <w:rFonts w:ascii="Times New Roman;Times;Serif" w:hAnsi="Times New Roman;Times;Serif"/>
          <w:b/>
          <w:i w:val="false"/>
          <w:caps w:val="false"/>
          <w:smallCaps w:val="false"/>
          <w:sz w:val="20"/>
        </w:rPr>
        <w:t xml:space="preserve">NOTE 2. </w:t>
      </w:r>
      <w:bookmarkStart w:id="190" w:name="xdx_828_zWIiQbrnnkK5"/>
      <w:bookmarkEnd w:id="19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three months ended March 31, 2025 to the significant accounting policies described in the Company’s Annual Report on Form 10-K for the year ended December 31, 2024.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91" w:name="xdx_86D_zLG2W4wyoJy1"/>
      <w:bookmarkStart w:id="192" w:name="xdx_842_ecustom--RisksUncertaintiesAndLi"/>
      <w:bookmarkEnd w:id="191"/>
      <w:bookmarkEnd w:id="192"/>
      <w:r>
        <w:rPr>
          <w:rFonts w:ascii="Times New Roman;Times;Serif" w:hAnsi="Times New Roman;Times;Serif"/>
          <w:b/>
          <w:i w:val="false"/>
          <w:caps w:val="false"/>
          <w:smallCaps w:val="false"/>
          <w:sz w:val="20"/>
        </w:rPr>
        <w:t>Risks, Uncertainties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Oatree Loan (as defined in Note 11) totaling $</w:t>
      </w:r>
      <w:bookmarkStart w:id="193" w:name="xdx_908_eus-gaap--DebtInstrumentFaceAmou"/>
      <w:bookmarkEnd w:id="193"/>
      <w:r>
        <w:rPr>
          <w:rFonts w:ascii="Times New Roman;Times;Serif" w:hAnsi="Times New Roman;Times;Serif"/>
          <w:b w:val="false"/>
          <w:i w:val="false"/>
          <w:caps w:val="false"/>
          <w:smallCaps w:val="false"/>
          <w:sz w:val="20"/>
        </w:rPr>
        <w:t>107,500,000 principal at March 31, 2025 and the 2026 Notes (as defined in Note 11) totaling $</w:t>
      </w:r>
      <w:bookmarkStart w:id="194" w:name="xdx_905_eus-gaap--DebtInstrumentIssuedPr"/>
      <w:bookmarkEnd w:id="194"/>
      <w:r>
        <w:rPr>
          <w:rFonts w:ascii="Times New Roman;Times;Serif" w:hAnsi="Times New Roman;Times;Serif"/>
          <w:b w:val="false"/>
          <w:i w:val="false"/>
          <w:caps w:val="false"/>
          <w:smallCaps w:val="false"/>
          <w:sz w:val="20"/>
        </w:rPr>
        <w:t>75,000,000 in principal amount outstanding at March 31, 2025 become due in January 2026 and April 2026, respectively. The maturity of these debt obligations prior to their maturities without a refinancing event could raise substantial doubt about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discussions with its current senior lender, Oaktree Fund Administration, LLC, as administrative agent for the lenders (together, “Oaktree”), and other potential lenders about refinancing the Oaktree Loan and the 2026 Notes. Management expects to engage in more definitive discussions and negotiations with Oaktree and other potential lenders in the summer and fall of 2025. Management believes it is probable that the Company will be able to refinance the Oaktree Loan and the 2026 Notes based on the Company’s collateral strength and expected cash flows from operations; however, there can be no assurance that the Company will be able to refinance the indebtedness on terms acceptable to it, or at all.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one of the other alternatives available to it in lieu of refinancing the Oaktree Loan and the 2026 Notes is the sale of one or more of the Company’s assets. There can be no assurance that any sale could be completed on a timely basis or on terms acceptable to the Company. If the Company is unable to successfully refinance the Oaktree Loan and the 2026 Notes, or sell certain assets, the Company does not expect to have the ability to repay the Oaktree Loan and the 2026 Notes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prepared on a going concern basis and do not include any adjustments that might result from the Company’s inability to refinance the Oaktree Loan and the 2026 Notes or sell some of its assets to meet its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95" w:name="xdx_847_eus-gaap--CreditLossFinancialIns"/>
      <w:bookmarkEnd w:id="195"/>
      <w:r>
        <w:rPr>
          <w:caps w:val="false"/>
          <w:smallCaps w:val="false"/>
        </w:rPr>
        <w:t> </w:t>
      </w:r>
      <w:bookmarkStart w:id="196" w:name="xdx_867_z8mgUTb576zf"/>
      <w:bookmarkEnd w:id="196"/>
      <w:r>
        <w:rPr>
          <w:rFonts w:ascii="Times New Roman;Times;Serif" w:hAnsi="Times New Roman;Times;Serif"/>
          <w:b/>
          <w:i w:val="false"/>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provision for credit losses for accounts receivable, the Company has disaggregated its accounts receivable by class of customer at the business component level, as management determined that the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7" w:name="xdx_89D_eus-gaap--AccountsReceivableAllo"/>
      <w:bookmarkEnd w:id="197"/>
      <w:r>
        <w:rPr>
          <w:rFonts w:ascii="Times New Roman;Times;Serif" w:hAnsi="Times New Roman;Times;Serif"/>
          <w:b w:val="false"/>
          <w:i w:val="false"/>
          <w:caps w:val="false"/>
          <w:smallCaps w:val="false"/>
          <w:sz w:val="20"/>
        </w:rPr>
        <w:t>The following table provides a roll-forward of the allowance for credit losses that is deducted from the amortized cost basis of accounts receivable to present the net amount expected to be collected at March 31, 2025:</w:t>
      </w:r>
    </w:p>
    <w:p>
      <w:pPr>
        <w:pStyle w:val="TextBody"/>
        <w:bidi w:val="0"/>
        <w:spacing w:before="0" w:after="0"/>
        <w:ind w:left="0" w:right="0" w:hanging="0"/>
        <w:jc w:val="left"/>
        <w:rPr>
          <w:caps w:val="false"/>
          <w:smallCaps w:val="false"/>
        </w:rPr>
      </w:pPr>
      <w:r>
        <w:rPr>
          <w:caps w:val="false"/>
          <w:smallCaps w:val="false"/>
        </w:rPr>
        <w:t>  </w:t>
      </w:r>
      <w:bookmarkStart w:id="198" w:name="xdx_8BB_zAEYYq2xgCq"/>
      <w:bookmarkEnd w:id="198"/>
      <w:r>
        <w:rPr>
          <w:rFonts w:ascii="Times New Roman;Times;Serif" w:hAnsi="Times New Roman;Times;Serif"/>
          <w:b/>
          <w:i w:val="false"/>
          <w:caps w:val="false"/>
          <w:smallCaps w:val="false"/>
          <w:sz w:val="20"/>
        </w:rPr>
        <w:t>SCHEDULE OF ACCOUNTS RECEIVABLE ALLOWANCE OF CREDIT LOSS </w:t>
      </w:r>
    </w:p>
    <w:tbl>
      <w:tblPr>
        <w:tblW w:w="4385" w:type="dxa"/>
        <w:jc w:val="left"/>
        <w:tblInd w:w="0" w:type="dxa"/>
        <w:tblLayout w:type="fixed"/>
        <w:tblCellMar>
          <w:top w:w="0" w:type="dxa"/>
          <w:left w:w="0" w:type="dxa"/>
          <w:bottom w:w="0" w:type="dxa"/>
          <w:right w:w="0" w:type="dxa"/>
        </w:tblCellMar>
      </w:tblPr>
      <w:tblGrid>
        <w:gridCol w:w="3110"/>
        <w:gridCol w:w="60"/>
        <w:gridCol w:w="140"/>
        <w:gridCol w:w="800"/>
        <w:gridCol w:w="275"/>
      </w:tblGrid>
      <w:tr>
        <w:trPr/>
        <w:tc>
          <w:tcPr>
            <w:tcW w:w="311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99" w:name="xdx_980_eus-gaap--AllowanceForDoubtfulAc"/>
            <w:bookmarkEnd w:id="199"/>
          </w:p>
        </w:tc>
        <w:tc>
          <w:tcPr>
            <w:tcW w:w="800" w:type="dxa"/>
            <w:tcBorders/>
            <w:shd w:fill="CCEEFF" w:val="clear"/>
            <w:vAlign w:val="center"/>
          </w:tcPr>
          <w:p>
            <w:pPr>
              <w:pStyle w:val="TableContents"/>
              <w:bidi w:val="0"/>
              <w:spacing w:before="0" w:after="283"/>
              <w:jc w:val="right"/>
              <w:rPr/>
            </w:pPr>
            <w:r>
              <w:rPr/>
              <w:t>416,000</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110" w:type="dxa"/>
            <w:tcBorders/>
            <w:shd w:fill="FFFFFF" w:val="clear"/>
            <w:vAlign w:val="center"/>
          </w:tcPr>
          <w:p>
            <w:pPr>
              <w:pStyle w:val="TableContents"/>
              <w:bidi w:val="0"/>
              <w:spacing w:before="0" w:after="283"/>
              <w:jc w:val="left"/>
              <w:rPr/>
            </w:pPr>
            <w:r>
              <w:rPr/>
              <w:t>Change in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0" w:name="xdx_986_eus-gaap--AllowanceForDoubtfulAc"/>
            <w:bookmarkEnd w:id="200"/>
          </w:p>
        </w:tc>
        <w:tc>
          <w:tcPr>
            <w:tcW w:w="800" w:type="dxa"/>
            <w:tcBorders/>
            <w:shd w:fill="FFFFFF" w:val="clear"/>
            <w:vAlign w:val="center"/>
          </w:tcPr>
          <w:p>
            <w:pPr>
              <w:pStyle w:val="TableContents"/>
              <w:bidi w:val="0"/>
              <w:spacing w:before="0" w:after="283"/>
              <w:jc w:val="right"/>
              <w:rPr/>
            </w:pPr>
            <w:r>
              <w:rPr/>
              <w:t>114,000</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110" w:type="dxa"/>
            <w:tcBorders/>
            <w:shd w:fill="CCEEFF" w:val="clear"/>
            <w:vAlign w:val="center"/>
          </w:tcPr>
          <w:p>
            <w:pPr>
              <w:pStyle w:val="TableContents"/>
              <w:bidi w:val="0"/>
              <w:spacing w:before="0" w:after="283"/>
              <w:jc w:val="left"/>
              <w:rPr/>
            </w:pPr>
            <w:r>
              <w:rPr/>
              <w:t>Write-offs,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1" w:name="xdx_982_eus-gaap--AllowanceForDoubtfulAc"/>
            <w:bookmarkEnd w:id="201"/>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(77,000</w:t>
            </w:r>
          </w:p>
        </w:tc>
        <w:tc>
          <w:tcPr>
            <w:tcW w:w="275"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Balance at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2" w:name="xdx_980_eus-gaap--AllowanceForDoubtfulAc"/>
            <w:bookmarkEnd w:id="20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453,000</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3" w:name="xdx_8A3_zxVvPTT7boJb"/>
      <w:bookmarkEnd w:id="20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4" w:name="xdx_86D_zNBwkqKOkmOf"/>
      <w:bookmarkStart w:id="205" w:name="xdx_848_eus-gaap--FairValueMeasurementPo"/>
      <w:bookmarkEnd w:id="204"/>
      <w:bookmarkEnd w:id="205"/>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sz w:val="20"/>
              </w:rPr>
            </w:pPr>
            <w:r>
              <w:rPr>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sz w:val="20"/>
              </w:rPr>
            </w:pPr>
            <w:r>
              <w:rPr>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sz w:val="20"/>
              </w:rPr>
            </w:pPr>
            <w:r>
              <w:rPr>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2026 Notes (as defined in Note 10) are carried at face value, including the unamortized premium, less unamortized debt issuance costs, the 2027 Notes (as described in Note 10) are carried at face value less unamortized debt issuance costs, and the Oaktree Loan (as defined in Note 10) is carried at face value less the original issue discount and unamortized debt issuance costs on the condensed consolidated balance sheets and the Company presents fair value for disclosure purposes only. The 2026 Notes and the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6" w:name="xdx_891_eus-gaap--ScheduleOfCarryingValu"/>
      <w:bookmarkEnd w:id="206"/>
      <w:r>
        <w:rPr>
          <w:rFonts w:ascii="Times New Roman;Times;Serif" w:hAnsi="Times New Roman;Times;Serif"/>
          <w:b w:val="false"/>
          <w:i w:val="false"/>
          <w:caps w:val="false"/>
          <w:smallCaps w:val="false"/>
          <w:sz w:val="20"/>
        </w:rPr>
        <w:t>The following table presents the estimated fair values and the carrying values: </w:t>
      </w:r>
    </w:p>
    <w:p>
      <w:pPr>
        <w:pStyle w:val="TextBody"/>
        <w:bidi w:val="0"/>
        <w:spacing w:before="0" w:after="0"/>
        <w:ind w:left="0" w:right="0" w:hanging="0"/>
        <w:jc w:val="both"/>
        <w:rPr>
          <w:caps w:val="false"/>
          <w:smallCaps w:val="false"/>
        </w:rPr>
      </w:pPr>
      <w:r>
        <w:rPr>
          <w:caps w:val="false"/>
          <w:smallCaps w:val="false"/>
        </w:rPr>
        <w:t> </w:t>
      </w:r>
      <w:bookmarkStart w:id="207" w:name="xdx_8B9_ztbfztpr5aXb"/>
      <w:bookmarkEnd w:id="207"/>
      <w:r>
        <w:rPr>
          <w:rFonts w:ascii="Times New Roman;Times;Serif" w:hAnsi="Times New Roman;Times;Serif"/>
          <w:b w:val="false"/>
          <w:i w:val="false"/>
          <w:caps w:val="false"/>
          <w:smallCaps w:val="false"/>
          <w:sz w:val="20"/>
        </w:rPr>
        <w:t>SCHEDULE OF ESTIMATED FAIR VALUE</w:t>
      </w:r>
    </w:p>
    <w:tbl>
      <w:tblPr>
        <w:tblW w:w="6513" w:type="dxa"/>
        <w:jc w:val="left"/>
        <w:tblInd w:w="0" w:type="dxa"/>
        <w:tblLayout w:type="fixed"/>
        <w:tblCellMar>
          <w:top w:w="0" w:type="dxa"/>
          <w:left w:w="0" w:type="dxa"/>
          <w:bottom w:w="0" w:type="dxa"/>
          <w:right w:w="0" w:type="dxa"/>
        </w:tblCellMar>
      </w:tblPr>
      <w:tblGrid>
        <w:gridCol w:w="1130"/>
        <w:gridCol w:w="60"/>
        <w:gridCol w:w="127"/>
        <w:gridCol w:w="1137"/>
        <w:gridCol w:w="60"/>
        <w:gridCol w:w="60"/>
        <w:gridCol w:w="125"/>
        <w:gridCol w:w="1055"/>
        <w:gridCol w:w="60"/>
        <w:gridCol w:w="60"/>
        <w:gridCol w:w="134"/>
        <w:gridCol w:w="1130"/>
        <w:gridCol w:w="60"/>
        <w:gridCol w:w="60"/>
        <w:gridCol w:w="125"/>
        <w:gridCol w:w="1055"/>
        <w:gridCol w:w="75"/>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4"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4" w:type="dxa"/>
            <w:gridSpan w:val="6"/>
            <w:tcBorders>
              <w:bottom w:val="single" w:sz="8" w:space="0" w:color="000000"/>
            </w:tcBorders>
            <w:tcMar>
              <w:bottom w:w="28" w:type="dxa"/>
            </w:tcMar>
            <w:vAlign w:val="center"/>
          </w:tcPr>
          <w:p>
            <w:pPr>
              <w:pStyle w:val="TableContents"/>
              <w:bidi w:val="0"/>
              <w:spacing w:before="0" w:after="283"/>
              <w:jc w:val="center"/>
              <w:rPr>
                <w:sz w:val="20"/>
              </w:rPr>
            </w:pPr>
            <w:r>
              <w:rPr>
                <w:sz w:val="20"/>
              </w:rPr>
              <w:t>December 31, 2024</w:t>
            </w:r>
          </w:p>
        </w:tc>
        <w:tc>
          <w:tcPr>
            <w:tcW w:w="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Fair Value</w:t>
            </w:r>
          </w:p>
        </w:tc>
        <w:tc>
          <w:tcPr>
            <w:tcW w:w="75"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20"/>
              </w:rPr>
            </w:pPr>
            <w:r>
              <w:rPr>
                <w:sz w:val="20"/>
              </w:rPr>
              <w:t>2026 Notes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bookmarkStart w:id="208" w:name="xdx_988_eus-gaap--DebtInstrumentCarrying"/>
            <w:bookmarkEnd w:id="208"/>
          </w:p>
        </w:tc>
        <w:tc>
          <w:tcPr>
            <w:tcW w:w="1137" w:type="dxa"/>
            <w:tcBorders/>
            <w:shd w:fill="CCEEFF" w:val="clear"/>
            <w:vAlign w:val="center"/>
          </w:tcPr>
          <w:p>
            <w:pPr>
              <w:pStyle w:val="TableContents"/>
              <w:bidi w:val="0"/>
              <w:spacing w:before="0" w:after="283"/>
              <w:jc w:val="right"/>
              <w:rPr/>
            </w:pPr>
            <w:r>
              <w:rPr/>
              <w:t> </w:t>
            </w:r>
            <w:r>
              <w:rPr>
                <w:sz w:val="20"/>
              </w:rPr>
              <w:t>74,195,000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209" w:name="xdx_985_eus-gaap--DebtInstrumentFairValu"/>
            <w:bookmarkEnd w:id="209"/>
          </w:p>
        </w:tc>
        <w:tc>
          <w:tcPr>
            <w:tcW w:w="1055" w:type="dxa"/>
            <w:tcBorders/>
            <w:shd w:fill="CCEEFF" w:val="clear"/>
            <w:vAlign w:val="center"/>
          </w:tcPr>
          <w:p>
            <w:pPr>
              <w:pStyle w:val="TableContents"/>
              <w:bidi w:val="0"/>
              <w:spacing w:before="0" w:after="283"/>
              <w:jc w:val="right"/>
              <w:rPr>
                <w:sz w:val="20"/>
              </w:rPr>
            </w:pPr>
            <w:r>
              <w:rPr>
                <w:sz w:val="20"/>
              </w:rPr>
              <w:t>76,080,000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bookmarkStart w:id="210" w:name="xdx_98B_eus-gaap--DebtInstrumentCarrying"/>
            <w:bookmarkEnd w:id="210"/>
          </w:p>
        </w:tc>
        <w:tc>
          <w:tcPr>
            <w:tcW w:w="1130" w:type="dxa"/>
            <w:tcBorders/>
            <w:shd w:fill="CCEEFF" w:val="clear"/>
            <w:vAlign w:val="center"/>
          </w:tcPr>
          <w:p>
            <w:pPr>
              <w:pStyle w:val="TableContents"/>
              <w:bidi w:val="0"/>
              <w:spacing w:before="0" w:after="283"/>
              <w:jc w:val="right"/>
              <w:rPr>
                <w:sz w:val="20"/>
              </w:rPr>
            </w:pPr>
            <w:r>
              <w:rPr>
                <w:sz w:val="20"/>
              </w:rPr>
              <w:t>74,002,000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211" w:name="xdx_98F_eus-gaap--DebtInstrumentFairValu"/>
            <w:bookmarkEnd w:id="211"/>
          </w:p>
        </w:tc>
        <w:tc>
          <w:tcPr>
            <w:tcW w:w="1055" w:type="dxa"/>
            <w:tcBorders/>
            <w:shd w:fill="CCEEFF" w:val="clear"/>
            <w:vAlign w:val="center"/>
          </w:tcPr>
          <w:p>
            <w:pPr>
              <w:pStyle w:val="TableContents"/>
              <w:bidi w:val="0"/>
              <w:spacing w:before="0" w:after="283"/>
              <w:jc w:val="right"/>
              <w:rPr>
                <w:sz w:val="20"/>
              </w:rPr>
            </w:pPr>
            <w:r>
              <w:rPr>
                <w:sz w:val="20"/>
              </w:rPr>
              <w:t>75,840,000</w:t>
            </w:r>
          </w:p>
        </w:tc>
        <w:tc>
          <w:tcPr>
            <w:tcW w:w="75"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sz w:val="20"/>
              </w:rPr>
            </w:pPr>
            <w:r>
              <w:rPr>
                <w:sz w:val="20"/>
              </w:rPr>
              <w:t>2027 Notes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sz w:val="20"/>
              </w:rPr>
            </w:pPr>
            <w:r>
              <w:rPr>
                <w:sz w:val="20"/>
              </w:rPr>
              <w:t>$</w:t>
            </w:r>
            <w:bookmarkStart w:id="212" w:name="xdx_986_eus-gaap--DebtInstrumentCarrying"/>
            <w:bookmarkEnd w:id="212"/>
          </w:p>
        </w:tc>
        <w:tc>
          <w:tcPr>
            <w:tcW w:w="1137" w:type="dxa"/>
            <w:tcBorders/>
            <w:shd w:fill="FFFFFF" w:val="clear"/>
            <w:vAlign w:val="center"/>
          </w:tcPr>
          <w:p>
            <w:pPr>
              <w:pStyle w:val="TableContents"/>
              <w:bidi w:val="0"/>
              <w:spacing w:before="0" w:after="283"/>
              <w:jc w:val="right"/>
              <w:rPr/>
            </w:pPr>
            <w:r>
              <w:rPr/>
              <w:t> </w:t>
            </w:r>
            <w:r>
              <w:rPr>
                <w:sz w:val="20"/>
              </w:rPr>
              <w:t>36,306,000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213" w:name="xdx_983_eus-gaap--DebtInstrumentFairValu"/>
            <w:bookmarkEnd w:id="213"/>
          </w:p>
        </w:tc>
        <w:tc>
          <w:tcPr>
            <w:tcW w:w="1055" w:type="dxa"/>
            <w:tcBorders/>
            <w:shd w:fill="FFFFFF" w:val="clear"/>
            <w:vAlign w:val="center"/>
          </w:tcPr>
          <w:p>
            <w:pPr>
              <w:pStyle w:val="TableContents"/>
              <w:bidi w:val="0"/>
              <w:spacing w:before="0" w:after="283"/>
              <w:jc w:val="right"/>
              <w:rPr/>
            </w:pPr>
            <w:r>
              <w:rPr/>
              <w:t> </w:t>
            </w:r>
            <w:r>
              <w:rPr>
                <w:sz w:val="20"/>
              </w:rPr>
              <w:t>43,068,000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bookmarkStart w:id="214" w:name="xdx_98B_eus-gaap--DebtInstrumentCarrying"/>
            <w:bookmarkEnd w:id="214"/>
          </w:p>
        </w:tc>
        <w:tc>
          <w:tcPr>
            <w:tcW w:w="1130" w:type="dxa"/>
            <w:tcBorders/>
            <w:shd w:fill="FFFFFF" w:val="clear"/>
            <w:vAlign w:val="center"/>
          </w:tcPr>
          <w:p>
            <w:pPr>
              <w:pStyle w:val="TableContents"/>
              <w:bidi w:val="0"/>
              <w:spacing w:before="0" w:after="283"/>
              <w:jc w:val="right"/>
              <w:rPr>
                <w:sz w:val="20"/>
              </w:rPr>
            </w:pPr>
            <w:r>
              <w:rPr>
                <w:sz w:val="20"/>
              </w:rPr>
              <w:t>38,130,000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215" w:name="xdx_98B_eus-gaap--DebtInstrumentFairValu"/>
            <w:bookmarkEnd w:id="215"/>
          </w:p>
        </w:tc>
        <w:tc>
          <w:tcPr>
            <w:tcW w:w="1055" w:type="dxa"/>
            <w:tcBorders/>
            <w:shd w:fill="FFFFFF" w:val="clear"/>
            <w:vAlign w:val="center"/>
          </w:tcPr>
          <w:p>
            <w:pPr>
              <w:pStyle w:val="TableContents"/>
              <w:bidi w:val="0"/>
              <w:spacing w:before="0" w:after="283"/>
              <w:jc w:val="right"/>
              <w:rPr>
                <w:sz w:val="20"/>
              </w:rPr>
            </w:pPr>
            <w:r>
              <w:rPr>
                <w:sz w:val="20"/>
              </w:rPr>
              <w:t>42,198 ,000</w:t>
            </w:r>
          </w:p>
        </w:tc>
        <w:tc>
          <w:tcPr>
            <w:tcW w:w="75"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20"/>
              </w:rPr>
            </w:pPr>
            <w:r>
              <w:rPr>
                <w:sz w:val="20"/>
              </w:rPr>
              <w:t>Oaktree Loan</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bookmarkStart w:id="216" w:name="xdx_989_eus-gaap--DebtInstrumentCarrying"/>
            <w:bookmarkEnd w:id="216"/>
          </w:p>
        </w:tc>
        <w:tc>
          <w:tcPr>
            <w:tcW w:w="1137" w:type="dxa"/>
            <w:tcBorders/>
            <w:shd w:fill="CCEEFF" w:val="clear"/>
            <w:vAlign w:val="center"/>
          </w:tcPr>
          <w:p>
            <w:pPr>
              <w:pStyle w:val="TableContents"/>
              <w:bidi w:val="0"/>
              <w:spacing w:before="0" w:after="283"/>
              <w:jc w:val="right"/>
              <w:rPr/>
            </w:pPr>
            <w:r>
              <w:rPr/>
              <w:t> </w:t>
            </w:r>
            <w:r>
              <w:rPr>
                <w:sz w:val="20"/>
              </w:rPr>
              <w:t>108,313,000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217" w:name="xdx_988_eus-gaap--DebtInstrumentFairValu"/>
            <w:bookmarkEnd w:id="217"/>
          </w:p>
        </w:tc>
        <w:tc>
          <w:tcPr>
            <w:tcW w:w="1055" w:type="dxa"/>
            <w:tcBorders/>
            <w:shd w:fill="CCEEFF" w:val="clear"/>
            <w:vAlign w:val="center"/>
          </w:tcPr>
          <w:p>
            <w:pPr>
              <w:pStyle w:val="TableContents"/>
              <w:bidi w:val="0"/>
              <w:spacing w:before="0" w:after="283"/>
              <w:jc w:val="right"/>
              <w:rPr>
                <w:sz w:val="20"/>
              </w:rPr>
            </w:pPr>
            <w:r>
              <w:rPr>
                <w:sz w:val="20"/>
              </w:rPr>
              <w:t>113,210,000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bookmarkStart w:id="218" w:name="xdx_98A_eus-gaap--DebtInstrumentCarrying"/>
            <w:bookmarkEnd w:id="218"/>
          </w:p>
        </w:tc>
        <w:tc>
          <w:tcPr>
            <w:tcW w:w="1130" w:type="dxa"/>
            <w:tcBorders/>
            <w:shd w:fill="CCEEFF" w:val="clear"/>
            <w:vAlign w:val="center"/>
          </w:tcPr>
          <w:p>
            <w:pPr>
              <w:pStyle w:val="TableContents"/>
              <w:bidi w:val="0"/>
              <w:spacing w:before="0" w:after="283"/>
              <w:jc w:val="right"/>
              <w:rPr>
                <w:sz w:val="20"/>
              </w:rPr>
            </w:pPr>
            <w:r>
              <w:rPr>
                <w:sz w:val="20"/>
              </w:rPr>
              <w:t>107,407,000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219" w:name="xdx_98B_eus-gaap--DebtInstrumentFairValu"/>
            <w:bookmarkEnd w:id="219"/>
          </w:p>
        </w:tc>
        <w:tc>
          <w:tcPr>
            <w:tcW w:w="1055" w:type="dxa"/>
            <w:tcBorders/>
            <w:shd w:fill="CCEEFF" w:val="clear"/>
            <w:vAlign w:val="center"/>
          </w:tcPr>
          <w:p>
            <w:pPr>
              <w:pStyle w:val="TableContents"/>
              <w:bidi w:val="0"/>
              <w:spacing w:before="0" w:after="283"/>
              <w:jc w:val="right"/>
              <w:rPr>
                <w:sz w:val="20"/>
              </w:rPr>
            </w:pPr>
            <w:r>
              <w:rPr>
                <w:sz w:val="20"/>
              </w:rPr>
              <w:t>112,932,000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0" w:name="xdx_8A8_zZf9FQwglOc"/>
      <w:bookmarkEnd w:id="2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1" w:name="xdx_862_zXNOJFcxEDOd"/>
      <w:bookmarkStart w:id="222" w:name="xdx_846_eus-gaap--EarningsPerSharePolicy"/>
      <w:bookmarkEnd w:id="221"/>
      <w:bookmarkEnd w:id="222"/>
      <w:r>
        <w:rPr>
          <w:rFonts w:ascii="Times New Roman;Times;Serif" w:hAnsi="Times New Roman;Times;Serif"/>
          <w:b/>
          <w:i w:val="false"/>
          <w:caps w:val="false"/>
          <w:smallCaps w:val="false"/>
          <w:sz w:val="20"/>
        </w:rPr>
        <w:t>Basic and Diluted Net Loss per Common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method) from stock options, unvested RSUs, unvested PSUs and warrants were </w:t>
      </w:r>
      <w:bookmarkStart w:id="223" w:name="xdx_901_eus-gaap--AntidilutiveSecurities"/>
      <w:bookmarkEnd w:id="223"/>
      <w:r>
        <w:rPr>
          <w:rFonts w:ascii="Times New Roman;Times;Serif" w:hAnsi="Times New Roman;Times;Serif"/>
          <w:b w:val="false"/>
          <w:i w:val="false"/>
          <w:caps w:val="false"/>
          <w:smallCaps w:val="false"/>
          <w:sz w:val="20"/>
        </w:rPr>
        <w:t xml:space="preserve">4,367,766 and </w:t>
      </w:r>
      <w:bookmarkStart w:id="224" w:name="xdx_90F_eus-gaap--AntidilutiveSecurities"/>
      <w:bookmarkEnd w:id="224"/>
      <w:r>
        <w:rPr>
          <w:rFonts w:ascii="Times New Roman;Times;Serif" w:hAnsi="Times New Roman;Times;Serif"/>
          <w:b w:val="false"/>
          <w:i w:val="false"/>
          <w:caps w:val="false"/>
          <w:smallCaps w:val="false"/>
          <w:sz w:val="20"/>
        </w:rPr>
        <w:t xml:space="preserve">4,318,057 at March 31, 2025 and 2024,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March 31, 2025 and 2024 was </w:t>
      </w:r>
      <w:bookmarkStart w:id="225" w:name="xdx_906_eus-gaap--StockIssuedDuringPerio"/>
      <w:bookmarkEnd w:id="225"/>
      <w:r>
        <w:rPr>
          <w:rFonts w:ascii="Times New Roman;Times;Serif" w:hAnsi="Times New Roman;Times;Serif"/>
          <w:b w:val="false"/>
          <w:i w:val="false"/>
          <w:caps w:val="false"/>
          <w:smallCaps w:val="false"/>
          <w:sz w:val="20"/>
        </w:rPr>
        <w:t xml:space="preserve">199,216 and </w:t>
      </w:r>
      <w:bookmarkStart w:id="226" w:name="xdx_90E_eus-gaap--StockIssuedDuringPerio"/>
      <w:bookmarkEnd w:id="226"/>
      <w:r>
        <w:rPr>
          <w:rFonts w:ascii="Times New Roman;Times;Serif" w:hAnsi="Times New Roman;Times;Serif"/>
          <w:b w:val="false"/>
          <w:i w:val="false"/>
          <w:caps w:val="false"/>
          <w:smallCaps w:val="false"/>
          <w:sz w:val="20"/>
        </w:rPr>
        <w:t>223,928,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7" w:name="xdx_893_eus-gaap--ScheduleOfEarningsPerS"/>
      <w:bookmarkEnd w:id="227"/>
      <w:r>
        <w:rPr>
          <w:rFonts w:ascii="Times New Roman;Times;Serif" w:hAnsi="Times New Roman;Times;Serif"/>
          <w:b w:val="false"/>
          <w:i w:val="false"/>
          <w:caps w:val="false"/>
          <w:smallCaps w:val="false"/>
          <w:sz w:val="20"/>
        </w:rPr>
        <w:t>The following table shows the computation of basic net loss per share of common stock for the three months ended March 31, 2025 and 2024:</w:t>
      </w:r>
    </w:p>
    <w:p>
      <w:pPr>
        <w:pStyle w:val="TextBody"/>
        <w:bidi w:val="0"/>
        <w:spacing w:before="0" w:after="0"/>
        <w:ind w:left="0" w:right="0" w:hanging="0"/>
        <w:jc w:val="both"/>
        <w:rPr>
          <w:caps w:val="false"/>
          <w:smallCaps w:val="false"/>
        </w:rPr>
      </w:pPr>
      <w:r>
        <w:rPr>
          <w:caps w:val="false"/>
          <w:smallCaps w:val="false"/>
        </w:rPr>
        <w:t> </w:t>
      </w:r>
      <w:bookmarkStart w:id="228" w:name="xdx_8BA_zrKNVSGTLAdk"/>
      <w:bookmarkEnd w:id="228"/>
      <w:r>
        <w:rPr>
          <w:rFonts w:ascii="Times New Roman;Times;Serif" w:hAnsi="Times New Roman;Times;Serif"/>
          <w:b w:val="false"/>
          <w:i w:val="false"/>
          <w:caps w:val="false"/>
          <w:smallCaps w:val="false"/>
          <w:sz w:val="20"/>
        </w:rPr>
        <w:t>SCHEDULE OF BASIC AND DILUTED EARNINGS PER COMMON SHARE</w:t>
      </w:r>
    </w:p>
    <w:tbl>
      <w:tblPr>
        <w:tblW w:w="10205" w:type="dxa"/>
        <w:jc w:val="left"/>
        <w:tblInd w:w="0" w:type="dxa"/>
        <w:tblLayout w:type="fixed"/>
        <w:tblCellMar>
          <w:top w:w="0" w:type="dxa"/>
          <w:left w:w="0" w:type="dxa"/>
          <w:bottom w:w="0" w:type="dxa"/>
          <w:right w:w="0" w:type="dxa"/>
        </w:tblCellMar>
      </w:tblPr>
      <w:tblGrid>
        <w:gridCol w:w="6439"/>
        <w:gridCol w:w="60"/>
        <w:gridCol w:w="180"/>
        <w:gridCol w:w="1517"/>
        <w:gridCol w:w="122"/>
        <w:gridCol w:w="76"/>
        <w:gridCol w:w="180"/>
        <w:gridCol w:w="1517"/>
        <w:gridCol w:w="114"/>
      </w:tblGrid>
      <w:tr>
        <w:trPr/>
        <w:tc>
          <w:tcPr>
            <w:tcW w:w="64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29" w:name="xdx_49F_20250101__20250331_zCLsnkr77Irg"/>
            <w:bookmarkEnd w:id="229"/>
          </w:p>
        </w:tc>
        <w:tc>
          <w:tcPr>
            <w:tcW w:w="1697"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center"/>
              <w:rPr/>
            </w:pPr>
            <w:r>
              <w:rPr/>
              <w:t> </w:t>
            </w:r>
            <w:bookmarkStart w:id="230" w:name="xdx_490_20240101__20240331_za4CO0ZxdkPi"/>
            <w:bookmarkEnd w:id="230"/>
          </w:p>
        </w:tc>
        <w:tc>
          <w:tcPr>
            <w:tcW w:w="1697"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r>
      <w:tr>
        <w:trPr/>
        <w:tc>
          <w:tcPr>
            <w:tcW w:w="6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2" w:type="dxa"/>
            <w:gridSpan w:val="6"/>
            <w:tcBorders>
              <w:bottom w:val="single" w:sz="8" w:space="0" w:color="000000"/>
            </w:tcBorders>
            <w:tcMar>
              <w:bottom w:w="28" w:type="dxa"/>
            </w:tcMar>
            <w:vAlign w:val="center"/>
          </w:tcPr>
          <w:p>
            <w:pPr>
              <w:pStyle w:val="TableContents"/>
              <w:bidi w:val="0"/>
              <w:spacing w:before="0" w:after="283"/>
              <w:jc w:val="center"/>
              <w:rPr/>
            </w:pPr>
            <w:r>
              <w:rPr/>
              <w:t>For the Three Months Ended March 31,</w:t>
            </w:r>
          </w:p>
        </w:tc>
        <w:tc>
          <w:tcPr>
            <w:tcW w:w="114" w:type="dxa"/>
            <w:tcBorders/>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4" w:type="dxa"/>
            <w:tcBorders/>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bookmarkStart w:id="231" w:name="xdx_404_eus-gaap--NetIncomeLossAvailable"/>
            <w:bookmarkEnd w:id="231"/>
          </w:p>
        </w:tc>
      </w:tr>
      <w:tr>
        <w:trPr/>
        <w:tc>
          <w:tcPr>
            <w:tcW w:w="6439" w:type="dxa"/>
            <w:tcBorders/>
            <w:shd w:fill="CCEEFF" w:val="clear"/>
            <w:vAlign w:val="center"/>
          </w:tcPr>
          <w:p>
            <w:pPr>
              <w:pStyle w:val="TableContents"/>
              <w:bidi w:val="0"/>
              <w:spacing w:before="0" w:after="283"/>
              <w:jc w:val="left"/>
              <w:rPr/>
            </w:pPr>
            <w:r>
              <w:rPr/>
              <w:t>Numerator – net loss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pPr>
            <w:r>
              <w:rPr/>
              <w:t>(17,780,000</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pPr>
            <w:r>
              <w:rPr/>
              <w:t>(13,565,000</w:t>
            </w:r>
          </w:p>
        </w:tc>
        <w:tc>
          <w:tcPr>
            <w:tcW w:w="114" w:type="dxa"/>
            <w:tcBorders/>
            <w:shd w:fill="CCEEFF" w:val="clear"/>
            <w:vAlign w:val="center"/>
          </w:tcPr>
          <w:p>
            <w:pPr>
              <w:pStyle w:val="TableContents"/>
              <w:bidi w:val="0"/>
              <w:spacing w:before="0" w:after="283"/>
              <w:jc w:val="left"/>
              <w:rPr/>
            </w:pPr>
            <w:r>
              <w:rPr/>
              <w:t>)</w:t>
            </w:r>
          </w:p>
        </w:tc>
      </w:tr>
      <w:tr>
        <w:trPr/>
        <w:tc>
          <w:tcPr>
            <w:tcW w:w="6439" w:type="dxa"/>
            <w:tcBorders/>
            <w:shd w:fill="FFFFFF" w:val="clear"/>
            <w:vAlign w:val="center"/>
          </w:tcPr>
          <w:p>
            <w:pPr>
              <w:pStyle w:val="TableContents"/>
              <w:bidi w:val="0"/>
              <w:spacing w:before="0" w:after="283"/>
              <w:jc w:val="left"/>
              <w:rPr/>
            </w:pPr>
            <w:r>
              <w:rPr/>
              <w:t>Denominator – weighted average number of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32" w:name="xdx_903_eus-gaap--WeightedAverageNumberO"/>
            <w:bookmarkStart w:id="233" w:name="xdx_907_eus-gaap--WeightedAverageNumberO"/>
            <w:bookmarkEnd w:id="232"/>
            <w:bookmarkEnd w:id="233"/>
            <w:r>
              <w:rPr/>
              <w:t>35,826,452</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34" w:name="xdx_909_eus-gaap--WeightedAverageNumberO"/>
            <w:bookmarkStart w:id="235" w:name="xdx_90E_eus-gaap--WeightedAverageNumberO"/>
            <w:bookmarkEnd w:id="234"/>
            <w:bookmarkEnd w:id="235"/>
            <w:r>
              <w:rPr/>
              <w:t>35,469,638</w:t>
            </w:r>
          </w:p>
        </w:tc>
        <w:tc>
          <w:tcPr>
            <w:tcW w:w="114" w:type="dxa"/>
            <w:tcBorders/>
            <w:shd w:fill="FFFFFF" w:val="clear"/>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b/>
              </w:rPr>
            </w:pPr>
            <w:r>
              <w:rPr>
                <w:b/>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36" w:name="xdx_909_eus-gaap--EarningsPerShareDilute"/>
            <w:bookmarkStart w:id="237" w:name="xdx_903_eus-gaap--EarningsPerShareBasic_"/>
            <w:bookmarkEnd w:id="236"/>
            <w:bookmarkEnd w:id="237"/>
            <w:r>
              <w:rPr/>
              <w:t>(0.50</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38" w:name="xdx_902_eus-gaap--EarningsPerShareDilute"/>
            <w:bookmarkStart w:id="239" w:name="xdx_902_eus-gaap--EarningsPerShareBasic_"/>
            <w:bookmarkEnd w:id="238"/>
            <w:bookmarkEnd w:id="239"/>
            <w:r>
              <w:rPr/>
              <w:t>(0.38</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240" w:name="xdx_8A9_z2l8bL4ntxA8"/>
      <w:bookmarkEnd w:id="24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1" w:name="xdx_864_zO50wnL0RdWi"/>
      <w:bookmarkStart w:id="242" w:name="xdx_84A_eus-gaap--IncomeTaxPolicyTextBlo"/>
      <w:bookmarkEnd w:id="241"/>
      <w:bookmarkEnd w:id="242"/>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243" w:name="xdx_90E_eus-gaap--EffectiveIncomeTaxRate"/>
      <w:bookmarkEnd w:id="243"/>
      <w:r>
        <w:rPr>
          <w:rFonts w:ascii="Times New Roman;Times;Serif" w:hAnsi="Times New Roman;Times;Serif"/>
          <w:b w:val="false"/>
          <w:i w:val="false"/>
          <w:caps w:val="false"/>
          <w:smallCaps w:val="false"/>
          <w:sz w:val="20"/>
        </w:rPr>
        <w:t xml:space="preserve">(0)% and </w:t>
      </w:r>
      <w:bookmarkStart w:id="244" w:name="xdx_90A_eus-gaap--EffectiveIncomeTaxRate"/>
      <w:bookmarkEnd w:id="244"/>
      <w:r>
        <w:rPr>
          <w:rFonts w:ascii="Times New Roman;Times;Serif" w:hAnsi="Times New Roman;Times;Serif"/>
          <w:b w:val="false"/>
          <w:i w:val="false"/>
          <w:caps w:val="false"/>
          <w:smallCaps w:val="false"/>
          <w:sz w:val="20"/>
        </w:rPr>
        <w:t xml:space="preserve">(0.11)% for the three months ended March 31, 2025 and 2024, respectively. The Company’s effective tax rate for the three months ended March 31, 2025 and 2024 differs from the U.S. federal statutory tax rate of </w:t>
      </w:r>
      <w:bookmarkStart w:id="245" w:name="xdx_909_eus-gaap--EffectiveIncomeTaxRate"/>
      <w:bookmarkStart w:id="246" w:name="xdx_907_eus-gaap--EffectiveIncomeTaxRate"/>
      <w:bookmarkEnd w:id="245"/>
      <w:bookmarkEnd w:id="246"/>
      <w:r>
        <w:rPr>
          <w:rFonts w:ascii="Times New Roman;Times;Serif" w:hAnsi="Times New Roman;Times;Serif"/>
          <w:b w:val="false"/>
          <w:i w:val="false"/>
          <w:caps w:val="false"/>
          <w:smallCaps w:val="false"/>
          <w:sz w:val="20"/>
        </w:rPr>
        <w:t>21% due to state taxes, permanent book-tax differences related to Internal Revenue Code of 1986, as amended (“IRC”), Section 162(m) excess officer compensation limitation and share-based compensation and the change in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there were $</w:t>
      </w:r>
      <w:bookmarkStart w:id="247" w:name="xdx_900_eus-gaap--UnrecognizedTaxBenefit"/>
      <w:bookmarkEnd w:id="247"/>
      <w:r>
        <w:rPr>
          <w:rFonts w:ascii="Times New Roman;Times;Serif" w:hAnsi="Times New Roman;Times;Serif"/>
          <w:b w:val="false"/>
          <w:i w:val="false"/>
          <w:caps w:val="false"/>
          <w:smallCaps w:val="false"/>
          <w:sz w:val="20"/>
        </w:rPr>
        <w:t>2,860,000 and $</w:t>
      </w:r>
      <w:bookmarkStart w:id="248" w:name="xdx_901_eus-gaap--UnrecognizedTaxBenefit"/>
      <w:bookmarkEnd w:id="248"/>
      <w:r>
        <w:rPr>
          <w:rFonts w:ascii="Times New Roman;Times;Serif" w:hAnsi="Times New Roman;Times;Serif"/>
          <w:b w:val="false"/>
          <w:i w:val="false"/>
          <w:caps w:val="false"/>
          <w:smallCaps w:val="false"/>
          <w:sz w:val="20"/>
        </w:rPr>
        <w:t>2,858,000, respectively, of unrecognized tax benefits included in the condensed consolidated balance sheets that would, if recognized, affect the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9" w:name="xdx_862_zeroRTIJAFN9"/>
      <w:bookmarkStart w:id="250" w:name="xdx_84B_eus-gaap--NewAccountingPronounce"/>
      <w:bookmarkEnd w:id="249"/>
      <w:bookmarkEnd w:id="250"/>
      <w:r>
        <w:rPr>
          <w:rFonts w:ascii="Times New Roman;Times;Serif" w:hAnsi="Times New Roman;Times;Serif"/>
          <w:b/>
          <w:i w:val="false"/>
          <w:caps w:val="false"/>
          <w:smallCaps w:val="false"/>
          <w:sz w:val="20"/>
        </w:rPr>
        <w:t>Accounting Guidance Issued but Not Adopted at March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FASB issued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year 2025 on a prospective basis. Early adoption and retrospective reporting are permitted. The Company is currently evaluating the impact of ASU 2023-09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The Company is currently evaluating the impact of ASU 2024-03 on its consolidated financial statements.</w:t>
      </w:r>
    </w:p>
    <w:p>
      <w:pPr>
        <w:pStyle w:val="TextBody"/>
        <w:shd w:fill="FFFFFF" w:val="clear"/>
        <w:bidi w:val="0"/>
        <w:spacing w:before="0" w:after="0"/>
        <w:ind w:left="0" w:right="0" w:hanging="0"/>
        <w:jc w:val="both"/>
        <w:rPr>
          <w:caps w:val="false"/>
          <w:smallCaps w:val="false"/>
        </w:rPr>
      </w:pPr>
      <w:bookmarkStart w:id="251" w:name="xdx_85C_zpqI12w7xDdf"/>
      <w:bookmarkEnd w:id="25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2" w:name="xdx_804_eus-gaap--RevenueFromContractWit"/>
      <w:bookmarkEnd w:id="252"/>
      <w:r>
        <w:rPr>
          <w:rFonts w:ascii="Times New Roman;Times;Serif" w:hAnsi="Times New Roman;Times;Serif"/>
          <w:b/>
          <w:i w:val="false"/>
          <w:caps w:val="false"/>
          <w:smallCaps w:val="false"/>
          <w:sz w:val="20"/>
        </w:rPr>
        <w:t xml:space="preserve">NOTE 3. </w:t>
      </w:r>
      <w:bookmarkStart w:id="253" w:name="xdx_82B_zoMIMq8iZMXh"/>
      <w:bookmarkEnd w:id="253"/>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contracts with customers in accordance with ASC 606, </w:t>
      </w:r>
      <w:r>
        <w:rPr>
          <w:rFonts w:ascii="Times New Roman;Times;Serif" w:hAnsi="Times New Roman;Times;Serif"/>
          <w:b w:val="false"/>
          <w:i/>
          <w:caps w:val="false"/>
          <w:smallCaps w:val="false"/>
          <w:sz w:val="20"/>
        </w:rPr>
        <w:t>Revenues from Contracts with Customers</w:t>
      </w:r>
      <w:r>
        <w:rPr>
          <w:rFonts w:ascii="Times New Roman;Times;Serif" w:hAnsi="Times New Roman;Times;Serif"/>
          <w:b w:val="false"/>
          <w:i w:val="false"/>
          <w:caps w:val="false"/>
          <w:smallCaps w:val="false"/>
          <w:sz w:val="20"/>
        </w:rPr>
        <w:t>. The Company has two primary streams of revenue: (1) product revenues, including revenue recognized from sales of products through its pharmacy and outsourcing facility and sales of branded products to wholesalers through a third-party logistics (“3PL”) partner, and (2) revenue recognized from intellectual property licenses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sz w:val="20"/>
              </w:rPr>
            </w:pPr>
            <w:r>
              <w:rPr>
                <w:sz w:val="20"/>
              </w:rPr>
              <w:t>1.</w:t>
            </w:r>
          </w:p>
        </w:tc>
        <w:tc>
          <w:tcPr>
            <w:tcW w:w="10052" w:type="dxa"/>
            <w:tcBorders/>
            <w:vAlign w:val="center"/>
          </w:tcPr>
          <w:p>
            <w:pPr>
              <w:pStyle w:val="TableContents"/>
              <w:bidi w:val="0"/>
              <w:spacing w:before="0" w:after="283"/>
              <w:jc w:val="both"/>
              <w:rPr>
                <w:sz w:val="20"/>
              </w:rPr>
            </w:pPr>
            <w:r>
              <w:rPr>
                <w:i/>
                <w:sz w:val="20"/>
              </w:rPr>
              <w:t>Identify the contract(s) with a customer:</w:t>
            </w:r>
            <w:r>
              <w:rPr>
                <w:sz w:val="20"/>
              </w:rPr>
              <w:t>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sz w:val="20"/>
              </w:rPr>
            </w:pPr>
            <w:r>
              <w:rPr>
                <w:sz w:val="20"/>
              </w:rPr>
              <w:t>2.</w:t>
            </w:r>
          </w:p>
        </w:tc>
        <w:tc>
          <w:tcPr>
            <w:tcW w:w="10059" w:type="dxa"/>
            <w:tcBorders/>
            <w:vAlign w:val="center"/>
          </w:tcPr>
          <w:p>
            <w:pPr>
              <w:pStyle w:val="TableContents"/>
              <w:bidi w:val="0"/>
              <w:spacing w:before="0" w:after="283"/>
              <w:jc w:val="both"/>
              <w:rPr>
                <w:sz w:val="20"/>
              </w:rPr>
            </w:pPr>
            <w:r>
              <w:rPr>
                <w:i/>
                <w:sz w:val="20"/>
              </w:rPr>
              <w:t>Identify the performance obligations in the contract:</w:t>
            </w:r>
            <w:r>
              <w:rPr>
                <w:sz w:val="20"/>
              </w:rPr>
              <w:t>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r>
        <w:trPr/>
        <w:tc>
          <w:tcPr>
            <w:tcW w:w="146" w:type="dxa"/>
            <w:tcBorders/>
            <w:vAlign w:val="center"/>
          </w:tcPr>
          <w:p>
            <w:pPr>
              <w:pStyle w:val="TableContents"/>
              <w:bidi w:val="0"/>
              <w:spacing w:before="0" w:after="283"/>
              <w:jc w:val="both"/>
              <w:rPr/>
            </w:pPr>
            <w:r>
              <w:rPr/>
              <w:t> </w:t>
            </w:r>
          </w:p>
        </w:tc>
        <w:tc>
          <w:tcPr>
            <w:tcW w:w="10059" w:type="dxa"/>
            <w:tcBorders/>
            <w:vAlign w:val="center"/>
          </w:tcPr>
          <w:p>
            <w:pPr>
              <w:pStyle w:val="TableContents"/>
              <w:bidi w:val="0"/>
              <w:spacing w:before="0" w:after="283"/>
              <w:jc w:val="left"/>
              <w:rPr/>
            </w:pPr>
            <w:r>
              <w:rPr/>
              <w:t> </w:t>
            </w:r>
          </w:p>
        </w:tc>
      </w:tr>
      <w:tr>
        <w:trPr/>
        <w:tc>
          <w:tcPr>
            <w:tcW w:w="146" w:type="dxa"/>
            <w:tcBorders/>
            <w:vAlign w:val="center"/>
          </w:tcPr>
          <w:p>
            <w:pPr>
              <w:pStyle w:val="TableContents"/>
              <w:bidi w:val="0"/>
              <w:spacing w:before="0" w:after="283"/>
              <w:jc w:val="both"/>
              <w:rPr>
                <w:sz w:val="20"/>
              </w:rPr>
            </w:pPr>
            <w:r>
              <w:rPr>
                <w:sz w:val="20"/>
              </w:rPr>
              <w:t>3.</w:t>
            </w:r>
          </w:p>
        </w:tc>
        <w:tc>
          <w:tcPr>
            <w:tcW w:w="10059" w:type="dxa"/>
            <w:tcBorders/>
            <w:vAlign w:val="center"/>
          </w:tcPr>
          <w:p>
            <w:pPr>
              <w:pStyle w:val="TableContents"/>
              <w:bidi w:val="0"/>
              <w:spacing w:before="0" w:after="283"/>
              <w:jc w:val="both"/>
              <w:rPr>
                <w:sz w:val="20"/>
              </w:rPr>
            </w:pPr>
            <w:r>
              <w:rPr>
                <w:i/>
                <w:sz w:val="20"/>
              </w:rPr>
              <w:t>Determine the transaction price:</w:t>
            </w:r>
            <w:r>
              <w:rPr>
                <w:sz w:val="20"/>
              </w:rPr>
              <w:t> The transaction price is based on an amount that reflects the consideration to which the Company expects to be 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6" w:type="dxa"/>
            <w:tcBorders/>
            <w:vAlign w:val="center"/>
          </w:tcPr>
          <w:p>
            <w:pPr>
              <w:pStyle w:val="TableContents"/>
              <w:bidi w:val="0"/>
              <w:spacing w:before="0" w:after="283"/>
              <w:jc w:val="both"/>
              <w:rPr/>
            </w:pPr>
            <w:r>
              <w:rPr/>
              <w:t> </w:t>
            </w:r>
          </w:p>
        </w:tc>
        <w:tc>
          <w:tcPr>
            <w:tcW w:w="10059" w:type="dxa"/>
            <w:tcBorders/>
            <w:vAlign w:val="center"/>
          </w:tcPr>
          <w:p>
            <w:pPr>
              <w:pStyle w:val="TableContents"/>
              <w:bidi w:val="0"/>
              <w:spacing w:before="0" w:after="283"/>
              <w:jc w:val="left"/>
              <w:rPr/>
            </w:pPr>
            <w:r>
              <w:rPr/>
              <w:t> </w:t>
            </w:r>
          </w:p>
        </w:tc>
      </w:tr>
      <w:tr>
        <w:trPr/>
        <w:tc>
          <w:tcPr>
            <w:tcW w:w="146" w:type="dxa"/>
            <w:tcBorders/>
            <w:vAlign w:val="center"/>
          </w:tcPr>
          <w:p>
            <w:pPr>
              <w:pStyle w:val="TableContents"/>
              <w:bidi w:val="0"/>
              <w:spacing w:before="0" w:after="283"/>
              <w:jc w:val="both"/>
              <w:rPr>
                <w:sz w:val="20"/>
              </w:rPr>
            </w:pPr>
            <w:r>
              <w:rPr>
                <w:sz w:val="20"/>
              </w:rPr>
              <w:t>4.</w:t>
            </w:r>
          </w:p>
        </w:tc>
        <w:tc>
          <w:tcPr>
            <w:tcW w:w="10059" w:type="dxa"/>
            <w:tcBorders/>
            <w:vAlign w:val="center"/>
          </w:tcPr>
          <w:p>
            <w:pPr>
              <w:pStyle w:val="TableContents"/>
              <w:bidi w:val="0"/>
              <w:spacing w:before="0" w:after="283"/>
              <w:jc w:val="both"/>
              <w:rPr>
                <w:sz w:val="20"/>
              </w:rPr>
            </w:pPr>
            <w:r>
              <w:rPr>
                <w:i/>
                <w:sz w:val="20"/>
              </w:rPr>
              <w:t>Allocate the transaction price to the performance obligations in the contract:</w:t>
            </w:r>
            <w:r>
              <w:rPr>
                <w:sz w:val="20"/>
              </w:rPr>
              <w:t> Because there is only one performance obligation for product sales, no allocation is necessary.</w:t>
            </w:r>
          </w:p>
        </w:tc>
      </w:tr>
      <w:tr>
        <w:trPr/>
        <w:tc>
          <w:tcPr>
            <w:tcW w:w="146" w:type="dxa"/>
            <w:tcBorders/>
            <w:vAlign w:val="center"/>
          </w:tcPr>
          <w:p>
            <w:pPr>
              <w:pStyle w:val="TableContents"/>
              <w:bidi w:val="0"/>
              <w:spacing w:before="0" w:after="283"/>
              <w:jc w:val="both"/>
              <w:rPr/>
            </w:pPr>
            <w:r>
              <w:rPr/>
              <w:t> </w:t>
            </w:r>
          </w:p>
        </w:tc>
        <w:tc>
          <w:tcPr>
            <w:tcW w:w="10059" w:type="dxa"/>
            <w:tcBorders/>
            <w:vAlign w:val="center"/>
          </w:tcPr>
          <w:p>
            <w:pPr>
              <w:pStyle w:val="TableContents"/>
              <w:bidi w:val="0"/>
              <w:spacing w:before="0" w:after="283"/>
              <w:jc w:val="both"/>
              <w:rPr/>
            </w:pPr>
            <w:r>
              <w:rPr/>
              <w:t> </w:t>
            </w:r>
          </w:p>
        </w:tc>
      </w:tr>
      <w:tr>
        <w:trPr/>
        <w:tc>
          <w:tcPr>
            <w:tcW w:w="146" w:type="dxa"/>
            <w:tcBorders/>
            <w:vAlign w:val="center"/>
          </w:tcPr>
          <w:p>
            <w:pPr>
              <w:pStyle w:val="TableContents"/>
              <w:bidi w:val="0"/>
              <w:spacing w:before="0" w:after="283"/>
              <w:jc w:val="both"/>
              <w:rPr>
                <w:sz w:val="20"/>
              </w:rPr>
            </w:pPr>
            <w:r>
              <w:rPr>
                <w:sz w:val="20"/>
              </w:rPr>
              <w:t>5.</w:t>
            </w:r>
          </w:p>
        </w:tc>
        <w:tc>
          <w:tcPr>
            <w:tcW w:w="10059" w:type="dxa"/>
            <w:tcBorders/>
            <w:vAlign w:val="center"/>
          </w:tcPr>
          <w:p>
            <w:pPr>
              <w:pStyle w:val="TableContents"/>
              <w:bidi w:val="0"/>
              <w:spacing w:before="0" w:after="283"/>
              <w:jc w:val="both"/>
              <w:rPr>
                <w:sz w:val="20"/>
              </w:rPr>
            </w:pPr>
            <w:r>
              <w:rPr>
                <w:i/>
                <w:sz w:val="20"/>
              </w:rPr>
              <w:t>Recognize revenue when (or as) the entity satisfies a performance obligation:</w:t>
            </w:r>
            <w:r>
              <w:rPr>
                <w:sz w:val="20"/>
              </w:rPr>
              <w:t>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branded pharmaceutical products are subject to variable consideration due to chargebacks, government rebates, returns, administrative fees, co-pay assistance and other rebates, and prompt pay discounts. Estimates for these elements of variable consideration require significant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Chargebacks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Chargebacks, primarily from distributors and wholesalers, result from arrangements with indirect customers establishing prices for products which the indirect customer purchases through a wholesaler. Alternatively, the Company may pre-authorize wholesalers to offer specified contract pricing to other indirect customers. Under either arrangement, the Company provides a chargeback credit to the wholesaler for any difference between the contracted price with the indirect customer and the wholesaler’s invoice price, typically Wholesale Acquisition Cost (“WAC”).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 chargebacks claimed by wholesalers are analyzed to determine the actual net price per package (“NPP”) for each product. This calculation is performed by product, by wholesaler. NPPs can be affected by several factors such as:</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95"/>
        <w:gridCol w:w="20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90" w:type="dxa"/>
            <w:tcBorders/>
            <w:vAlign w:val="center"/>
          </w:tcPr>
          <w:p>
            <w:pPr>
              <w:pStyle w:val="TableContents"/>
              <w:bidi w:val="0"/>
              <w:spacing w:before="0" w:after="283"/>
              <w:jc w:val="both"/>
              <w:rPr>
                <w:sz w:val="20"/>
              </w:rPr>
            </w:pPr>
            <w:r>
              <w:rPr>
                <w:sz w:val="20"/>
              </w:rPr>
              <w:t>Changes in customer mix</w:t>
            </w:r>
          </w:p>
        </w:tc>
      </w:tr>
    </w:tbl>
    <w:p>
      <w:pPr>
        <w:pStyle w:val="TextBody"/>
        <w:bidi w:val="0"/>
        <w:spacing w:before="0" w:after="0"/>
        <w:ind w:left="720" w:right="0" w:hanging="36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95"/>
        <w:gridCol w:w="36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05" w:type="dxa"/>
            <w:tcBorders/>
            <w:vAlign w:val="center"/>
          </w:tcPr>
          <w:p>
            <w:pPr>
              <w:pStyle w:val="TableContents"/>
              <w:bidi w:val="0"/>
              <w:spacing w:before="0" w:after="283"/>
              <w:jc w:val="both"/>
              <w:rPr>
                <w:sz w:val="20"/>
              </w:rPr>
            </w:pPr>
            <w:r>
              <w:rPr>
                <w:sz w:val="20"/>
              </w:rPr>
              <w:t>Changes in negotiated terms with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95"/>
        <w:gridCol w:w="39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50" w:type="dxa"/>
            <w:tcBorders/>
            <w:vAlign w:val="center"/>
          </w:tcPr>
          <w:p>
            <w:pPr>
              <w:pStyle w:val="TableContents"/>
              <w:bidi w:val="0"/>
              <w:spacing w:before="0" w:after="283"/>
              <w:jc w:val="both"/>
              <w:rPr>
                <w:sz w:val="20"/>
              </w:rPr>
            </w:pPr>
            <w:r>
              <w:rPr>
                <w:sz w:val="20"/>
              </w:rPr>
              <w:t>Changes in the volume of off-contract purchases</w:t>
            </w:r>
          </w:p>
        </w:tc>
      </w:tr>
    </w:tbl>
    <w:p>
      <w:pPr>
        <w:pStyle w:val="TextBody"/>
        <w:bidi w:val="0"/>
        <w:spacing w:before="0" w:after="0"/>
        <w:ind w:left="720" w:right="0" w:hanging="36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5"/>
        <w:gridCol w:w="95"/>
        <w:gridCol w:w="144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445" w:type="dxa"/>
            <w:tcBorders/>
            <w:vAlign w:val="center"/>
          </w:tcPr>
          <w:p>
            <w:pPr>
              <w:pStyle w:val="TableContents"/>
              <w:bidi w:val="0"/>
              <w:spacing w:before="0" w:after="283"/>
              <w:jc w:val="both"/>
              <w:rPr>
                <w:sz w:val="20"/>
              </w:rPr>
            </w:pPr>
            <w:r>
              <w:rPr>
                <w:sz w:val="20"/>
              </w:rPr>
              <w:t>Changes in WAC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 NPPs are adjusted based on anticipated changes in the factors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NPP and WAC is recorded as a reduction in both gross revenues in the consolidated statements of operations and accounts receivable in the consolidated balance sheets, at the time revenue is recognized from the product sale. The Company continually monitors chargeback activity and adjusts NPPs when the Company believes that actual selling prices will differ from current NPPs.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rebates reserve consists of estimated payments due to governmental agencies for utilization of the Company’s products by beneficiaries under such governmental programs. The two largest government programs are Medicaid and Medicare.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participates in the Medicaid Drug Rebate Program and pays rebates to the states related to Medicaid beneficiary utilization of the Company’s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 Many of the Company’s branded products are also covered under Medicare. The Company participates in the Coverage Gap Discount Program in order for its branded products to be covered by Medicare Part D and must provide a rebate for any products sold under NDAs dispensed to Medicare Part D beneficiaries while the beneficiaries are in the Coverage Gap phase of the benefit. This applies to all products sold under NDAs. Estimates for these discounts are based on historical experience with Medicare rebates for products. Medicare rebates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Part D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the adequacy of the government rebate reserves, reserves are reviewed on a quarterly basis against actual claims data to ensure the liability is fairly stated. The Company continually monitors the government rebate reserve and adjusts estimates if it is expected that actual government rebates may differ from established accruals. Accruals for government rebates are recorded as a reduction to gross revenues in the consolidated statements of operations and as an increase to accrued rebates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returns policy is in place that allows customers to return product within a specified period prior to and subsequent to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The Company continually monitors estimates for returns and adjusts when it is expected that actual product returns may differ from the established accruals. Accruals for returns are recorded as a reduction to gross revenues in the consolidated statements of operations and as an increase to the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Fees and Other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fees or rebates are offered to wholesalers, group purchasing organizations, and indirect customers. Fees and rebates are accrued, by product by wholesaler, at the time of sale based on contracted rates and NPP. To evaluate the adequacy of the administrative fee accruals, on-hand inventory counts are obtained from the wholesalers. The Company continually monitors administrative fee activity and adjusts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Co-payment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Prompt Payment Discounts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consolidated statements of operations and accounts receivable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4" w:name="xdx_89E_ecustom--ScheduleOfValuationAndQ"/>
      <w:bookmarkEnd w:id="254"/>
      <w:r>
        <w:rPr>
          <w:rFonts w:ascii="Times New Roman;Times;Serif" w:hAnsi="Times New Roman;Times;Serif"/>
          <w:b w:val="false"/>
          <w:i w:val="false"/>
          <w:caps w:val="false"/>
          <w:smallCaps w:val="false"/>
          <w:sz w:val="20"/>
        </w:rPr>
        <w:t>The following table summarizes activity and ending balances of the Company’s variable consideration provisions in the consolidated financial statements for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55" w:name="xdx_8B8_zZV9y2QUANaa"/>
      <w:bookmarkEnd w:id="255"/>
      <w:r>
        <w:rPr>
          <w:rFonts w:ascii="Times New Roman;Times;Serif" w:hAnsi="Times New Roman;Times;Serif"/>
          <w:b w:val="false"/>
          <w:i w:val="false"/>
          <w:caps w:val="false"/>
          <w:smallCaps w:val="false"/>
          <w:sz w:val="20"/>
        </w:rPr>
        <w:t>SCHEDULE OF ACCRUALS AND ALLOWANCES</w:t>
      </w:r>
    </w:p>
    <w:tbl>
      <w:tblPr>
        <w:tblW w:w="11540" w:type="dxa"/>
        <w:jc w:val="left"/>
        <w:tblInd w:w="0" w:type="dxa"/>
        <w:tblLayout w:type="fixed"/>
        <w:tblCellMar>
          <w:top w:w="0" w:type="dxa"/>
          <w:left w:w="0" w:type="dxa"/>
          <w:bottom w:w="0" w:type="dxa"/>
          <w:right w:w="0" w:type="dxa"/>
        </w:tblCellMar>
      </w:tblPr>
      <w:tblGrid>
        <w:gridCol w:w="1220"/>
        <w:gridCol w:w="60"/>
        <w:gridCol w:w="160"/>
        <w:gridCol w:w="1210"/>
        <w:gridCol w:w="95"/>
        <w:gridCol w:w="60"/>
        <w:gridCol w:w="146"/>
        <w:gridCol w:w="1149"/>
        <w:gridCol w:w="95"/>
        <w:gridCol w:w="60"/>
        <w:gridCol w:w="140"/>
        <w:gridCol w:w="1055"/>
        <w:gridCol w:w="95"/>
        <w:gridCol w:w="60"/>
        <w:gridCol w:w="163"/>
        <w:gridCol w:w="1372"/>
        <w:gridCol w:w="95"/>
        <w:gridCol w:w="60"/>
        <w:gridCol w:w="140"/>
        <w:gridCol w:w="1175"/>
        <w:gridCol w:w="95"/>
        <w:gridCol w:w="60"/>
        <w:gridCol w:w="140"/>
        <w:gridCol w:w="1055"/>
        <w:gridCol w:w="95"/>
        <w:gridCol w:w="60"/>
        <w:gridCol w:w="140"/>
        <w:gridCol w:w="1175"/>
        <w:gridCol w:w="110"/>
      </w:tblGrid>
      <w:tr>
        <w:trPr/>
        <w:tc>
          <w:tcPr>
            <w:tcW w:w="122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bookmarkStart w:id="256" w:name="xdx_4B9_us-gaap--ValuationAllowancesAndR"/>
            <w:bookmarkEnd w:id="256"/>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7" w:name="xdx_4B8_us-gaap--ValuationAllowancesAndR"/>
            <w:bookmarkEnd w:id="257"/>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8" w:name="xdx_4B4_us-gaap--ValuationAllowancesAndR"/>
            <w:bookmarkEnd w:id="258"/>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9" w:name="xdx_4B1_us-gaap--ValuationAllowancesAndR"/>
            <w:bookmarkEnd w:id="259"/>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0" w:name="xdx_4B5_us-gaap--ValuationAllowancesAndR"/>
            <w:bookmarkEnd w:id="260"/>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1" w:name="xdx_4B9_us-gaap--ValuationAllowancesAndR"/>
            <w:bookmarkEnd w:id="261"/>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2" w:name="xdx_4B0_zfgd3UF1iGB"/>
            <w:bookmarkEnd w:id="262"/>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0"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Accruals for Chargebacks, Returns, and Other Allowances</w:t>
            </w:r>
          </w:p>
        </w:tc>
        <w:tc>
          <w:tcPr>
            <w:tcW w:w="110" w:type="dxa"/>
            <w:tcBorders/>
            <w:vAlign w:val="center"/>
          </w:tcPr>
          <w:p>
            <w:pPr>
              <w:pStyle w:val="TableContents"/>
              <w:bidi w:val="0"/>
              <w:spacing w:before="0" w:after="283"/>
              <w:ind w:left="0" w:right="0" w:hanging="0"/>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Chargebacks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Government Rebates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Returns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Administrative Fees and Other Rebates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Co-Pay Assistance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Prompt Pay Discounts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0"/>
              <w:jc w:val="left"/>
              <w:rPr/>
            </w:pPr>
            <w:r>
              <w:rPr/>
              <w:t> </w:t>
            </w:r>
            <w:bookmarkStart w:id="263" w:name="xdx_43B_c20240101__20240331_eus-gaap--Va"/>
            <w:bookmarkEnd w:id="263"/>
          </w:p>
        </w:tc>
      </w:tr>
      <w:tr>
        <w:trPr/>
        <w:tc>
          <w:tcPr>
            <w:tcW w:w="122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2,810,000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3,585,000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72" w:type="dxa"/>
            <w:tcBorders>
              <w:bottom w:val="single" w:sz="8" w:space="0" w:color="000000"/>
            </w:tcBorders>
            <w:shd w:fill="CCEEFF" w:val="clear"/>
            <w:tcMar>
              <w:bottom w:w="28" w:type="dxa"/>
            </w:tcMar>
            <w:vAlign w:val="center"/>
          </w:tcPr>
          <w:p>
            <w:pPr>
              <w:pStyle w:val="TableContents"/>
              <w:bidi w:val="0"/>
              <w:spacing w:before="0" w:after="283"/>
              <w:jc w:val="right"/>
              <w:rPr/>
            </w:pPr>
            <w:r>
              <w:rPr/>
              <w:t>24,069,000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33,307,000</w:t>
            </w:r>
          </w:p>
        </w:tc>
        <w:tc>
          <w:tcPr>
            <w:tcW w:w="110" w:type="dxa"/>
            <w:tcBorders/>
            <w:shd w:fill="CCEEFF" w:val="clear"/>
            <w:vAlign w:val="center"/>
          </w:tcPr>
          <w:p>
            <w:pPr>
              <w:pStyle w:val="TableContents"/>
              <w:bidi w:val="0"/>
              <w:spacing w:before="0" w:after="283"/>
              <w:ind w:left="0" w:right="0" w:hanging="0"/>
              <w:jc w:val="left"/>
              <w:rPr/>
            </w:pPr>
            <w:r>
              <w:rPr/>
              <w:t> </w:t>
            </w:r>
            <w:bookmarkStart w:id="264" w:name="xdx_40D_eus-gaap--ValuationAllowancesAnd"/>
            <w:bookmarkEnd w:id="264"/>
          </w:p>
        </w:tc>
      </w:tr>
      <w:tr>
        <w:trPr/>
        <w:tc>
          <w:tcPr>
            <w:tcW w:w="1220" w:type="dxa"/>
            <w:tcBorders/>
            <w:shd w:fill="FFFFFF" w:val="clear"/>
            <w:vAlign w:val="center"/>
          </w:tcPr>
          <w:p>
            <w:pPr>
              <w:pStyle w:val="TableContents"/>
              <w:bidi w:val="0"/>
              <w:spacing w:before="0" w:after="283"/>
              <w:jc w:val="left"/>
              <w:rPr/>
            </w:pPr>
            <w:r>
              <w:rPr/>
              <w:t>Accruals/Adjustments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1,112,000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2,295,000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7,608,000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17,244,000</w:t>
            </w:r>
          </w:p>
        </w:tc>
        <w:tc>
          <w:tcPr>
            <w:tcW w:w="110" w:type="dxa"/>
            <w:tcBorders/>
            <w:shd w:fill="FFFFFF" w:val="clear"/>
            <w:vAlign w:val="center"/>
          </w:tcPr>
          <w:p>
            <w:pPr>
              <w:pStyle w:val="TableContents"/>
              <w:bidi w:val="0"/>
              <w:spacing w:before="0" w:after="283"/>
              <w:ind w:left="0" w:right="0" w:hanging="0"/>
              <w:jc w:val="left"/>
              <w:rPr/>
            </w:pPr>
            <w:r>
              <w:rPr/>
              <w:t> </w:t>
            </w:r>
            <w:bookmarkStart w:id="265" w:name="xdx_40D_eus-gaap--ValuationAllowancesAnd"/>
            <w:bookmarkEnd w:id="265"/>
          </w:p>
        </w:tc>
      </w:tr>
      <w:tr>
        <w:trPr/>
        <w:tc>
          <w:tcPr>
            <w:tcW w:w="1220" w:type="dxa"/>
            <w:tcBorders/>
            <w:shd w:fill="CCEEFF" w:val="clear"/>
            <w:vAlign w:val="center"/>
          </w:tcPr>
          <w:p>
            <w:pPr>
              <w:pStyle w:val="TableContents"/>
              <w:bidi w:val="0"/>
              <w:spacing w:before="0" w:after="283"/>
              <w:jc w:val="left"/>
              <w:rPr/>
            </w:pPr>
            <w:r>
              <w:rPr/>
              <w:t>Credits Taken Against Reserve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(2,801,000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single" w:sz="8" w:space="0" w:color="000000"/>
            </w:tcBorders>
            <w:shd w:fill="CCEEFF" w:val="clear"/>
            <w:tcMar>
              <w:bottom w:w="28" w:type="dxa"/>
            </w:tcMar>
            <w:vAlign w:val="center"/>
          </w:tcPr>
          <w:p>
            <w:pPr>
              <w:pStyle w:val="TableContents"/>
              <w:bidi w:val="0"/>
              <w:spacing w:before="0" w:after="283"/>
              <w:jc w:val="right"/>
              <w:rPr/>
            </w:pPr>
            <w:r>
              <w:rPr/>
              <w:t>(15,703,000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(1,574,000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(359,000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(20,564,000</w:t>
            </w:r>
          </w:p>
        </w:tc>
        <w:tc>
          <w:tcPr>
            <w:tcW w:w="110" w:type="dxa"/>
            <w:tcBorders/>
            <w:shd w:fill="CCEEFF" w:val="clear"/>
            <w:vAlign w:val="center"/>
          </w:tcPr>
          <w:p>
            <w:pPr>
              <w:pStyle w:val="TableContents"/>
              <w:bidi w:val="0"/>
              <w:spacing w:before="0" w:after="283"/>
              <w:ind w:left="0" w:right="0" w:hanging="0"/>
              <w:jc w:val="left"/>
              <w:rPr/>
            </w:pPr>
            <w:r>
              <w:rPr/>
              <w:t>)</w:t>
            </w:r>
            <w:bookmarkStart w:id="266" w:name="xdx_43E_c20240101__20240331_eus-gaap--Va"/>
            <w:bookmarkEnd w:id="266"/>
          </w:p>
        </w:tc>
      </w:tr>
      <w:tr>
        <w:trPr/>
        <w:tc>
          <w:tcPr>
            <w:tcW w:w="1220" w:type="dxa"/>
            <w:tcBorders/>
            <w:shd w:fill="FFFFFF" w:val="clear"/>
            <w:vAlign w:val="center"/>
          </w:tcPr>
          <w:p>
            <w:pPr>
              <w:pStyle w:val="TableContents"/>
              <w:bidi w:val="0"/>
              <w:spacing w:before="0" w:after="283"/>
              <w:jc w:val="left"/>
              <w:rPr>
                <w:b/>
              </w:rPr>
            </w:pPr>
            <w:r>
              <w:rPr>
                <w:b/>
              </w:rPr>
              <w:t>Balance at March 31, 2024</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5,881,000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7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15,974,000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29,987,000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267" w:name="xdx_43C_c20250101__20250331_eus-gaap--Va"/>
            <w:bookmarkEnd w:id="267"/>
          </w:p>
        </w:tc>
      </w:tr>
      <w:tr>
        <w:trPr/>
        <w:tc>
          <w:tcPr>
            <w:tcW w:w="1220" w:type="dxa"/>
            <w:tcBorders/>
            <w:shd w:fill="FFFFFF" w:val="clear"/>
            <w:vAlign w:val="center"/>
          </w:tcPr>
          <w:p>
            <w:pPr>
              <w:pStyle w:val="TableContents"/>
              <w:bidi w:val="0"/>
              <w:spacing w:before="0" w:after="283"/>
              <w:jc w:val="left"/>
              <w:rPr/>
            </w:pPr>
            <w:r>
              <w:rPr/>
              <w:t>Balance at December 31, 2024</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210" w:type="dxa"/>
            <w:tcBorders/>
            <w:shd w:fill="FFFFFF" w:val="clear"/>
            <w:vAlign w:val="center"/>
          </w:tcPr>
          <w:p>
            <w:pPr>
              <w:pStyle w:val="TableContents"/>
              <w:bidi w:val="0"/>
              <w:spacing w:before="0" w:after="283"/>
              <w:jc w:val="right"/>
              <w:rPr/>
            </w:pPr>
            <w:r>
              <w:rPr/>
              <w:t>960,000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12,360,000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372" w:type="dxa"/>
            <w:tcBorders/>
            <w:shd w:fill="FFFFFF" w:val="clear"/>
            <w:vAlign w:val="center"/>
          </w:tcPr>
          <w:p>
            <w:pPr>
              <w:pStyle w:val="TableContents"/>
              <w:bidi w:val="0"/>
              <w:spacing w:before="0" w:after="283"/>
              <w:jc w:val="right"/>
              <w:rPr/>
            </w:pPr>
            <w:r>
              <w:rPr/>
              <w:t>32,873,000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9,612,000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59,631,000</w:t>
            </w:r>
          </w:p>
        </w:tc>
        <w:tc>
          <w:tcPr>
            <w:tcW w:w="110" w:type="dxa"/>
            <w:tcBorders/>
            <w:shd w:fill="FFFFFF" w:val="clear"/>
            <w:vAlign w:val="center"/>
          </w:tcPr>
          <w:p>
            <w:pPr>
              <w:pStyle w:val="TableContents"/>
              <w:bidi w:val="0"/>
              <w:spacing w:before="0" w:after="283"/>
              <w:ind w:left="0" w:right="0" w:hanging="0"/>
              <w:jc w:val="left"/>
              <w:rPr/>
            </w:pPr>
            <w:r>
              <w:rPr/>
              <w:t> </w:t>
            </w:r>
            <w:bookmarkStart w:id="268" w:name="xdx_433_c20250101__20250331_eus-gaap--Va"/>
            <w:bookmarkEnd w:id="268"/>
          </w:p>
        </w:tc>
      </w:tr>
      <w:tr>
        <w:trPr/>
        <w:tc>
          <w:tcPr>
            <w:tcW w:w="1220" w:type="dxa"/>
            <w:tcBorders/>
            <w:shd w:fill="FFFFFF" w:val="clear"/>
            <w:vAlign w:val="center"/>
          </w:tcPr>
          <w:p>
            <w:pPr>
              <w:pStyle w:val="TableContents"/>
              <w:bidi w:val="0"/>
              <w:spacing w:before="0" w:after="283"/>
              <w:jc w:val="left"/>
              <w:rPr/>
            </w:pPr>
            <w:r>
              <w:rPr/>
              <w:t>Beginning, balance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210" w:type="dxa"/>
            <w:tcBorders/>
            <w:shd w:fill="FFFFFF" w:val="clear"/>
            <w:vAlign w:val="center"/>
          </w:tcPr>
          <w:p>
            <w:pPr>
              <w:pStyle w:val="TableContents"/>
              <w:bidi w:val="0"/>
              <w:spacing w:before="0" w:after="283"/>
              <w:jc w:val="right"/>
              <w:rPr/>
            </w:pPr>
            <w:r>
              <w:rPr/>
              <w:t>960,000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12,360,000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372" w:type="dxa"/>
            <w:tcBorders/>
            <w:shd w:fill="FFFFFF" w:val="clear"/>
            <w:vAlign w:val="center"/>
          </w:tcPr>
          <w:p>
            <w:pPr>
              <w:pStyle w:val="TableContents"/>
              <w:bidi w:val="0"/>
              <w:spacing w:before="0" w:after="283"/>
              <w:jc w:val="right"/>
              <w:rPr/>
            </w:pPr>
            <w:r>
              <w:rPr/>
              <w:t>32,873,000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9,612,000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59,631,000</w:t>
            </w:r>
          </w:p>
        </w:tc>
        <w:tc>
          <w:tcPr>
            <w:tcW w:w="110" w:type="dxa"/>
            <w:tcBorders/>
            <w:shd w:fill="FFFFFF" w:val="clear"/>
            <w:vAlign w:val="center"/>
          </w:tcPr>
          <w:p>
            <w:pPr>
              <w:pStyle w:val="TableContents"/>
              <w:bidi w:val="0"/>
              <w:spacing w:before="0" w:after="283"/>
              <w:ind w:left="0" w:right="0" w:hanging="0"/>
              <w:jc w:val="left"/>
              <w:rPr/>
            </w:pPr>
            <w:r>
              <w:rPr/>
              <w:t> </w:t>
            </w:r>
            <w:bookmarkStart w:id="269" w:name="xdx_40D_eus-gaap--ValuationAllowancesAnd"/>
            <w:bookmarkEnd w:id="269"/>
          </w:p>
        </w:tc>
      </w:tr>
      <w:tr>
        <w:trPr/>
        <w:tc>
          <w:tcPr>
            <w:tcW w:w="1220" w:type="dxa"/>
            <w:tcBorders/>
            <w:shd w:fill="CCEEFF" w:val="clear"/>
            <w:vAlign w:val="center"/>
          </w:tcPr>
          <w:p>
            <w:pPr>
              <w:pStyle w:val="TableContents"/>
              <w:bidi w:val="0"/>
              <w:spacing w:before="0" w:after="283"/>
              <w:jc w:val="left"/>
              <w:rPr/>
            </w:pPr>
            <w:r>
              <w:rPr/>
              <w:t>Accruals/Adjustments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5,325,000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5,857,000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14,907,000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20,824,000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50,641,000</w:t>
            </w:r>
          </w:p>
        </w:tc>
        <w:tc>
          <w:tcPr>
            <w:tcW w:w="110" w:type="dxa"/>
            <w:tcBorders/>
            <w:shd w:fill="CCEEFF" w:val="clear"/>
            <w:vAlign w:val="center"/>
          </w:tcPr>
          <w:p>
            <w:pPr>
              <w:pStyle w:val="TableContents"/>
              <w:bidi w:val="0"/>
              <w:spacing w:before="0" w:after="283"/>
              <w:ind w:left="0" w:right="0" w:hanging="0"/>
              <w:jc w:val="left"/>
              <w:rPr/>
            </w:pPr>
            <w:r>
              <w:rPr/>
              <w:t> </w:t>
            </w:r>
            <w:bookmarkStart w:id="270" w:name="xdx_40D_eus-gaap--ValuationAllowancesAnd"/>
            <w:bookmarkEnd w:id="270"/>
          </w:p>
        </w:tc>
      </w:tr>
      <w:tr>
        <w:trPr/>
        <w:tc>
          <w:tcPr>
            <w:tcW w:w="1220" w:type="dxa"/>
            <w:tcBorders/>
            <w:shd w:fill="FFFFFF" w:val="clear"/>
            <w:vAlign w:val="center"/>
          </w:tcPr>
          <w:p>
            <w:pPr>
              <w:pStyle w:val="TableContents"/>
              <w:bidi w:val="0"/>
              <w:spacing w:before="0" w:after="283"/>
              <w:jc w:val="left"/>
              <w:rPr/>
            </w:pPr>
            <w:r>
              <w:rPr/>
              <w:t>Credits Taken Against Reserve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(3,687,000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(3,136,000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(2,590,000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pPr>
            <w:r>
              <w:rPr/>
              <w:t>(28,698,000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(27,109,000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(1,943,000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(67,164,000</w:t>
            </w:r>
          </w:p>
        </w:tc>
        <w:tc>
          <w:tcPr>
            <w:tcW w:w="110" w:type="dxa"/>
            <w:tcBorders/>
            <w:shd w:fill="FFFFFF" w:val="clear"/>
            <w:vAlign w:val="center"/>
          </w:tcPr>
          <w:p>
            <w:pPr>
              <w:pStyle w:val="TableContents"/>
              <w:bidi w:val="0"/>
              <w:spacing w:before="0" w:after="283"/>
              <w:ind w:left="0" w:right="0" w:hanging="0"/>
              <w:jc w:val="left"/>
              <w:rPr/>
            </w:pPr>
            <w:r>
              <w:rPr/>
              <w:t>)</w:t>
            </w:r>
            <w:bookmarkStart w:id="271" w:name="xdx_430_c20250101__20250331_eus-gaap--Va"/>
            <w:bookmarkEnd w:id="271"/>
          </w:p>
        </w:tc>
      </w:tr>
      <w:tr>
        <w:trPr/>
        <w:tc>
          <w:tcPr>
            <w:tcW w:w="1220"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15,081,000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19,082,000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3,327,000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43,109,000</w:t>
            </w:r>
          </w:p>
        </w:tc>
        <w:tc>
          <w:tcPr>
            <w:tcW w:w="110" w:type="dxa"/>
            <w:tcBorders/>
            <w:shd w:fill="CCEEFF" w:val="clear"/>
            <w:vAlign w:val="center"/>
          </w:tcPr>
          <w:p>
            <w:pPr>
              <w:pStyle w:val="TableContents"/>
              <w:bidi w:val="0"/>
              <w:spacing w:before="0" w:after="283"/>
              <w:ind w:left="0" w:right="0" w:hanging="0"/>
              <w:jc w:val="left"/>
              <w:rPr/>
            </w:pPr>
            <w:r>
              <w:rPr/>
              <w:t> </w:t>
            </w:r>
            <w:bookmarkStart w:id="272" w:name="xdx_43D_c20250101__20250331_eus-gaap--Va"/>
            <w:bookmarkEnd w:id="272"/>
          </w:p>
        </w:tc>
      </w:tr>
      <w:tr>
        <w:trPr/>
        <w:tc>
          <w:tcPr>
            <w:tcW w:w="1220" w:type="dxa"/>
            <w:tcBorders/>
            <w:shd w:fill="CCEEFF" w:val="clear"/>
            <w:vAlign w:val="center"/>
          </w:tcPr>
          <w:p>
            <w:pPr>
              <w:pStyle w:val="TableContents"/>
              <w:bidi w:val="0"/>
              <w:spacing w:before="0" w:after="283"/>
              <w:jc w:val="left"/>
              <w:rPr>
                <w:b/>
              </w:rPr>
            </w:pPr>
            <w:r>
              <w:rPr>
                <w:b/>
              </w:rPr>
              <w:t>Ending, balance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15,081,000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19,082,000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3,327,000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43,109,000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73" w:name="xdx_8AE_zrvzPfsjLbgi"/>
      <w:bookmarkEnd w:id="273"/>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License and Related Arrangements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multiple intellectual property licenses and related arrangements pursuant to which the Company has agreed to license or sell to a customer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4" w:name="xdx_89A_eus-gaap--DisaggregationOfRevenu"/>
      <w:bookmarkEnd w:id="274"/>
      <w:r>
        <w:rPr>
          <w:rFonts w:ascii="Times New Roman;Times;Serif" w:hAnsi="Times New Roman;Times;Serif"/>
          <w:b w:val="false"/>
          <w:i w:val="false"/>
          <w:caps w:val="false"/>
          <w:smallCaps w:val="false"/>
          <w:sz w:val="20"/>
        </w:rPr>
        <w:t>Revenue disaggregated by revenue source for the three months ended March 31, 2025 and 2024 consisted of the following:</w:t>
      </w:r>
    </w:p>
    <w:p>
      <w:pPr>
        <w:pStyle w:val="TextBody"/>
        <w:bidi w:val="0"/>
        <w:spacing w:before="0" w:after="0"/>
        <w:ind w:left="0" w:right="0" w:hanging="0"/>
        <w:jc w:val="center"/>
        <w:rPr>
          <w:caps w:val="false"/>
          <w:smallCaps w:val="false"/>
        </w:rPr>
      </w:pPr>
      <w:r>
        <w:rPr>
          <w:caps w:val="false"/>
          <w:smallCaps w:val="false"/>
        </w:rPr>
        <w:t> </w:t>
      </w:r>
      <w:bookmarkStart w:id="275" w:name="xdx_8BD_zXjtgu8o1Qpd"/>
      <w:bookmarkEnd w:id="275"/>
      <w:r>
        <w:rPr>
          <w:rFonts w:ascii="Times New Roman;Times;Serif" w:hAnsi="Times New Roman;Times;Serif"/>
          <w:b w:val="false"/>
          <w:i w:val="false"/>
          <w:caps w:val="false"/>
          <w:smallCaps w:val="false"/>
          <w:sz w:val="20"/>
        </w:rPr>
        <w:t>SCHEDULE OF DISAGGREGATED REVENUE  </w:t>
      </w:r>
    </w:p>
    <w:tbl>
      <w:tblPr>
        <w:tblW w:w="4971" w:type="dxa"/>
        <w:jc w:val="left"/>
        <w:tblInd w:w="0" w:type="dxa"/>
        <w:tblLayout w:type="fixed"/>
        <w:tblCellMar>
          <w:top w:w="0" w:type="dxa"/>
          <w:left w:w="0" w:type="dxa"/>
          <w:bottom w:w="0" w:type="dxa"/>
          <w:right w:w="0" w:type="dxa"/>
        </w:tblCellMar>
      </w:tblPr>
      <w:tblGrid>
        <w:gridCol w:w="1820"/>
        <w:gridCol w:w="60"/>
        <w:gridCol w:w="162"/>
        <w:gridCol w:w="1277"/>
        <w:gridCol w:w="69"/>
        <w:gridCol w:w="69"/>
        <w:gridCol w:w="162"/>
        <w:gridCol w:w="1277"/>
        <w:gridCol w:w="75"/>
      </w:tblGrid>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6" w:name="xdx_494_20250101__20250331_znRnO0kRDfxj"/>
            <w:bookmarkEnd w:id="276"/>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bookmarkStart w:id="277" w:name="xdx_494_20240101__20240331_zMmJGMKDHbth"/>
            <w:bookmarkEnd w:id="277"/>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278" w:name="xdx_408_eus-gaap--RevenueFromContractWit"/>
            <w:bookmarkEnd w:id="278"/>
          </w:p>
        </w:tc>
      </w:tr>
      <w:tr>
        <w:trPr/>
        <w:tc>
          <w:tcPr>
            <w:tcW w:w="182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47,745,000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34,508,000</w:t>
            </w:r>
          </w:p>
        </w:tc>
        <w:tc>
          <w:tcPr>
            <w:tcW w:w="75" w:type="dxa"/>
            <w:tcBorders/>
            <w:shd w:fill="CCEEFF" w:val="clear"/>
            <w:vAlign w:val="center"/>
          </w:tcPr>
          <w:p>
            <w:pPr>
              <w:pStyle w:val="TableContents"/>
              <w:bidi w:val="0"/>
              <w:spacing w:before="0" w:after="283"/>
              <w:jc w:val="left"/>
              <w:rPr/>
            </w:pPr>
            <w:r>
              <w:rPr/>
              <w:t> </w:t>
            </w:r>
            <w:bookmarkStart w:id="279" w:name="xdx_402_eus-gaap--RevenueFromContractWit"/>
            <w:bookmarkEnd w:id="279"/>
          </w:p>
        </w:tc>
      </w:tr>
      <w:tr>
        <w:trPr/>
        <w:tc>
          <w:tcPr>
            <w:tcW w:w="1820" w:type="dxa"/>
            <w:tcBorders/>
            <w:shd w:fill="FFFFFF" w:val="clear"/>
            <w:vAlign w:val="center"/>
          </w:tcPr>
          <w:p>
            <w:pPr>
              <w:pStyle w:val="TableContents"/>
              <w:bidi w:val="0"/>
              <w:spacing w:before="0" w:after="283"/>
              <w:jc w:val="left"/>
              <w:rPr>
                <w:b/>
              </w:rPr>
            </w:pPr>
            <w:r>
              <w:rPr>
                <w:b/>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86,000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79,000</w:t>
            </w:r>
          </w:p>
        </w:tc>
        <w:tc>
          <w:tcPr>
            <w:tcW w:w="75" w:type="dxa"/>
            <w:tcBorders/>
            <w:shd w:fill="FFFFFF" w:val="clear"/>
            <w:vAlign w:val="center"/>
          </w:tcPr>
          <w:p>
            <w:pPr>
              <w:pStyle w:val="TableContents"/>
              <w:bidi w:val="0"/>
              <w:spacing w:before="0" w:after="283"/>
              <w:jc w:val="left"/>
              <w:rPr/>
            </w:pPr>
            <w:r>
              <w:rPr/>
              <w:t> </w:t>
            </w:r>
            <w:bookmarkStart w:id="280" w:name="xdx_40B_eus-gaap--RevenueFromContractWit"/>
            <w:bookmarkEnd w:id="280"/>
          </w:p>
        </w:tc>
      </w:tr>
      <w:tr>
        <w:trPr/>
        <w:tc>
          <w:tcPr>
            <w:tcW w:w="18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47,831,000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34,587,000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1" w:name="xdx_8AA_zCIu0GxlNVa8"/>
      <w:bookmarkEnd w:id="2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March 31, 2025 and December 31, 2024 were $</w:t>
      </w:r>
      <w:bookmarkStart w:id="282" w:name="xdx_90B_eus-gaap--ContractWithCustomerLi"/>
      <w:bookmarkEnd w:id="282"/>
      <w:r>
        <w:rPr>
          <w:rFonts w:ascii="Times New Roman;Times;Serif" w:hAnsi="Times New Roman;Times;Serif"/>
          <w:b w:val="false"/>
          <w:i w:val="false"/>
          <w:caps w:val="false"/>
          <w:smallCaps w:val="false"/>
          <w:sz w:val="20"/>
        </w:rPr>
        <w:t>145,000 and $</w:t>
      </w:r>
      <w:bookmarkStart w:id="283" w:name="xdx_903_eus-gaap--ContractWithCustomerLi"/>
      <w:bookmarkEnd w:id="283"/>
      <w:r>
        <w:rPr>
          <w:rFonts w:ascii="Times New Roman;Times;Serif" w:hAnsi="Times New Roman;Times;Serif"/>
          <w:b w:val="false"/>
          <w:i w:val="false"/>
          <w:caps w:val="false"/>
          <w:smallCaps w:val="false"/>
          <w:sz w:val="20"/>
        </w:rPr>
        <w:t>44,000, respectively. All deferred revenue and customer deposit amounts at December 31, 2024 were recognized as revenue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4" w:name="xdx_806_eus-gaap--InventoryDisclosureTex"/>
      <w:bookmarkEnd w:id="284"/>
      <w:r>
        <w:rPr>
          <w:rFonts w:ascii="Times New Roman;Times;Serif" w:hAnsi="Times New Roman;Times;Serif"/>
          <w:b/>
          <w:i w:val="false"/>
          <w:caps w:val="false"/>
          <w:smallCaps w:val="false"/>
          <w:sz w:val="20"/>
        </w:rPr>
        <w:t xml:space="preserve">NOTE 4. </w:t>
      </w:r>
      <w:bookmarkStart w:id="285" w:name="xdx_823_zEPlDyyCJfe4"/>
      <w:bookmarkEnd w:id="285"/>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Inventories are comprised of finished compounded formulations, over-the-counter and prescription retail pharmacy products, branded pharmaceutical products, including those held at the Company’s 3PL partner, related laboratory supplies and active pharmaceutical ingredients. </w:t>
      </w:r>
      <w:r>
        <w:rPr>
          <w:rFonts w:ascii="Times New Roman;Times;Serif" w:hAnsi="Times New Roman;Times;Serif"/>
          <w:b w:val="false"/>
          <w:i w:val="false"/>
          <w:caps w:val="false"/>
          <w:smallCaps w:val="false"/>
          <w:sz w:val="20"/>
        </w:rPr>
        <w:t xml:space="preserve"> The composition of inventories as of March 31, 2025 and December 31, 2024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86" w:name="xdx_890_eus-gaap--ScheduleOfInventoryCur"/>
      <w:bookmarkEnd w:id="286"/>
      <w:r>
        <w:rPr>
          <w:caps w:val="false"/>
          <w:smallCaps w:val="false"/>
        </w:rPr>
        <w:t> </w:t>
      </w:r>
      <w:bookmarkStart w:id="287" w:name="xdx_8B2_zO6hRaul2j9g"/>
      <w:bookmarkEnd w:id="287"/>
      <w:r>
        <w:rPr>
          <w:rFonts w:ascii="Times New Roman;Times;Serif" w:hAnsi="Times New Roman;Times;Serif"/>
          <w:b w:val="false"/>
          <w:i w:val="false"/>
          <w:caps w:val="false"/>
          <w:smallCaps w:val="false"/>
          <w:sz w:val="20"/>
        </w:rPr>
        <w:t>SCHEDULE OF INVENTORIES</w:t>
      </w:r>
    </w:p>
    <w:tbl>
      <w:tblPr>
        <w:tblW w:w="5488" w:type="dxa"/>
        <w:jc w:val="left"/>
        <w:tblInd w:w="0" w:type="dxa"/>
        <w:tblLayout w:type="fixed"/>
        <w:tblCellMar>
          <w:top w:w="0" w:type="dxa"/>
          <w:left w:w="0" w:type="dxa"/>
          <w:bottom w:w="0" w:type="dxa"/>
          <w:right w:w="0" w:type="dxa"/>
        </w:tblCellMar>
      </w:tblPr>
      <w:tblGrid>
        <w:gridCol w:w="1670"/>
        <w:gridCol w:w="60"/>
        <w:gridCol w:w="181"/>
        <w:gridCol w:w="1428"/>
        <w:gridCol w:w="60"/>
        <w:gridCol w:w="60"/>
        <w:gridCol w:w="220"/>
        <w:gridCol w:w="1734"/>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88" w:name="xdx_493_20250331_zh8MU02Ryf7d"/>
            <w:bookmarkEnd w:id="288"/>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9" w:name="xdx_49D_20241231_zLAKEncWf6Z8"/>
            <w:bookmarkEnd w:id="28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290" w:name="xdx_40F_eus-gaap--InventoryRawMaterials_"/>
            <w:bookmarkEnd w:id="290"/>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5,113,000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5,362,000</w:t>
            </w:r>
          </w:p>
        </w:tc>
        <w:tc>
          <w:tcPr>
            <w:tcW w:w="75" w:type="dxa"/>
            <w:tcBorders/>
            <w:shd w:fill="CCEEFF" w:val="clear"/>
            <w:vAlign w:val="center"/>
          </w:tcPr>
          <w:p>
            <w:pPr>
              <w:pStyle w:val="TableContents"/>
              <w:bidi w:val="0"/>
              <w:spacing w:before="0" w:after="283"/>
              <w:jc w:val="left"/>
              <w:rPr/>
            </w:pPr>
            <w:r>
              <w:rPr/>
              <w:t> </w:t>
            </w:r>
            <w:bookmarkStart w:id="291" w:name="xdx_402_eus-gaap--InventoryWorkInProcess"/>
            <w:bookmarkEnd w:id="291"/>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858,000</w:t>
            </w:r>
          </w:p>
        </w:tc>
        <w:tc>
          <w:tcPr>
            <w:tcW w:w="75" w:type="dxa"/>
            <w:tcBorders/>
            <w:shd w:fill="FFFFFF" w:val="clear"/>
            <w:vAlign w:val="center"/>
          </w:tcPr>
          <w:p>
            <w:pPr>
              <w:pStyle w:val="TableContents"/>
              <w:bidi w:val="0"/>
              <w:spacing w:before="0" w:after="283"/>
              <w:jc w:val="left"/>
              <w:rPr/>
            </w:pPr>
            <w:r>
              <w:rPr/>
              <w:t> </w:t>
            </w:r>
            <w:bookmarkStart w:id="292" w:name="xdx_409_eus-gaap--InventoryFinishedGoods"/>
            <w:bookmarkEnd w:id="292"/>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pPr>
            <w:r>
              <w:rPr/>
              <w:t>5,452,000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CCEEFF" w:val="clear"/>
            <w:tcMar>
              <w:bottom w:w="28" w:type="dxa"/>
            </w:tcMar>
            <w:vAlign w:val="center"/>
          </w:tcPr>
          <w:p>
            <w:pPr>
              <w:pStyle w:val="TableContents"/>
              <w:bidi w:val="0"/>
              <w:spacing w:before="0" w:after="283"/>
              <w:jc w:val="right"/>
              <w:rPr/>
            </w:pPr>
            <w:r>
              <w:rPr/>
              <w:t>4,482,000</w:t>
            </w:r>
          </w:p>
        </w:tc>
        <w:tc>
          <w:tcPr>
            <w:tcW w:w="75" w:type="dxa"/>
            <w:tcBorders/>
            <w:shd w:fill="CCEEFF" w:val="clear"/>
            <w:vAlign w:val="center"/>
          </w:tcPr>
          <w:p>
            <w:pPr>
              <w:pStyle w:val="TableContents"/>
              <w:bidi w:val="0"/>
              <w:spacing w:before="0" w:after="283"/>
              <w:jc w:val="left"/>
              <w:rPr/>
            </w:pPr>
            <w:r>
              <w:rPr/>
              <w:t> </w:t>
            </w:r>
            <w:bookmarkStart w:id="293" w:name="xdx_402_eus-gaap--InventoryNet_iTI_mtCzf"/>
            <w:bookmarkEnd w:id="293"/>
          </w:p>
        </w:tc>
      </w:tr>
      <w:tr>
        <w:trPr/>
        <w:tc>
          <w:tcPr>
            <w:tcW w:w="1670"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pPr>
            <w:r>
              <w:rPr/>
              <w:t>10,716,000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10,702,000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94" w:name="xdx_8A4_zwZ6P7Wj6GPd"/>
      <w:bookmarkEnd w:id="29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5" w:name="xdx_803_eus-gaap--OtherAssetsDisclosureT"/>
      <w:bookmarkEnd w:id="295"/>
      <w:r>
        <w:rPr>
          <w:rFonts w:ascii="Times New Roman;Times;Serif" w:hAnsi="Times New Roman;Times;Serif"/>
          <w:b/>
          <w:i w:val="false"/>
          <w:caps w:val="false"/>
          <w:smallCaps w:val="false"/>
          <w:sz w:val="20"/>
        </w:rPr>
        <w:t xml:space="preserve">NOTE 5. </w:t>
      </w:r>
      <w:bookmarkStart w:id="296" w:name="xdx_82B_zR0aXM47iK5f"/>
      <w:bookmarkEnd w:id="296"/>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7" w:name="xdx_892_eus-gaap--DeferredCostsCapitaliz"/>
      <w:bookmarkEnd w:id="297"/>
      <w:r>
        <w:rPr>
          <w:rFonts w:ascii="Times New Roman;Times;Serif" w:hAnsi="Times New Roman;Times;Serif"/>
          <w:b w:val="false"/>
          <w:i w:val="false"/>
          <w:caps w:val="false"/>
          <w:smallCaps w:val="false"/>
          <w:sz w:val="20"/>
        </w:rPr>
        <w:t>Prepaid expenses and other current assets at March 31,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298" w:name="xdx_8B2_zJlmz7BCgy2a"/>
      <w:bookmarkEnd w:id="298"/>
      <w:r>
        <w:rPr>
          <w:rFonts w:ascii="Times New Roman;Times;Serif" w:hAnsi="Times New Roman;Times;Serif"/>
          <w:b w:val="false"/>
          <w:i w:val="false"/>
          <w:caps w:val="false"/>
          <w:smallCaps w:val="false"/>
          <w:sz w:val="20"/>
        </w:rPr>
        <w:t>SCHEDULE OF PREPAID EXPENSES AND OTHER CURRENT ASSETS</w:t>
      </w:r>
    </w:p>
    <w:tbl>
      <w:tblPr>
        <w:tblW w:w="9253" w:type="dxa"/>
        <w:jc w:val="left"/>
        <w:tblInd w:w="0" w:type="dxa"/>
        <w:tblLayout w:type="fixed"/>
        <w:tblCellMar>
          <w:top w:w="0" w:type="dxa"/>
          <w:left w:w="0" w:type="dxa"/>
          <w:bottom w:w="0" w:type="dxa"/>
          <w:right w:w="0" w:type="dxa"/>
        </w:tblCellMar>
      </w:tblPr>
      <w:tblGrid>
        <w:gridCol w:w="5435"/>
        <w:gridCol w:w="60"/>
        <w:gridCol w:w="181"/>
        <w:gridCol w:w="1428"/>
        <w:gridCol w:w="60"/>
        <w:gridCol w:w="60"/>
        <w:gridCol w:w="220"/>
        <w:gridCol w:w="1734"/>
        <w:gridCol w:w="75"/>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9" w:name="xdx_491_20250331_zUmD9i05BR7e"/>
            <w:bookmarkEnd w:id="299"/>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0" w:name="xdx_49D_20241231_zG1I8mKeTtll"/>
            <w:bookmarkEnd w:id="300"/>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301" w:name="xdx_40A_eus-gaap--PrepaidInsurance_iI_ma"/>
            <w:bookmarkEnd w:id="301"/>
          </w:p>
        </w:tc>
      </w:tr>
      <w:tr>
        <w:trPr/>
        <w:tc>
          <w:tcPr>
            <w:tcW w:w="543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720,000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1,326,000</w:t>
            </w:r>
          </w:p>
        </w:tc>
        <w:tc>
          <w:tcPr>
            <w:tcW w:w="75" w:type="dxa"/>
            <w:tcBorders/>
            <w:shd w:fill="CCEEFF" w:val="clear"/>
            <w:vAlign w:val="center"/>
          </w:tcPr>
          <w:p>
            <w:pPr>
              <w:pStyle w:val="TableContents"/>
              <w:bidi w:val="0"/>
              <w:spacing w:before="0" w:after="283"/>
              <w:jc w:val="left"/>
              <w:rPr/>
            </w:pPr>
            <w:r>
              <w:rPr/>
              <w:t> </w:t>
            </w:r>
            <w:bookmarkStart w:id="302" w:name="xdx_408_ecustom--PrepaidComputerSoftware"/>
            <w:bookmarkEnd w:id="302"/>
          </w:p>
        </w:tc>
      </w:tr>
      <w:tr>
        <w:trPr/>
        <w:tc>
          <w:tcPr>
            <w:tcW w:w="5435" w:type="dxa"/>
            <w:tcBorders/>
            <w:shd w:fill="FFFFFF" w:val="clear"/>
            <w:vAlign w:val="center"/>
          </w:tcPr>
          <w:p>
            <w:pPr>
              <w:pStyle w:val="TableContents"/>
              <w:bidi w:val="0"/>
              <w:spacing w:before="0" w:after="283"/>
              <w:jc w:val="left"/>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716,000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765,000</w:t>
            </w:r>
          </w:p>
        </w:tc>
        <w:tc>
          <w:tcPr>
            <w:tcW w:w="75" w:type="dxa"/>
            <w:tcBorders/>
            <w:shd w:fill="FFFFFF" w:val="clear"/>
            <w:vAlign w:val="center"/>
          </w:tcPr>
          <w:p>
            <w:pPr>
              <w:pStyle w:val="TableContents"/>
              <w:bidi w:val="0"/>
              <w:spacing w:before="0" w:after="283"/>
              <w:jc w:val="left"/>
              <w:rPr/>
            </w:pPr>
            <w:r>
              <w:rPr/>
              <w:t> </w:t>
            </w:r>
            <w:bookmarkStart w:id="303" w:name="xdx_409_ecustom--PrefundedAssistance_iI_"/>
            <w:bookmarkEnd w:id="303"/>
          </w:p>
        </w:tc>
      </w:tr>
      <w:tr>
        <w:trPr/>
        <w:tc>
          <w:tcPr>
            <w:tcW w:w="5435" w:type="dxa"/>
            <w:tcBorders/>
            <w:shd w:fill="CCEEFF" w:val="clear"/>
            <w:vAlign w:val="center"/>
          </w:tcPr>
          <w:p>
            <w:pPr>
              <w:pStyle w:val="TableContents"/>
              <w:bidi w:val="0"/>
              <w:spacing w:before="0" w:after="283"/>
              <w:jc w:val="left"/>
              <w:rPr/>
            </w:pPr>
            <w:r>
              <w:rPr/>
              <w:t>Prefunded co-pay assistance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5,324,000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4,514,000</w:t>
            </w:r>
          </w:p>
        </w:tc>
        <w:tc>
          <w:tcPr>
            <w:tcW w:w="75" w:type="dxa"/>
            <w:tcBorders/>
            <w:shd w:fill="CCEEFF" w:val="clear"/>
            <w:vAlign w:val="center"/>
          </w:tcPr>
          <w:p>
            <w:pPr>
              <w:pStyle w:val="TableContents"/>
              <w:bidi w:val="0"/>
              <w:spacing w:before="0" w:after="283"/>
              <w:jc w:val="left"/>
              <w:rPr/>
            </w:pPr>
            <w:r>
              <w:rPr/>
              <w:t> </w:t>
            </w:r>
            <w:bookmarkStart w:id="304" w:name="xdx_402_eus-gaap--OtherPrepaidExpenseCur"/>
            <w:bookmarkEnd w:id="304"/>
          </w:p>
        </w:tc>
      </w:tr>
      <w:tr>
        <w:trPr/>
        <w:tc>
          <w:tcPr>
            <w:tcW w:w="5435" w:type="dxa"/>
            <w:tcBorders/>
            <w:shd w:fill="FFFFFF" w:val="clear"/>
            <w:vAlign w:val="center"/>
          </w:tcPr>
          <w:p>
            <w:pPr>
              <w:pStyle w:val="TableContents"/>
              <w:bidi w:val="0"/>
              <w:spacing w:before="0" w:after="283"/>
              <w:jc w:val="left"/>
              <w:rPr/>
            </w:pPr>
            <w:r>
              <w:rPr/>
              <w:t>Other prepaid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2,151,000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1,435,000</w:t>
            </w:r>
          </w:p>
        </w:tc>
        <w:tc>
          <w:tcPr>
            <w:tcW w:w="75" w:type="dxa"/>
            <w:tcBorders/>
            <w:shd w:fill="FFFFFF" w:val="clear"/>
            <w:vAlign w:val="center"/>
          </w:tcPr>
          <w:p>
            <w:pPr>
              <w:pStyle w:val="TableContents"/>
              <w:bidi w:val="0"/>
              <w:spacing w:before="0" w:after="283"/>
              <w:jc w:val="left"/>
              <w:rPr/>
            </w:pPr>
            <w:r>
              <w:rPr/>
              <w:t> </w:t>
            </w:r>
            <w:bookmarkStart w:id="305" w:name="xdx_406_ecustom--ReceivableDueFromRelate"/>
            <w:bookmarkEnd w:id="305"/>
          </w:p>
        </w:tc>
      </w:tr>
      <w:tr>
        <w:trPr/>
        <w:tc>
          <w:tcPr>
            <w:tcW w:w="5435" w:type="dxa"/>
            <w:tcBorders/>
            <w:shd w:fill="CCEEFF" w:val="clear"/>
            <w:vAlign w:val="center"/>
          </w:tcPr>
          <w:p>
            <w:pPr>
              <w:pStyle w:val="TableContents"/>
              <w:bidi w:val="0"/>
              <w:spacing w:before="0" w:after="283"/>
              <w:jc w:val="left"/>
              <w:rPr/>
            </w:pPr>
            <w:r>
              <w:rPr/>
              <w:t>Receivable due from Melt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228,000</w:t>
            </w:r>
          </w:p>
        </w:tc>
        <w:tc>
          <w:tcPr>
            <w:tcW w:w="75" w:type="dxa"/>
            <w:tcBorders/>
            <w:shd w:fill="CCEEFF" w:val="clear"/>
            <w:vAlign w:val="center"/>
          </w:tcPr>
          <w:p>
            <w:pPr>
              <w:pStyle w:val="TableContents"/>
              <w:bidi w:val="0"/>
              <w:spacing w:before="0" w:after="283"/>
              <w:jc w:val="left"/>
              <w:rPr/>
            </w:pPr>
            <w:r>
              <w:rPr/>
              <w:t> </w:t>
            </w:r>
            <w:bookmarkStart w:id="306" w:name="xdx_403_ecustom--PrepaidPrescriptionDrug"/>
            <w:bookmarkEnd w:id="306"/>
          </w:p>
        </w:tc>
      </w:tr>
      <w:tr>
        <w:trPr/>
        <w:tc>
          <w:tcPr>
            <w:tcW w:w="5435" w:type="dxa"/>
            <w:tcBorders/>
            <w:shd w:fill="FFFFFF" w:val="clear"/>
            <w:vAlign w:val="center"/>
          </w:tcPr>
          <w:p>
            <w:pPr>
              <w:pStyle w:val="TableContents"/>
              <w:bidi w:val="0"/>
              <w:spacing w:before="0" w:after="283"/>
              <w:jc w:val="left"/>
              <w:rPr/>
            </w:pPr>
            <w:r>
              <w:rPr/>
              <w:t>Annual Prepaid Prescription Drug User (“PDUFA”) fees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2,434,000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3,651,000</w:t>
            </w:r>
          </w:p>
        </w:tc>
        <w:tc>
          <w:tcPr>
            <w:tcW w:w="75" w:type="dxa"/>
            <w:tcBorders/>
            <w:shd w:fill="FFFFFF" w:val="clear"/>
            <w:vAlign w:val="center"/>
          </w:tcPr>
          <w:p>
            <w:pPr>
              <w:pStyle w:val="TableContents"/>
              <w:bidi w:val="0"/>
              <w:spacing w:before="0" w:after="283"/>
              <w:jc w:val="left"/>
              <w:rPr/>
            </w:pPr>
            <w:r>
              <w:rPr/>
              <w:t> </w:t>
            </w:r>
            <w:bookmarkStart w:id="307" w:name="xdx_409_eus-gaap--OtherAssetsCurrent_iI_"/>
            <w:bookmarkEnd w:id="307"/>
          </w:p>
        </w:tc>
      </w:tr>
      <w:tr>
        <w:trPr/>
        <w:tc>
          <w:tcPr>
            <w:tcW w:w="5435" w:type="dxa"/>
            <w:tcBorders/>
            <w:shd w:fill="CCEEFF" w:val="clear"/>
            <w:vAlign w:val="center"/>
          </w:tcPr>
          <w:p>
            <w:pPr>
              <w:pStyle w:val="TableContents"/>
              <w:bidi w:val="0"/>
              <w:spacing w:before="0" w:after="283"/>
              <w:jc w:val="left"/>
              <w:rPr/>
            </w:pPr>
            <w:r>
              <w:rPr/>
              <w:t>Deposits and other current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pPr>
            <w:r>
              <w:rPr/>
              <w:t>3,457,000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CCEEFF" w:val="clear"/>
            <w:tcMar>
              <w:bottom w:w="28" w:type="dxa"/>
            </w:tcMar>
            <w:vAlign w:val="center"/>
          </w:tcPr>
          <w:p>
            <w:pPr>
              <w:pStyle w:val="TableContents"/>
              <w:bidi w:val="0"/>
              <w:spacing w:before="0" w:after="283"/>
              <w:jc w:val="right"/>
              <w:rPr/>
            </w:pPr>
            <w:r>
              <w:rPr/>
              <w:t>3,410,000</w:t>
            </w:r>
          </w:p>
        </w:tc>
        <w:tc>
          <w:tcPr>
            <w:tcW w:w="75" w:type="dxa"/>
            <w:tcBorders/>
            <w:shd w:fill="CCEEFF" w:val="clear"/>
            <w:vAlign w:val="center"/>
          </w:tcPr>
          <w:p>
            <w:pPr>
              <w:pStyle w:val="TableContents"/>
              <w:bidi w:val="0"/>
              <w:spacing w:before="0" w:after="283"/>
              <w:jc w:val="left"/>
              <w:rPr/>
            </w:pPr>
            <w:r>
              <w:rPr/>
              <w:t> </w:t>
            </w:r>
            <w:bookmarkStart w:id="308" w:name="xdx_40C_eus-gaap--PrepaidExpenseAndOther"/>
            <w:bookmarkEnd w:id="308"/>
          </w:p>
        </w:tc>
      </w:tr>
      <w:tr>
        <w:trPr/>
        <w:tc>
          <w:tcPr>
            <w:tcW w:w="543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pPr>
            <w:r>
              <w:rPr/>
              <w:t>15,030,000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15,329,000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309" w:name="xdx_8AD_zerA7PtXeTsh"/>
      <w:bookmarkEnd w:id="309"/>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310" w:name="xdx_800_eus-gaap--PropertyPlantAndEquipm"/>
      <w:bookmarkEnd w:id="310"/>
      <w:r>
        <w:rPr>
          <w:rFonts w:ascii="Times New Roman;Times;Serif" w:hAnsi="Times New Roman;Times;Serif"/>
          <w:b/>
          <w:i w:val="false"/>
          <w:caps w:val="false"/>
          <w:smallCaps w:val="false"/>
          <w:sz w:val="20"/>
        </w:rPr>
        <w:t>NOTE 6.</w:t>
      </w:r>
      <w:bookmarkStart w:id="311" w:name="xdx_826_zUGY1W62PcGh"/>
      <w:bookmarkEnd w:id="311"/>
      <w:r>
        <w:rPr>
          <w:rFonts w:ascii="Times New Roman;Times;Serif" w:hAnsi="Times New Roman;Times;Serif"/>
          <w:b/>
          <w:i w:val="false"/>
          <w:caps w:val="false"/>
          <w:smallCaps w:val="false"/>
          <w:sz w:val="20"/>
        </w:rPr>
        <w:t xml:space="preserve">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2" w:name="xdx_89A_eus-gaap--PropertyPlantAndEquipm"/>
      <w:bookmarkEnd w:id="312"/>
      <w:r>
        <w:rPr>
          <w:rFonts w:ascii="Times New Roman;Times;Serif" w:hAnsi="Times New Roman;Times;Serif"/>
          <w:b w:val="false"/>
          <w:i w:val="false"/>
          <w:caps w:val="false"/>
          <w:smallCaps w:val="false"/>
          <w:sz w:val="20"/>
        </w:rPr>
        <w:t>Property, plant and equipment at March 31,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13" w:name="xdx_8B7_zEtUHA73HS09"/>
      <w:bookmarkEnd w:id="313"/>
      <w:r>
        <w:rPr>
          <w:rFonts w:ascii="Times New Roman;Times;Serif" w:hAnsi="Times New Roman;Times;Serif"/>
          <w:b w:val="false"/>
          <w:i w:val="false"/>
          <w:caps w:val="false"/>
          <w:smallCaps w:val="false"/>
          <w:sz w:val="20"/>
        </w:rPr>
        <w:t>SCHEDULE OF PROPERTY, PLANT AND EQUIPMENT</w:t>
      </w:r>
    </w:p>
    <w:tbl>
      <w:tblPr>
        <w:tblW w:w="7238" w:type="dxa"/>
        <w:jc w:val="left"/>
        <w:tblInd w:w="0" w:type="dxa"/>
        <w:tblLayout w:type="fixed"/>
        <w:tblCellMar>
          <w:top w:w="0" w:type="dxa"/>
          <w:left w:w="0" w:type="dxa"/>
          <w:bottom w:w="0" w:type="dxa"/>
          <w:right w:w="0" w:type="dxa"/>
        </w:tblCellMar>
      </w:tblPr>
      <w:tblGrid>
        <w:gridCol w:w="3350"/>
        <w:gridCol w:w="60"/>
        <w:gridCol w:w="171"/>
        <w:gridCol w:w="1438"/>
        <w:gridCol w:w="95"/>
        <w:gridCol w:w="60"/>
        <w:gridCol w:w="208"/>
        <w:gridCol w:w="1746"/>
        <w:gridCol w:w="11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 w:name="xdx_495_20250331_zLRO4BTCeWt1"/>
            <w:bookmarkEnd w:id="314"/>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5" w:name="xdx_495_20241231_zIZ0tYaMPDj5"/>
            <w:bookmarkEnd w:id="315"/>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6" w:name="xdx_400_ecustom--ComputerHardwareGross_i"/>
            <w:bookmarkEnd w:id="316"/>
          </w:p>
        </w:tc>
      </w:tr>
      <w:tr>
        <w:trPr/>
        <w:tc>
          <w:tcPr>
            <w:tcW w:w="335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438" w:type="dxa"/>
            <w:tcBorders/>
            <w:shd w:fill="FFFFFF" w:val="clear"/>
            <w:vAlign w:val="center"/>
          </w:tcPr>
          <w:p>
            <w:pPr>
              <w:pStyle w:val="TableContents"/>
              <w:bidi w:val="0"/>
              <w:spacing w:before="0" w:after="283"/>
              <w:jc w:val="right"/>
              <w:rPr/>
            </w:pPr>
            <w:r>
              <w:rPr/>
              <w:t>1,214,000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1,195,000</w:t>
            </w:r>
          </w:p>
        </w:tc>
        <w:tc>
          <w:tcPr>
            <w:tcW w:w="110" w:type="dxa"/>
            <w:tcBorders/>
            <w:shd w:fill="FFFFFF" w:val="clear"/>
            <w:vAlign w:val="center"/>
          </w:tcPr>
          <w:p>
            <w:pPr>
              <w:pStyle w:val="TableContents"/>
              <w:bidi w:val="0"/>
              <w:spacing w:before="0" w:after="283"/>
              <w:jc w:val="left"/>
              <w:rPr/>
            </w:pPr>
            <w:r>
              <w:rPr/>
              <w:t> </w:t>
            </w:r>
            <w:bookmarkStart w:id="317" w:name="xdx_40A_eus-gaap--FurnitureAndFixturesGr"/>
            <w:bookmarkEnd w:id="317"/>
          </w:p>
        </w:tc>
      </w:tr>
      <w:tr>
        <w:trPr/>
        <w:tc>
          <w:tcPr>
            <w:tcW w:w="3350"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pPr>
            <w:r>
              <w:rPr/>
              <w:t>960,000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956,000</w:t>
            </w:r>
          </w:p>
        </w:tc>
        <w:tc>
          <w:tcPr>
            <w:tcW w:w="110" w:type="dxa"/>
            <w:tcBorders/>
            <w:shd w:fill="CCEEFF" w:val="clear"/>
            <w:vAlign w:val="center"/>
          </w:tcPr>
          <w:p>
            <w:pPr>
              <w:pStyle w:val="TableContents"/>
              <w:bidi w:val="0"/>
              <w:spacing w:before="0" w:after="283"/>
              <w:jc w:val="left"/>
              <w:rPr/>
            </w:pPr>
            <w:r>
              <w:rPr/>
              <w:t> </w:t>
            </w:r>
            <w:bookmarkStart w:id="318" w:name="xdx_40C_eus-gaap--MachineryAndEquipmentG"/>
            <w:bookmarkEnd w:id="318"/>
          </w:p>
        </w:tc>
      </w:tr>
      <w:tr>
        <w:trPr/>
        <w:tc>
          <w:tcPr>
            <w:tcW w:w="3350" w:type="dxa"/>
            <w:tcBorders/>
            <w:shd w:fill="FFFFFF" w:val="clear"/>
            <w:vAlign w:val="center"/>
          </w:tcPr>
          <w:p>
            <w:pPr>
              <w:pStyle w:val="TableContents"/>
              <w:bidi w:val="0"/>
              <w:spacing w:before="0" w:after="283"/>
              <w:jc w:val="left"/>
              <w:rPr/>
            </w:pPr>
            <w:r>
              <w:rPr/>
              <w:t>Lab and pharmacy equipment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5,374,000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5,306,000</w:t>
            </w:r>
          </w:p>
        </w:tc>
        <w:tc>
          <w:tcPr>
            <w:tcW w:w="110" w:type="dxa"/>
            <w:tcBorders/>
            <w:shd w:fill="FFFFFF" w:val="clear"/>
            <w:vAlign w:val="center"/>
          </w:tcPr>
          <w:p>
            <w:pPr>
              <w:pStyle w:val="TableContents"/>
              <w:bidi w:val="0"/>
              <w:spacing w:before="0" w:after="283"/>
              <w:jc w:val="left"/>
              <w:rPr/>
            </w:pPr>
            <w:r>
              <w:rPr/>
              <w:t> </w:t>
            </w:r>
            <w:bookmarkStart w:id="319" w:name="xdx_40A_eus-gaap--LeaseholdImprovementsG"/>
            <w:bookmarkEnd w:id="319"/>
          </w:p>
        </w:tc>
      </w:tr>
      <w:tr>
        <w:trPr/>
        <w:tc>
          <w:tcPr>
            <w:tcW w:w="335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CCEEFF" w:val="clear"/>
            <w:tcMar>
              <w:bottom w:w="28" w:type="dxa"/>
            </w:tcMar>
            <w:vAlign w:val="center"/>
          </w:tcPr>
          <w:p>
            <w:pPr>
              <w:pStyle w:val="TableContents"/>
              <w:bidi w:val="0"/>
              <w:spacing w:before="0" w:after="283"/>
              <w:jc w:val="right"/>
              <w:rPr/>
            </w:pPr>
            <w:r>
              <w:rPr/>
              <w:t>7,346,000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pPr>
            <w:r>
              <w:rPr/>
              <w:t>7,291,000</w:t>
            </w:r>
          </w:p>
        </w:tc>
        <w:tc>
          <w:tcPr>
            <w:tcW w:w="110" w:type="dxa"/>
            <w:tcBorders/>
            <w:shd w:fill="CCEEFF" w:val="clear"/>
            <w:vAlign w:val="center"/>
          </w:tcPr>
          <w:p>
            <w:pPr>
              <w:pStyle w:val="TableContents"/>
              <w:bidi w:val="0"/>
              <w:spacing w:before="0" w:after="283"/>
              <w:jc w:val="left"/>
              <w:rPr/>
            </w:pPr>
            <w:r>
              <w:rPr/>
              <w:t> </w:t>
            </w:r>
            <w:bookmarkStart w:id="320" w:name="xdx_40D_eus-gaap--PropertyPlantAndEquipm"/>
            <w:bookmarkEnd w:id="320"/>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14,894,000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14,748,000</w:t>
            </w:r>
          </w:p>
        </w:tc>
        <w:tc>
          <w:tcPr>
            <w:tcW w:w="110" w:type="dxa"/>
            <w:tcBorders/>
            <w:shd w:fill="FFFFFF" w:val="clear"/>
            <w:vAlign w:val="center"/>
          </w:tcPr>
          <w:p>
            <w:pPr>
              <w:pStyle w:val="TableContents"/>
              <w:bidi w:val="0"/>
              <w:spacing w:before="0" w:after="283"/>
              <w:jc w:val="left"/>
              <w:rPr/>
            </w:pPr>
            <w:r>
              <w:rPr/>
              <w:t> </w:t>
            </w:r>
            <w:bookmarkStart w:id="321" w:name="xdx_406_eus-gaap--AccumulatedDepreciatio"/>
            <w:bookmarkEnd w:id="321"/>
          </w:p>
        </w:tc>
      </w:tr>
      <w:tr>
        <w:trPr/>
        <w:tc>
          <w:tcPr>
            <w:tcW w:w="335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8" w:type="dxa"/>
            <w:tcBorders>
              <w:bottom w:val="single" w:sz="8" w:space="0" w:color="000000"/>
            </w:tcBorders>
            <w:shd w:fill="CCEEFF" w:val="clear"/>
            <w:tcMar>
              <w:bottom w:w="28" w:type="dxa"/>
            </w:tcMar>
            <w:vAlign w:val="center"/>
          </w:tcPr>
          <w:p>
            <w:pPr>
              <w:pStyle w:val="TableContents"/>
              <w:bidi w:val="0"/>
              <w:spacing w:before="0" w:after="283"/>
              <w:jc w:val="right"/>
              <w:rPr/>
            </w:pPr>
            <w:r>
              <w:rPr/>
              <w:t>(11,326,000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pPr>
            <w:r>
              <w:rPr/>
              <w:t>(11,014,000</w:t>
            </w:r>
          </w:p>
        </w:tc>
        <w:tc>
          <w:tcPr>
            <w:tcW w:w="110" w:type="dxa"/>
            <w:tcBorders/>
            <w:shd w:fill="CCEEFF" w:val="clear"/>
            <w:vAlign w:val="center"/>
          </w:tcPr>
          <w:p>
            <w:pPr>
              <w:pStyle w:val="TableContents"/>
              <w:bidi w:val="0"/>
              <w:spacing w:before="0" w:after="283"/>
              <w:jc w:val="left"/>
              <w:rPr/>
            </w:pPr>
            <w:r>
              <w:rPr/>
              <w:t>)</w:t>
            </w:r>
            <w:bookmarkStart w:id="322" w:name="xdx_40B_eus-gaap--PropertyPlantAndEquipm"/>
            <w:bookmarkEnd w:id="322"/>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8" w:type="dxa"/>
            <w:tcBorders>
              <w:bottom w:val="double" w:sz="6" w:space="0" w:color="000000"/>
            </w:tcBorders>
            <w:shd w:fill="FFFFFF" w:val="clear"/>
            <w:tcMar>
              <w:bottom w:w="28" w:type="dxa"/>
            </w:tcMar>
            <w:vAlign w:val="center"/>
          </w:tcPr>
          <w:p>
            <w:pPr>
              <w:pStyle w:val="TableContents"/>
              <w:bidi w:val="0"/>
              <w:spacing w:before="0" w:after="283"/>
              <w:jc w:val="right"/>
              <w:rPr/>
            </w:pPr>
            <w:r>
              <w:rPr/>
              <w:t>3,568,000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pPr>
            <w:r>
              <w:rPr/>
              <w:t>3,734,000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3" w:name="xdx_8A9_zU1p312tNGDg"/>
      <w:bookmarkEnd w:id="3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2024, depreciation related to the property, plant and equipment was $</w:t>
      </w:r>
      <w:bookmarkStart w:id="324" w:name="xdx_900_eus-gaap--DepreciationAmortizati"/>
      <w:bookmarkEnd w:id="324"/>
      <w:r>
        <w:rPr>
          <w:rFonts w:ascii="Times New Roman;Times;Serif" w:hAnsi="Times New Roman;Times;Serif"/>
          <w:b w:val="false"/>
          <w:i w:val="false"/>
          <w:caps w:val="false"/>
          <w:smallCaps w:val="false"/>
          <w:sz w:val="20"/>
        </w:rPr>
        <w:t>312,000 and $</w:t>
      </w:r>
      <w:bookmarkStart w:id="325" w:name="xdx_90B_eus-gaap--DepreciationAmortizati"/>
      <w:bookmarkEnd w:id="325"/>
      <w:r>
        <w:rPr>
          <w:rFonts w:ascii="Times New Roman;Times;Serif" w:hAnsi="Times New Roman;Times;Serif"/>
          <w:b w:val="false"/>
          <w:i w:val="false"/>
          <w:caps w:val="false"/>
          <w:smallCaps w:val="false"/>
          <w:sz w:val="20"/>
        </w:rPr>
        <w:t>296,000, respectively.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326" w:name="xdx_80E_ecustom--CapitalizedSoftwareCost"/>
      <w:bookmarkEnd w:id="326"/>
      <w:r>
        <w:rPr>
          <w:rFonts w:ascii="Times New Roman;Times;Serif" w:hAnsi="Times New Roman;Times;Serif"/>
          <w:b/>
          <w:i w:val="false"/>
          <w:caps w:val="false"/>
          <w:smallCaps w:val="false"/>
          <w:sz w:val="20"/>
        </w:rPr>
        <w:t xml:space="preserve">NOTE 7. </w:t>
      </w:r>
      <w:bookmarkStart w:id="327" w:name="xdx_827_zTZCat8Kwxu4"/>
      <w:bookmarkEnd w:id="327"/>
      <w:r>
        <w:rPr>
          <w:rFonts w:ascii="Times New Roman;Times;Serif" w:hAnsi="Times New Roman;Times;Serif"/>
          <w:b/>
          <w:i w:val="false"/>
          <w:caps w:val="false"/>
          <w:smallCaps w:val="false"/>
          <w:sz w:val="20"/>
        </w:rPr>
        <w:t>CAPITALIZED SOFTWARE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8" w:name="xdx_89B_ecustom--CapitalizedSoftwareDeve"/>
      <w:bookmarkEnd w:id="328"/>
      <w:r>
        <w:rPr>
          <w:rFonts w:ascii="Times New Roman;Times;Serif" w:hAnsi="Times New Roman;Times;Serif"/>
          <w:b w:val="false"/>
          <w:i w:val="false"/>
          <w:caps w:val="false"/>
          <w:smallCaps w:val="false"/>
          <w:sz w:val="20"/>
        </w:rPr>
        <w:t>Capitalized software costs at March 31,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29" w:name="xdx_8B1_zlcuN7OYhbQ2"/>
      <w:bookmarkEnd w:id="329"/>
      <w:r>
        <w:rPr>
          <w:rFonts w:ascii="Times New Roman;Times;Serif" w:hAnsi="Times New Roman;Times;Serif"/>
          <w:b w:val="false"/>
          <w:i w:val="false"/>
          <w:caps w:val="false"/>
          <w:smallCaps w:val="false"/>
          <w:sz w:val="20"/>
        </w:rPr>
        <w:t>SCHEDULE OF CAPITALIZED SOFTWARE COSTS</w:t>
      </w:r>
    </w:p>
    <w:tbl>
      <w:tblPr>
        <w:tblW w:w="8918" w:type="dxa"/>
        <w:jc w:val="left"/>
        <w:tblInd w:w="0" w:type="dxa"/>
        <w:tblLayout w:type="fixed"/>
        <w:tblCellMar>
          <w:top w:w="0" w:type="dxa"/>
          <w:left w:w="0" w:type="dxa"/>
          <w:bottom w:w="0" w:type="dxa"/>
          <w:right w:w="0" w:type="dxa"/>
        </w:tblCellMar>
      </w:tblPr>
      <w:tblGrid>
        <w:gridCol w:w="5030"/>
        <w:gridCol w:w="60"/>
        <w:gridCol w:w="188"/>
        <w:gridCol w:w="1421"/>
        <w:gridCol w:w="95"/>
        <w:gridCol w:w="60"/>
        <w:gridCol w:w="229"/>
        <w:gridCol w:w="172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98_20250331_zxohAuBHec06"/>
            <w:bookmarkEnd w:id="33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1" w:name="xdx_49F_20241231_z3NRhKJ9bQOj"/>
            <w:bookmarkEnd w:id="33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Capitalized software costs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2" w:name="xdx_402_eus-gaap--CapitalizedComputerSof"/>
            <w:bookmarkEnd w:id="332"/>
          </w:p>
        </w:tc>
      </w:tr>
      <w:tr>
        <w:trPr/>
        <w:tc>
          <w:tcPr>
            <w:tcW w:w="5030" w:type="dxa"/>
            <w:tcBorders/>
            <w:shd w:fill="FFFFFF" w:val="clear"/>
            <w:vAlign w:val="center"/>
          </w:tcPr>
          <w:p>
            <w:pPr>
              <w:pStyle w:val="TableContents"/>
              <w:bidi w:val="0"/>
              <w:spacing w:before="0" w:after="283"/>
              <w:jc w:val="left"/>
              <w:rPr/>
            </w:pPr>
            <w:r>
              <w:rPr/>
              <w:t>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421" w:type="dxa"/>
            <w:tcBorders/>
            <w:shd w:fill="FFFFFF" w:val="clear"/>
            <w:vAlign w:val="center"/>
          </w:tcPr>
          <w:p>
            <w:pPr>
              <w:pStyle w:val="TableContents"/>
              <w:bidi w:val="0"/>
              <w:spacing w:before="0" w:after="283"/>
              <w:jc w:val="right"/>
              <w:rPr/>
            </w:pPr>
            <w:r>
              <w:rPr/>
              <w:t>3,410,000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3,395,000</w:t>
            </w:r>
          </w:p>
        </w:tc>
        <w:tc>
          <w:tcPr>
            <w:tcW w:w="110" w:type="dxa"/>
            <w:tcBorders/>
            <w:shd w:fill="FFFFFF" w:val="clear"/>
            <w:vAlign w:val="center"/>
          </w:tcPr>
          <w:p>
            <w:pPr>
              <w:pStyle w:val="TableContents"/>
              <w:bidi w:val="0"/>
              <w:spacing w:before="0" w:after="283"/>
              <w:jc w:val="left"/>
              <w:rPr/>
            </w:pPr>
            <w:r>
              <w:rPr/>
              <w:t> </w:t>
            </w:r>
            <w:bookmarkStart w:id="333" w:name="xdx_402_eus-gaap--CapitalizedComputerSof"/>
            <w:bookmarkEnd w:id="333"/>
          </w:p>
        </w:tc>
      </w:tr>
      <w:tr>
        <w:trPr/>
        <w:tc>
          <w:tcPr>
            <w:tcW w:w="5030" w:type="dxa"/>
            <w:tcBorders/>
            <w:shd w:fill="CCEEFF" w:val="clear"/>
            <w:vAlign w:val="center"/>
          </w:tcPr>
          <w:p>
            <w:pPr>
              <w:pStyle w:val="TableContents"/>
              <w:bidi w:val="0"/>
              <w:spacing w:before="0" w:after="283"/>
              <w:jc w:val="left"/>
              <w:rPr/>
            </w:pPr>
            <w:r>
              <w:rPr/>
              <w:t>Acquired third-party software license for internal-use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1" w:type="dxa"/>
            <w:tcBorders>
              <w:bottom w:val="single" w:sz="8" w:space="0" w:color="000000"/>
            </w:tcBorders>
            <w:shd w:fill="CCEEFF" w:val="clear"/>
            <w:tcMar>
              <w:bottom w:w="28" w:type="dxa"/>
            </w:tcMar>
            <w:vAlign w:val="center"/>
          </w:tcPr>
          <w:p>
            <w:pPr>
              <w:pStyle w:val="TableContents"/>
              <w:bidi w:val="0"/>
              <w:spacing w:before="0" w:after="283"/>
              <w:jc w:val="right"/>
              <w:rPr/>
            </w:pPr>
            <w:r>
              <w:rPr/>
              <w:t>219,000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205,000</w:t>
            </w:r>
          </w:p>
        </w:tc>
        <w:tc>
          <w:tcPr>
            <w:tcW w:w="110" w:type="dxa"/>
            <w:tcBorders/>
            <w:shd w:fill="CCEEFF" w:val="clear"/>
            <w:vAlign w:val="center"/>
          </w:tcPr>
          <w:p>
            <w:pPr>
              <w:pStyle w:val="TableContents"/>
              <w:bidi w:val="0"/>
              <w:spacing w:before="0" w:after="283"/>
              <w:jc w:val="left"/>
              <w:rPr/>
            </w:pPr>
            <w:r>
              <w:rPr/>
              <w:t> </w:t>
            </w:r>
            <w:bookmarkStart w:id="334" w:name="xdx_402_eus-gaap--CapitalizedComputerSof"/>
            <w:bookmarkEnd w:id="334"/>
          </w:p>
        </w:tc>
      </w:tr>
      <w:tr>
        <w:trPr/>
        <w:tc>
          <w:tcPr>
            <w:tcW w:w="5030" w:type="dxa"/>
            <w:tcBorders/>
            <w:shd w:fill="FFFFFF" w:val="clear"/>
            <w:vAlign w:val="center"/>
          </w:tcPr>
          <w:p>
            <w:pPr>
              <w:pStyle w:val="TableContents"/>
              <w:bidi w:val="0"/>
              <w:spacing w:before="0" w:after="283"/>
              <w:jc w:val="left"/>
              <w:rPr/>
            </w:pPr>
            <w:r>
              <w:rPr/>
              <w:t>Total gross capitalized software for internal-use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pPr>
            <w:r>
              <w:rPr/>
              <w:t>3,629,000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3,600,000</w:t>
            </w:r>
          </w:p>
        </w:tc>
        <w:tc>
          <w:tcPr>
            <w:tcW w:w="110" w:type="dxa"/>
            <w:tcBorders/>
            <w:shd w:fill="FFFFFF" w:val="clear"/>
            <w:vAlign w:val="center"/>
          </w:tcPr>
          <w:p>
            <w:pPr>
              <w:pStyle w:val="TableContents"/>
              <w:bidi w:val="0"/>
              <w:spacing w:before="0" w:after="283"/>
              <w:jc w:val="left"/>
              <w:rPr/>
            </w:pPr>
            <w:r>
              <w:rPr/>
              <w:t> </w:t>
            </w:r>
            <w:bookmarkStart w:id="335" w:name="xdx_401_eus-gaap--CapitalizedComputerSof"/>
            <w:bookmarkEnd w:id="335"/>
          </w:p>
        </w:tc>
      </w:tr>
      <w:tr>
        <w:trPr/>
        <w:tc>
          <w:tcPr>
            <w:tcW w:w="503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1" w:type="dxa"/>
            <w:tcBorders>
              <w:bottom w:val="single" w:sz="8" w:space="0" w:color="000000"/>
            </w:tcBorders>
            <w:shd w:fill="CCEEFF" w:val="clear"/>
            <w:tcMar>
              <w:bottom w:w="28" w:type="dxa"/>
            </w:tcMar>
            <w:vAlign w:val="center"/>
          </w:tcPr>
          <w:p>
            <w:pPr>
              <w:pStyle w:val="TableContents"/>
              <w:bidi w:val="0"/>
              <w:spacing w:before="0" w:after="283"/>
              <w:jc w:val="right"/>
              <w:rPr/>
            </w:pPr>
            <w:r>
              <w:rPr/>
              <w:t>(2,002,000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(1,849,000</w:t>
            </w:r>
          </w:p>
        </w:tc>
        <w:tc>
          <w:tcPr>
            <w:tcW w:w="110" w:type="dxa"/>
            <w:tcBorders/>
            <w:shd w:fill="CCEEFF" w:val="clear"/>
            <w:vAlign w:val="center"/>
          </w:tcPr>
          <w:p>
            <w:pPr>
              <w:pStyle w:val="TableContents"/>
              <w:bidi w:val="0"/>
              <w:spacing w:before="0" w:after="283"/>
              <w:jc w:val="left"/>
              <w:rPr/>
            </w:pPr>
            <w:r>
              <w:rPr/>
              <w:t>)</w:t>
            </w:r>
            <w:bookmarkStart w:id="336" w:name="xdx_405_eus-gaap--CapitalizedComputerSof"/>
            <w:bookmarkEnd w:id="336"/>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capitalized software costs net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1" w:type="dxa"/>
            <w:tcBorders>
              <w:bottom w:val="double" w:sz="6" w:space="0" w:color="000000"/>
            </w:tcBorders>
            <w:shd w:fill="FFFFFF" w:val="clear"/>
            <w:tcMar>
              <w:bottom w:w="28" w:type="dxa"/>
            </w:tcMar>
            <w:vAlign w:val="center"/>
          </w:tcPr>
          <w:p>
            <w:pPr>
              <w:pStyle w:val="TableContents"/>
              <w:bidi w:val="0"/>
              <w:spacing w:before="0" w:after="283"/>
              <w:jc w:val="right"/>
              <w:rPr/>
            </w:pPr>
            <w:r>
              <w:rPr/>
              <w:t>1,627,000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pPr>
            <w:r>
              <w:rPr/>
              <w:t>1,751,000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7" w:name="xdx_8AF_zLctQ3KT4hmi"/>
      <w:bookmarkEnd w:id="3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2024, the Company recorded amortization expense related to capitalized software costs of $</w:t>
      </w:r>
      <w:bookmarkStart w:id="338" w:name="xdx_903_eus-gaap--AdjustmentForAmortizat"/>
      <w:bookmarkEnd w:id="338"/>
      <w:r>
        <w:rPr>
          <w:rFonts w:ascii="Times New Roman;Times;Serif" w:hAnsi="Times New Roman;Times;Serif"/>
          <w:b w:val="false"/>
          <w:i w:val="false"/>
          <w:caps w:val="false"/>
          <w:smallCaps w:val="false"/>
          <w:sz w:val="20"/>
        </w:rPr>
        <w:t>153,000 and $</w:t>
      </w:r>
      <w:bookmarkStart w:id="339" w:name="xdx_902_eus-gaap--AdjustmentForAmortizat"/>
      <w:bookmarkEnd w:id="339"/>
      <w:r>
        <w:rPr>
          <w:rFonts w:ascii="Times New Roman;Times;Serif" w:hAnsi="Times New Roman;Times;Serif"/>
          <w:b w:val="false"/>
          <w:i w:val="false"/>
          <w:caps w:val="false"/>
          <w:smallCaps w:val="false"/>
          <w:sz w:val="20"/>
        </w:rPr>
        <w:t>136,000,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0" w:name="xdx_80C_eus-gaap--GoodwillAndIntangibleA"/>
      <w:bookmarkEnd w:id="340"/>
      <w:r>
        <w:rPr>
          <w:rFonts w:ascii="Times New Roman;Times;Serif" w:hAnsi="Times New Roman;Times;Serif"/>
          <w:b/>
          <w:i w:val="false"/>
          <w:caps w:val="false"/>
          <w:smallCaps w:val="false"/>
          <w:sz w:val="20"/>
        </w:rPr>
        <w:t xml:space="preserve">NOTE 8. </w:t>
      </w:r>
      <w:bookmarkStart w:id="341" w:name="xdx_82C_zuqb8aHXjEQ"/>
      <w:bookmarkEnd w:id="341"/>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42" w:name="xdx_894_eus-gaap--ScheduleOfIntangibleAs"/>
      <w:bookmarkEnd w:id="342"/>
      <w:r>
        <w:rPr>
          <w:rFonts w:ascii="Times New Roman;Times;Serif" w:hAnsi="Times New Roman;Times;Serif"/>
          <w:b w:val="false"/>
          <w:i w:val="false"/>
          <w:caps w:val="false"/>
          <w:smallCaps w:val="false"/>
          <w:sz w:val="20"/>
        </w:rPr>
        <w:t>The Company’s intangible assets at March 31, 2025 consisted of the following:</w:t>
      </w:r>
    </w:p>
    <w:p>
      <w:pPr>
        <w:pStyle w:val="TextBody"/>
        <w:bidi w:val="0"/>
        <w:spacing w:before="0" w:after="0"/>
        <w:ind w:left="0" w:right="0" w:hanging="0"/>
        <w:jc w:val="left"/>
        <w:rPr>
          <w:caps w:val="false"/>
          <w:smallCaps w:val="false"/>
        </w:rPr>
      </w:pPr>
      <w:r>
        <w:rPr>
          <w:caps w:val="false"/>
          <w:smallCaps w:val="false"/>
        </w:rPr>
        <w:t> </w:t>
      </w:r>
      <w:bookmarkStart w:id="343" w:name="xdx_8BF_zr7XFAjb4b33"/>
      <w:bookmarkEnd w:id="343"/>
      <w:r>
        <w:rPr>
          <w:rFonts w:ascii="Times New Roman;Times;Serif" w:hAnsi="Times New Roman;Times;Serif"/>
          <w:b w:val="false"/>
          <w:i w:val="false"/>
          <w:caps w:val="false"/>
          <w:smallCaps w:val="false"/>
          <w:sz w:val="20"/>
        </w:rPr>
        <w:t>SCHEDULE OF INTANGIBLE ASSETS</w:t>
      </w:r>
    </w:p>
    <w:tbl>
      <w:tblPr>
        <w:tblW w:w="10205" w:type="dxa"/>
        <w:jc w:val="left"/>
        <w:tblInd w:w="0" w:type="dxa"/>
        <w:tblLayout w:type="fixed"/>
        <w:tblCellMar>
          <w:top w:w="0" w:type="dxa"/>
          <w:left w:w="0" w:type="dxa"/>
          <w:bottom w:w="0" w:type="dxa"/>
          <w:right w:w="0" w:type="dxa"/>
        </w:tblCellMar>
      </w:tblPr>
      <w:tblGrid>
        <w:gridCol w:w="2276"/>
        <w:gridCol w:w="60"/>
        <w:gridCol w:w="2428"/>
        <w:gridCol w:w="60"/>
        <w:gridCol w:w="140"/>
        <w:gridCol w:w="1220"/>
        <w:gridCol w:w="60"/>
        <w:gridCol w:w="60"/>
        <w:gridCol w:w="140"/>
        <w:gridCol w:w="1175"/>
        <w:gridCol w:w="95"/>
        <w:gridCol w:w="60"/>
        <w:gridCol w:w="521"/>
        <w:gridCol w:w="354"/>
        <w:gridCol w:w="60"/>
        <w:gridCol w:w="60"/>
        <w:gridCol w:w="140"/>
        <w:gridCol w:w="1220"/>
        <w:gridCol w:w="76"/>
      </w:tblGrid>
      <w:tr>
        <w:trPr/>
        <w:tc>
          <w:tcPr>
            <w:tcW w:w="22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2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Disposal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76" w:type="dxa"/>
            <w:tcBorders/>
            <w:vAlign w:val="center"/>
          </w:tcPr>
          <w:p>
            <w:pPr>
              <w:pStyle w:val="TableContents"/>
              <w:bidi w:val="0"/>
              <w:spacing w:before="0" w:after="283"/>
              <w:jc w:val="left"/>
              <w:rPr/>
            </w:pPr>
            <w:r>
              <w:rPr/>
              <w:t> </w:t>
            </w:r>
          </w:p>
        </w:tc>
      </w:tr>
      <w:tr>
        <w:trPr/>
        <w:tc>
          <w:tcPr>
            <w:tcW w:w="2276"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2428" w:type="dxa"/>
            <w:tcBorders/>
            <w:shd w:fill="CCEEFF" w:val="clear"/>
            <w:vAlign w:val="center"/>
          </w:tcPr>
          <w:p>
            <w:pPr>
              <w:pStyle w:val="TableContents"/>
              <w:bidi w:val="0"/>
              <w:spacing w:before="0" w:after="283"/>
              <w:jc w:val="center"/>
              <w:rPr/>
            </w:pPr>
            <w:bookmarkStart w:id="344" w:name="xdx_909_eus-gaap--FiniteLivedIntangibleA"/>
            <w:bookmarkEnd w:id="344"/>
            <w:r>
              <w:rPr/>
              <w:t>19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45" w:name="xdx_987_eus-gaap--FiniteLivedIntangibleA"/>
            <w:bookmarkEnd w:id="345"/>
          </w:p>
        </w:tc>
        <w:tc>
          <w:tcPr>
            <w:tcW w:w="1220" w:type="dxa"/>
            <w:tcBorders/>
            <w:shd w:fill="CCEEFF" w:val="clear"/>
            <w:vAlign w:val="center"/>
          </w:tcPr>
          <w:p>
            <w:pPr>
              <w:pStyle w:val="TableContents"/>
              <w:bidi w:val="0"/>
              <w:spacing w:before="0" w:after="283"/>
              <w:jc w:val="right"/>
              <w:rPr/>
            </w:pPr>
            <w:r>
              <w:rPr/>
              <w:t>212,000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46" w:name="xdx_988_eus-gaap--FiniteLivedIntangibleA"/>
            <w:bookmarkEnd w:id="346"/>
          </w:p>
        </w:tc>
        <w:tc>
          <w:tcPr>
            <w:tcW w:w="1175" w:type="dxa"/>
            <w:tcBorders/>
            <w:shd w:fill="CCEEFF" w:val="clear"/>
            <w:vAlign w:val="center"/>
          </w:tcPr>
          <w:p>
            <w:pPr>
              <w:pStyle w:val="TableContents"/>
              <w:bidi w:val="0"/>
              <w:spacing w:before="0" w:after="283"/>
              <w:jc w:val="right"/>
              <w:rPr/>
            </w:pPr>
            <w:r>
              <w:rPr/>
              <w:t>(56,000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bookmarkStart w:id="347" w:name="xdx_98C_ecustom--FiniteLivedIntangibleAs"/>
            <w:bookmarkEnd w:id="347"/>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48" w:name="xdx_982_eus-gaap--IntangibleAssetsNetExc"/>
            <w:bookmarkEnd w:id="348"/>
          </w:p>
        </w:tc>
        <w:tc>
          <w:tcPr>
            <w:tcW w:w="1220" w:type="dxa"/>
            <w:tcBorders/>
            <w:shd w:fill="CCEEFF" w:val="clear"/>
            <w:vAlign w:val="center"/>
          </w:tcPr>
          <w:p>
            <w:pPr>
              <w:pStyle w:val="TableContents"/>
              <w:bidi w:val="0"/>
              <w:spacing w:before="0" w:after="283"/>
              <w:jc w:val="right"/>
              <w:rPr/>
            </w:pPr>
            <w:r>
              <w:rPr/>
              <w:t>156,000</w:t>
            </w:r>
          </w:p>
        </w:tc>
        <w:tc>
          <w:tcPr>
            <w:tcW w:w="76" w:type="dxa"/>
            <w:tcBorders/>
            <w:shd w:fill="CCEEFF" w:val="clear"/>
            <w:vAlign w:val="center"/>
          </w:tcPr>
          <w:p>
            <w:pPr>
              <w:pStyle w:val="TableContents"/>
              <w:bidi w:val="0"/>
              <w:spacing w:before="0" w:after="283"/>
              <w:jc w:val="left"/>
              <w:rPr/>
            </w:pPr>
            <w:r>
              <w:rPr/>
              <w:t> </w:t>
            </w:r>
          </w:p>
        </w:tc>
      </w:tr>
      <w:tr>
        <w:trPr/>
        <w:tc>
          <w:tcPr>
            <w:tcW w:w="2276"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2428" w:type="dxa"/>
            <w:tcBorders/>
            <w:shd w:fill="FFFFFF" w:val="clear"/>
            <w:vAlign w:val="center"/>
          </w:tcPr>
          <w:p>
            <w:pPr>
              <w:pStyle w:val="TableContents"/>
              <w:bidi w:val="0"/>
              <w:spacing w:before="0" w:after="283"/>
              <w:jc w:val="center"/>
              <w:rPr/>
            </w:pPr>
            <w:bookmarkStart w:id="349" w:name="xdx_903_eus-gaap--FiniteLivedIntangibleA"/>
            <w:bookmarkEnd w:id="349"/>
            <w:r>
              <w:rPr/>
              <w:t>20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0" w:name="xdx_98D_eus-gaap--FiniteLivedIntangibleA"/>
            <w:bookmarkEnd w:id="350"/>
          </w:p>
        </w:tc>
        <w:tc>
          <w:tcPr>
            <w:tcW w:w="1220"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1" w:name="xdx_985_eus-gaap--FiniteLivedIntangibleA"/>
            <w:bookmarkEnd w:id="351"/>
          </w:p>
        </w:tc>
        <w:tc>
          <w:tcPr>
            <w:tcW w:w="1175" w:type="dxa"/>
            <w:tcBorders/>
            <w:shd w:fill="FFFFFF" w:val="clear"/>
            <w:vAlign w:val="center"/>
          </w:tcPr>
          <w:p>
            <w:pPr>
              <w:pStyle w:val="TableContents"/>
              <w:bidi w:val="0"/>
              <w:spacing w:before="0" w:after="283"/>
              <w:jc w:val="right"/>
              <w:rPr/>
            </w:pPr>
            <w:r>
              <w:rPr/>
              <w:t>(37,000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bookmarkStart w:id="352" w:name="xdx_982_ecustom--FiniteLivedIntangibleAs"/>
            <w:bookmarkEnd w:id="352"/>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3" w:name="xdx_981_eus-gaap--IntangibleAssetsNetExc"/>
            <w:bookmarkEnd w:id="353"/>
          </w:p>
        </w:tc>
        <w:tc>
          <w:tcPr>
            <w:tcW w:w="1220" w:type="dxa"/>
            <w:tcBorders/>
            <w:shd w:fill="FFFFFF" w:val="clear"/>
            <w:vAlign w:val="center"/>
          </w:tcPr>
          <w:p>
            <w:pPr>
              <w:pStyle w:val="TableContents"/>
              <w:bidi w:val="0"/>
              <w:spacing w:before="0" w:after="283"/>
              <w:jc w:val="right"/>
              <w:rPr/>
            </w:pPr>
            <w:r>
              <w:rPr/>
              <w:t>13,000</w:t>
            </w:r>
          </w:p>
        </w:tc>
        <w:tc>
          <w:tcPr>
            <w:tcW w:w="76" w:type="dxa"/>
            <w:tcBorders/>
            <w:shd w:fill="FFFFFF" w:val="clear"/>
            <w:vAlign w:val="center"/>
          </w:tcPr>
          <w:p>
            <w:pPr>
              <w:pStyle w:val="TableContents"/>
              <w:bidi w:val="0"/>
              <w:spacing w:before="0" w:after="283"/>
              <w:jc w:val="left"/>
              <w:rPr/>
            </w:pPr>
            <w:r>
              <w:rPr/>
              <w:t> </w:t>
            </w:r>
          </w:p>
        </w:tc>
      </w:tr>
      <w:tr>
        <w:trPr/>
        <w:tc>
          <w:tcPr>
            <w:tcW w:w="2276"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2428" w:type="dxa"/>
            <w:tcBorders/>
            <w:shd w:fill="CCEEFF" w:val="clear"/>
            <w:vAlign w:val="center"/>
          </w:tcPr>
          <w:p>
            <w:pPr>
              <w:pStyle w:val="TableContents"/>
              <w:bidi w:val="0"/>
              <w:spacing w:before="0" w:after="283"/>
              <w:jc w:val="center"/>
              <w:rPr/>
            </w:pPr>
            <w:bookmarkStart w:id="354" w:name="xdx_905_eus-gaap--FiniteLivedIntangibleA"/>
            <w:bookmarkEnd w:id="354"/>
            <w:r>
              <w:rPr/>
              <w:t>Indefinite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55" w:name="xdx_98B_eus-gaap--FiniteLivedIntangibleA"/>
            <w:bookmarkEnd w:id="355"/>
          </w:p>
        </w:tc>
        <w:tc>
          <w:tcPr>
            <w:tcW w:w="1220" w:type="dxa"/>
            <w:tcBorders/>
            <w:shd w:fill="CCEEFF" w:val="clear"/>
            <w:vAlign w:val="center"/>
          </w:tcPr>
          <w:p>
            <w:pPr>
              <w:pStyle w:val="TableContents"/>
              <w:bidi w:val="0"/>
              <w:spacing w:before="0" w:after="283"/>
              <w:jc w:val="right"/>
              <w:rPr/>
            </w:pPr>
            <w:r>
              <w:rPr/>
              <w:t>256,000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56" w:name="xdx_982_eus-gaap--FiniteLivedIntangibleA"/>
            <w:bookmarkEnd w:id="356"/>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bookmarkStart w:id="357" w:name="xdx_985_ecustom--FiniteLivedIntangibleAs"/>
            <w:bookmarkEnd w:id="357"/>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58" w:name="xdx_980_eus-gaap--IntangibleAssetsNetExc"/>
            <w:bookmarkEnd w:id="358"/>
          </w:p>
        </w:tc>
        <w:tc>
          <w:tcPr>
            <w:tcW w:w="1220" w:type="dxa"/>
            <w:tcBorders/>
            <w:shd w:fill="CCEEFF" w:val="clear"/>
            <w:vAlign w:val="center"/>
          </w:tcPr>
          <w:p>
            <w:pPr>
              <w:pStyle w:val="TableContents"/>
              <w:bidi w:val="0"/>
              <w:spacing w:before="0" w:after="283"/>
              <w:jc w:val="right"/>
              <w:rPr/>
            </w:pPr>
            <w:r>
              <w:rPr/>
              <w:t>256,000</w:t>
            </w:r>
          </w:p>
        </w:tc>
        <w:tc>
          <w:tcPr>
            <w:tcW w:w="76" w:type="dxa"/>
            <w:tcBorders/>
            <w:shd w:fill="CCEEFF" w:val="clear"/>
            <w:vAlign w:val="center"/>
          </w:tcPr>
          <w:p>
            <w:pPr>
              <w:pStyle w:val="TableContents"/>
              <w:bidi w:val="0"/>
              <w:spacing w:before="0" w:after="283"/>
              <w:jc w:val="left"/>
              <w:rPr/>
            </w:pPr>
            <w:r>
              <w:rPr/>
              <w:t> </w:t>
            </w:r>
          </w:p>
        </w:tc>
      </w:tr>
      <w:tr>
        <w:trPr/>
        <w:tc>
          <w:tcPr>
            <w:tcW w:w="2276" w:type="dxa"/>
            <w:tcBorders/>
            <w:shd w:fill="FFFFFF" w:val="clear"/>
            <w:vAlign w:val="center"/>
          </w:tcPr>
          <w:p>
            <w:pPr>
              <w:pStyle w:val="TableContents"/>
              <w:bidi w:val="0"/>
              <w:spacing w:before="0" w:after="283"/>
              <w:jc w:val="left"/>
              <w:rPr/>
            </w:pPr>
            <w:r>
              <w:rPr/>
              <w:t>Acquired NDAs</w:t>
            </w:r>
          </w:p>
        </w:tc>
        <w:tc>
          <w:tcPr>
            <w:tcW w:w="60" w:type="dxa"/>
            <w:tcBorders/>
            <w:shd w:fill="FFFFFF" w:val="clear"/>
            <w:vAlign w:val="center"/>
          </w:tcPr>
          <w:p>
            <w:pPr>
              <w:pStyle w:val="TableContents"/>
              <w:bidi w:val="0"/>
              <w:spacing w:before="0" w:after="283"/>
              <w:jc w:val="left"/>
              <w:rPr/>
            </w:pPr>
            <w:r>
              <w:rPr/>
              <w:t> </w:t>
            </w:r>
          </w:p>
        </w:tc>
        <w:tc>
          <w:tcPr>
            <w:tcW w:w="2428" w:type="dxa"/>
            <w:tcBorders/>
            <w:shd w:fill="FFFFFF" w:val="clear"/>
            <w:vAlign w:val="center"/>
          </w:tcPr>
          <w:p>
            <w:pPr>
              <w:pStyle w:val="TableContents"/>
              <w:bidi w:val="0"/>
              <w:spacing w:before="0" w:after="283"/>
              <w:jc w:val="center"/>
              <w:rPr/>
            </w:pPr>
            <w:bookmarkStart w:id="359" w:name="xdx_906_eus-gaap--FiniteLivedIntangibleA"/>
            <w:bookmarkEnd w:id="359"/>
            <w:r>
              <w:rPr/>
              <w:t>14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0" w:name="xdx_98F_eus-gaap--FiniteLivedIntangibleA"/>
            <w:bookmarkEnd w:id="360"/>
          </w:p>
        </w:tc>
        <w:tc>
          <w:tcPr>
            <w:tcW w:w="1220" w:type="dxa"/>
            <w:tcBorders/>
            <w:shd w:fill="FFFFFF" w:val="clear"/>
            <w:vAlign w:val="center"/>
          </w:tcPr>
          <w:p>
            <w:pPr>
              <w:pStyle w:val="TableContents"/>
              <w:bidi w:val="0"/>
              <w:spacing w:before="0" w:after="283"/>
              <w:jc w:val="right"/>
              <w:rPr/>
            </w:pPr>
            <w:r>
              <w:rPr/>
              <w:t>207,398,000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1" w:name="xdx_981_eus-gaap--FiniteLivedIntangibleA"/>
            <w:bookmarkEnd w:id="361"/>
          </w:p>
        </w:tc>
        <w:tc>
          <w:tcPr>
            <w:tcW w:w="1175" w:type="dxa"/>
            <w:tcBorders/>
            <w:shd w:fill="FFFFFF" w:val="clear"/>
            <w:vAlign w:val="center"/>
          </w:tcPr>
          <w:p>
            <w:pPr>
              <w:pStyle w:val="TableContents"/>
              <w:bidi w:val="0"/>
              <w:spacing w:before="0" w:after="283"/>
              <w:jc w:val="right"/>
              <w:rPr/>
            </w:pPr>
            <w:r>
              <w:rPr/>
              <w:t>(27,180,000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bookmarkStart w:id="362" w:name="xdx_98B_ecustom--FiniteLivedIntangibleAs"/>
            <w:bookmarkEnd w:id="362"/>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63" w:name="xdx_989_eus-gaap--IntangibleAssetsNetExc"/>
            <w:bookmarkEnd w:id="363"/>
          </w:p>
        </w:tc>
        <w:tc>
          <w:tcPr>
            <w:tcW w:w="1220" w:type="dxa"/>
            <w:tcBorders/>
            <w:shd w:fill="FFFFFF" w:val="clear"/>
            <w:vAlign w:val="center"/>
          </w:tcPr>
          <w:p>
            <w:pPr>
              <w:pStyle w:val="TableContents"/>
              <w:bidi w:val="0"/>
              <w:spacing w:before="0" w:after="283"/>
              <w:jc w:val="right"/>
              <w:rPr/>
            </w:pPr>
            <w:r>
              <w:rPr/>
              <w:t>180,218,000</w:t>
            </w:r>
          </w:p>
        </w:tc>
        <w:tc>
          <w:tcPr>
            <w:tcW w:w="76" w:type="dxa"/>
            <w:tcBorders/>
            <w:shd w:fill="FFFFFF" w:val="clear"/>
            <w:vAlign w:val="center"/>
          </w:tcPr>
          <w:p>
            <w:pPr>
              <w:pStyle w:val="TableContents"/>
              <w:bidi w:val="0"/>
              <w:spacing w:before="0" w:after="283"/>
              <w:jc w:val="left"/>
              <w:rPr/>
            </w:pPr>
            <w:r>
              <w:rPr/>
              <w:t> </w:t>
            </w:r>
          </w:p>
        </w:tc>
      </w:tr>
      <w:tr>
        <w:trPr/>
        <w:tc>
          <w:tcPr>
            <w:tcW w:w="2276"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2428" w:type="dxa"/>
            <w:tcBorders/>
            <w:shd w:fill="CCEEFF" w:val="clear"/>
            <w:vAlign w:val="center"/>
          </w:tcPr>
          <w:p>
            <w:pPr>
              <w:pStyle w:val="TableContents"/>
              <w:bidi w:val="0"/>
              <w:spacing w:before="0" w:after="283"/>
              <w:jc w:val="center"/>
              <w:rPr/>
            </w:pPr>
            <w:bookmarkStart w:id="364" w:name="xdx_909_eus-gaap--FiniteLivedIntangibleA"/>
            <w:bookmarkEnd w:id="364"/>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65" w:name="xdx_985_eus-gaap--FiniteLivedIntangibleA"/>
            <w:bookmarkEnd w:id="365"/>
          </w:p>
        </w:tc>
        <w:tc>
          <w:tcPr>
            <w:tcW w:w="1220" w:type="dxa"/>
            <w:tcBorders/>
            <w:shd w:fill="CCEEFF" w:val="clear"/>
            <w:vAlign w:val="center"/>
          </w:tcPr>
          <w:p>
            <w:pPr>
              <w:pStyle w:val="TableContents"/>
              <w:bidi w:val="0"/>
              <w:spacing w:before="0" w:after="283"/>
              <w:jc w:val="right"/>
              <w:rPr/>
            </w:pPr>
            <w:r>
              <w:rPr/>
              <w:t>596,000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66" w:name="xdx_989_eus-gaap--FiniteLivedIntangibleA"/>
            <w:bookmarkEnd w:id="366"/>
          </w:p>
        </w:tc>
        <w:tc>
          <w:tcPr>
            <w:tcW w:w="1175" w:type="dxa"/>
            <w:tcBorders/>
            <w:shd w:fill="CCEEFF" w:val="clear"/>
            <w:vAlign w:val="center"/>
          </w:tcPr>
          <w:p>
            <w:pPr>
              <w:pStyle w:val="TableContents"/>
              <w:bidi w:val="0"/>
              <w:spacing w:before="0" w:after="283"/>
              <w:jc w:val="right"/>
              <w:rPr/>
            </w:pPr>
            <w:r>
              <w:rPr/>
              <w:t>(545,000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bookmarkStart w:id="367" w:name="xdx_989_ecustom--FiniteLivedIntangibleAs"/>
            <w:bookmarkEnd w:id="367"/>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68" w:name="xdx_986_eus-gaap--IntangibleAssetsNetExc"/>
            <w:bookmarkEnd w:id="368"/>
          </w:p>
        </w:tc>
        <w:tc>
          <w:tcPr>
            <w:tcW w:w="1220" w:type="dxa"/>
            <w:tcBorders/>
            <w:shd w:fill="CCEEFF" w:val="clear"/>
            <w:vAlign w:val="center"/>
          </w:tcPr>
          <w:p>
            <w:pPr>
              <w:pStyle w:val="TableContents"/>
              <w:bidi w:val="0"/>
              <w:spacing w:before="0" w:after="283"/>
              <w:jc w:val="right"/>
              <w:rPr/>
            </w:pPr>
            <w:r>
              <w:rPr/>
              <w:t>51,000</w:t>
            </w:r>
          </w:p>
        </w:tc>
        <w:tc>
          <w:tcPr>
            <w:tcW w:w="76" w:type="dxa"/>
            <w:tcBorders/>
            <w:shd w:fill="CCEEFF" w:val="clear"/>
            <w:vAlign w:val="center"/>
          </w:tcPr>
          <w:p>
            <w:pPr>
              <w:pStyle w:val="TableContents"/>
              <w:bidi w:val="0"/>
              <w:spacing w:before="0" w:after="283"/>
              <w:jc w:val="left"/>
              <w:rPr/>
            </w:pPr>
            <w:r>
              <w:rPr/>
              <w:t> </w:t>
            </w:r>
          </w:p>
        </w:tc>
      </w:tr>
      <w:tr>
        <w:trPr/>
        <w:tc>
          <w:tcPr>
            <w:tcW w:w="2276"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2428" w:type="dxa"/>
            <w:tcBorders/>
            <w:shd w:fill="FFFFFF" w:val="clear"/>
            <w:vAlign w:val="center"/>
          </w:tcPr>
          <w:p>
            <w:pPr>
              <w:pStyle w:val="TableContents"/>
              <w:bidi w:val="0"/>
              <w:spacing w:before="0" w:after="283"/>
              <w:jc w:val="center"/>
              <w:rPr/>
            </w:pPr>
            <w:bookmarkStart w:id="369" w:name="xdx_901_eus-gaap--FiniteLivedIntangibleA"/>
            <w:bookmarkEnd w:id="369"/>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0" w:name="xdx_98D_eus-gaap--FiniteLivedIntangibleA"/>
            <w:bookmarkEnd w:id="370"/>
          </w:p>
        </w:tc>
        <w:tc>
          <w:tcPr>
            <w:tcW w:w="1220" w:type="dxa"/>
            <w:tcBorders/>
            <w:shd w:fill="FFFFFF" w:val="clear"/>
            <w:vAlign w:val="center"/>
          </w:tcPr>
          <w:p>
            <w:pPr>
              <w:pStyle w:val="TableContents"/>
              <w:bidi w:val="0"/>
              <w:spacing w:before="0" w:after="283"/>
              <w:jc w:val="right"/>
              <w:rPr/>
            </w:pPr>
            <w:r>
              <w:rPr/>
              <w:t>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1" w:name="xdx_98A_eus-gaap--FiniteLivedIntangibleA"/>
            <w:bookmarkEnd w:id="371"/>
          </w:p>
        </w:tc>
        <w:tc>
          <w:tcPr>
            <w:tcW w:w="1175" w:type="dxa"/>
            <w:tcBorders/>
            <w:shd w:fill="FFFFFF" w:val="clear"/>
            <w:vAlign w:val="center"/>
          </w:tcPr>
          <w:p>
            <w:pPr>
              <w:pStyle w:val="TableContents"/>
              <w:bidi w:val="0"/>
              <w:spacing w:before="0" w:after="283"/>
              <w:jc w:val="right"/>
              <w:rPr/>
            </w:pPr>
            <w:r>
              <w:rPr/>
              <w:t>(3,000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bookmarkStart w:id="372" w:name="xdx_98B_ecustom--FiniteLivedIntangibleAs"/>
            <w:bookmarkEnd w:id="372"/>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3" w:name="xdx_989_eus-gaap--IntangibleAssetsNetExc"/>
            <w:bookmarkEnd w:id="373"/>
          </w:p>
        </w:tc>
        <w:tc>
          <w:tcPr>
            <w:tcW w:w="1220" w:type="dxa"/>
            <w:tcBorders/>
            <w:shd w:fill="FFFFFF" w:val="clear"/>
            <w:vAlign w:val="center"/>
          </w:tcPr>
          <w:p>
            <w:pPr>
              <w:pStyle w:val="TableContents"/>
              <w:bidi w:val="0"/>
              <w:spacing w:before="0" w:after="283"/>
              <w:jc w:val="right"/>
              <w:rPr/>
            </w:pPr>
            <w:r>
              <w:rPr/>
              <w:t>67,000</w:t>
            </w:r>
          </w:p>
        </w:tc>
        <w:tc>
          <w:tcPr>
            <w:tcW w:w="76" w:type="dxa"/>
            <w:tcBorders/>
            <w:shd w:fill="FFFFFF" w:val="clear"/>
            <w:vAlign w:val="center"/>
          </w:tcPr>
          <w:p>
            <w:pPr>
              <w:pStyle w:val="TableContents"/>
              <w:bidi w:val="0"/>
              <w:spacing w:before="0" w:after="283"/>
              <w:jc w:val="left"/>
              <w:rPr/>
            </w:pPr>
            <w:r>
              <w:rPr/>
              <w:t> </w:t>
            </w:r>
          </w:p>
        </w:tc>
      </w:tr>
      <w:tr>
        <w:trPr/>
        <w:tc>
          <w:tcPr>
            <w:tcW w:w="2276" w:type="dxa"/>
            <w:tcBorders/>
            <w:shd w:fill="CCEEFF" w:val="clear"/>
            <w:vAlign w:val="center"/>
          </w:tcPr>
          <w:p>
            <w:pPr>
              <w:pStyle w:val="TableContents"/>
              <w:bidi w:val="0"/>
              <w:spacing w:before="0" w:after="283"/>
              <w:jc w:val="left"/>
              <w:rPr/>
            </w:pPr>
            <w:r>
              <w:rPr/>
              <w:t>State pharmacy licenses</w:t>
            </w:r>
          </w:p>
        </w:tc>
        <w:tc>
          <w:tcPr>
            <w:tcW w:w="60" w:type="dxa"/>
            <w:tcBorders/>
            <w:shd w:fill="CCEEFF" w:val="clear"/>
            <w:vAlign w:val="center"/>
          </w:tcPr>
          <w:p>
            <w:pPr>
              <w:pStyle w:val="TableContents"/>
              <w:bidi w:val="0"/>
              <w:spacing w:before="0" w:after="283"/>
              <w:jc w:val="left"/>
              <w:rPr/>
            </w:pPr>
            <w:r>
              <w:rPr/>
              <w:t> </w:t>
            </w:r>
          </w:p>
        </w:tc>
        <w:tc>
          <w:tcPr>
            <w:tcW w:w="2428" w:type="dxa"/>
            <w:tcBorders/>
            <w:shd w:fill="CCEEFF" w:val="clear"/>
            <w:vAlign w:val="center"/>
          </w:tcPr>
          <w:p>
            <w:pPr>
              <w:pStyle w:val="TableContents"/>
              <w:bidi w:val="0"/>
              <w:spacing w:before="0" w:after="283"/>
              <w:jc w:val="center"/>
              <w:rPr/>
            </w:pPr>
            <w:bookmarkStart w:id="374" w:name="xdx_90D_eus-gaap--FiniteLivedIntangibleA"/>
            <w:bookmarkEnd w:id="374"/>
            <w:r>
              <w:rPr/>
              <w:t>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5" w:name="xdx_989_eus-gaap--FiniteLivedIntangibleA"/>
            <w:bookmarkEnd w:id="375"/>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6" w:name="xdx_984_eus-gaap--FiniteLivedIntangibleA"/>
            <w:bookmarkEnd w:id="376"/>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7" w:name="xdx_989_ecustom--FiniteLivedIntangibleAs"/>
            <w:bookmarkEnd w:id="377"/>
          </w:p>
        </w:tc>
        <w:tc>
          <w:tcPr>
            <w:tcW w:w="35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8" w:name="xdx_987_eus-gaap--IntangibleAssetsNetExc"/>
            <w:bookmarkEnd w:id="378"/>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4,000</w:t>
            </w:r>
          </w:p>
        </w:tc>
        <w:tc>
          <w:tcPr>
            <w:tcW w:w="76" w:type="dxa"/>
            <w:tcBorders/>
            <w:shd w:fill="CCEEFF" w:val="clear"/>
            <w:vAlign w:val="center"/>
          </w:tcPr>
          <w:p>
            <w:pPr>
              <w:pStyle w:val="TableContents"/>
              <w:bidi w:val="0"/>
              <w:spacing w:before="0" w:after="283"/>
              <w:jc w:val="left"/>
              <w:rPr/>
            </w:pPr>
            <w:r>
              <w:rPr/>
              <w:t> </w:t>
            </w:r>
          </w:p>
        </w:tc>
      </w:tr>
      <w:tr>
        <w:trPr/>
        <w:tc>
          <w:tcPr>
            <w:tcW w:w="22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79" w:name="xdx_988_eus-gaap--FiniteLivedIntangibleA"/>
            <w:bookmarkEnd w:id="379"/>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208,590,000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0" w:name="xdx_980_eus-gaap--FiniteLivedIntangibleA"/>
            <w:bookmarkEnd w:id="380"/>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(27,825,000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1" w:name="xdx_982_ecustom--FiniteLivedIntangibleAs"/>
            <w:bookmarkEnd w:id="381"/>
          </w:p>
        </w:tc>
        <w:tc>
          <w:tcPr>
            <w:tcW w:w="35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82" w:name="xdx_98D_eus-gaap--IntangibleAssetsNetExc"/>
            <w:bookmarkEnd w:id="382"/>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180,765,000</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3" w:name="xdx_8AE_zsQBZYcSIVbi"/>
      <w:bookmarkEnd w:id="3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4" w:name="xdx_89D_eus-gaap--FiniteLivedIntangibleA"/>
      <w:bookmarkEnd w:id="384"/>
      <w:r>
        <w:rPr>
          <w:rFonts w:ascii="Times New Roman;Times;Serif" w:hAnsi="Times New Roman;Times;Serif"/>
          <w:b w:val="false"/>
          <w:i w:val="false"/>
          <w:caps w:val="false"/>
          <w:smallCaps w:val="false"/>
          <w:sz w:val="20"/>
        </w:rPr>
        <w:t>Amortization expense for intangible assets for the three months ended March 31, 2025 and 2024 was as follows:</w:t>
      </w:r>
    </w:p>
    <w:p>
      <w:pPr>
        <w:pStyle w:val="TextBody"/>
        <w:bidi w:val="0"/>
        <w:spacing w:before="0" w:after="0"/>
        <w:ind w:left="0" w:right="0" w:hanging="0"/>
        <w:jc w:val="both"/>
        <w:rPr>
          <w:caps w:val="false"/>
          <w:smallCaps w:val="false"/>
        </w:rPr>
      </w:pPr>
      <w:r>
        <w:rPr>
          <w:caps w:val="false"/>
          <w:smallCaps w:val="false"/>
        </w:rPr>
        <w:t> </w:t>
      </w:r>
      <w:bookmarkStart w:id="385" w:name="xdx_8B7_zzfLKhge57s6"/>
      <w:bookmarkEnd w:id="385"/>
      <w:r>
        <w:rPr>
          <w:rFonts w:ascii="Times New Roman;Times;Serif" w:hAnsi="Times New Roman;Times;Serif"/>
          <w:b w:val="false"/>
          <w:i w:val="false"/>
          <w:caps w:val="false"/>
          <w:smallCaps w:val="false"/>
          <w:sz w:val="20"/>
        </w:rPr>
        <w:t>SCHEDULE OF AMORTIZATION EXPENSES FOR INTANGIBLE ASSETS</w:t>
      </w:r>
    </w:p>
    <w:tbl>
      <w:tblPr>
        <w:tblW w:w="6324" w:type="dxa"/>
        <w:jc w:val="left"/>
        <w:tblInd w:w="0" w:type="dxa"/>
        <w:tblLayout w:type="fixed"/>
        <w:tblCellMar>
          <w:top w:w="0" w:type="dxa"/>
          <w:left w:w="0" w:type="dxa"/>
          <w:bottom w:w="0" w:type="dxa"/>
          <w:right w:w="0" w:type="dxa"/>
        </w:tblCellMar>
      </w:tblPr>
      <w:tblGrid>
        <w:gridCol w:w="3425"/>
        <w:gridCol w:w="60"/>
        <w:gridCol w:w="164"/>
        <w:gridCol w:w="1148"/>
        <w:gridCol w:w="70"/>
        <w:gridCol w:w="70"/>
        <w:gridCol w:w="164"/>
        <w:gridCol w:w="1148"/>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6" w:name="xdx_49F_20250101__20250331_zaVLgX0V0LC5"/>
            <w:bookmarkEnd w:id="386"/>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387" w:name="xdx_493_20240101__20240331_zSw8tkDCcmR7"/>
            <w:bookmarkEnd w:id="387"/>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vAlign w:val="center"/>
          </w:tcPr>
          <w:p>
            <w:pPr>
              <w:pStyle w:val="TableContents"/>
              <w:bidi w:val="0"/>
              <w:spacing w:before="0" w:after="283"/>
              <w:jc w:val="center"/>
              <w:rPr/>
            </w:pPr>
            <w:r>
              <w:rPr/>
              <w:t>For the Three Months Ended</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bottom w:val="single" w:sz="8" w:space="0" w:color="000000"/>
            </w:tcBorders>
            <w:tcMar>
              <w:bottom w:w="28" w:type="dxa"/>
            </w:tcMar>
            <w:vAlign w:val="center"/>
          </w:tcPr>
          <w:p>
            <w:pPr>
              <w:pStyle w:val="TableContents"/>
              <w:bidi w:val="0"/>
              <w:spacing w:before="0" w:after="283"/>
              <w:jc w:val="center"/>
              <w:rPr/>
            </w:pPr>
            <w:r>
              <w:rPr/>
              <w:t>March 31,</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388" w:name="xdx_401_eus-gaap--AmortizationOfIntangib"/>
            <w:bookmarkEnd w:id="388"/>
          </w:p>
        </w:tc>
      </w:tr>
      <w:tr>
        <w:trPr/>
        <w:tc>
          <w:tcPr>
            <w:tcW w:w="34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3,000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14,000</w:t>
            </w:r>
          </w:p>
        </w:tc>
        <w:tc>
          <w:tcPr>
            <w:tcW w:w="75" w:type="dxa"/>
            <w:tcBorders/>
            <w:shd w:fill="CCEEFF" w:val="clear"/>
            <w:vAlign w:val="center"/>
          </w:tcPr>
          <w:p>
            <w:pPr>
              <w:pStyle w:val="TableContents"/>
              <w:bidi w:val="0"/>
              <w:spacing w:before="0" w:after="283"/>
              <w:jc w:val="left"/>
              <w:rPr/>
            </w:pPr>
            <w:r>
              <w:rPr/>
              <w:t> </w:t>
            </w:r>
            <w:bookmarkStart w:id="389" w:name="xdx_40A_eus-gaap--AmortizationOfIntangib"/>
            <w:bookmarkEnd w:id="389"/>
          </w:p>
        </w:tc>
      </w:tr>
      <w:tr>
        <w:trPr/>
        <w:tc>
          <w:tcPr>
            <w:tcW w:w="3425" w:type="dxa"/>
            <w:tcBorders/>
            <w:shd w:fill="FFFFFF" w:val="clear"/>
            <w:vAlign w:val="center"/>
          </w:tcPr>
          <w:p>
            <w:pPr>
              <w:pStyle w:val="TableContents"/>
              <w:bidi w:val="0"/>
              <w:spacing w:before="0" w:after="283"/>
              <w:jc w:val="left"/>
              <w:rPr/>
            </w:pPr>
            <w:r>
              <w:rPr/>
              <w:t>Acquired NDAs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4,220,000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sz w:val="20"/>
              </w:rPr>
            </w:pPr>
            <w:r>
              <w:rPr>
                <w:sz w:val="20"/>
              </w:rPr>
              <w:t>2,530 ,000</w:t>
            </w:r>
          </w:p>
        </w:tc>
        <w:tc>
          <w:tcPr>
            <w:tcW w:w="75" w:type="dxa"/>
            <w:tcBorders/>
            <w:shd w:fill="FFFFFF" w:val="clear"/>
            <w:vAlign w:val="center"/>
          </w:tcPr>
          <w:p>
            <w:pPr>
              <w:pStyle w:val="TableContents"/>
              <w:bidi w:val="0"/>
              <w:spacing w:before="0" w:after="283"/>
              <w:jc w:val="left"/>
              <w:rPr/>
            </w:pPr>
            <w:r>
              <w:rPr/>
              <w:t> </w:t>
            </w:r>
            <w:bookmarkStart w:id="390" w:name="xdx_40B_eus-gaap--AmortizationOfIntangib"/>
            <w:bookmarkEnd w:id="390"/>
          </w:p>
        </w:tc>
      </w:tr>
      <w:tr>
        <w:trPr/>
        <w:tc>
          <w:tcPr>
            <w:tcW w:w="342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3,000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bookmarkStart w:id="391" w:name="xdx_40C_eus-gaap--AmortizationOfIntangib"/>
            <w:bookmarkEnd w:id="391"/>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expense of intangible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4,226,000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2,554,000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92" w:name="xdx_8A4_ziYOjNxfKY2e"/>
      <w:bookmarkEnd w:id="392"/>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93" w:name="xdx_892_eus-gaap--ScheduleofFiniteLivedI"/>
      <w:bookmarkEnd w:id="393"/>
      <w:r>
        <w:rPr>
          <w:rFonts w:ascii="Times New Roman;Times;Serif" w:hAnsi="Times New Roman;Times;Serif"/>
          <w:b w:val="false"/>
          <w:i w:val="false"/>
          <w:caps w:val="false"/>
          <w:smallCaps w:val="false"/>
          <w:sz w:val="20"/>
        </w:rPr>
        <w:t>Estimated future amortization expense for the Company’s intangible assets at March 31, 2025 was as follows:</w:t>
      </w:r>
    </w:p>
    <w:p>
      <w:pPr>
        <w:pStyle w:val="TextBody"/>
        <w:bidi w:val="0"/>
        <w:spacing w:before="0" w:after="0"/>
        <w:ind w:left="0" w:right="0" w:hanging="0"/>
        <w:jc w:val="left"/>
        <w:rPr>
          <w:caps w:val="false"/>
          <w:smallCaps w:val="false"/>
        </w:rPr>
      </w:pPr>
      <w:r>
        <w:rPr>
          <w:caps w:val="false"/>
          <w:smallCaps w:val="false"/>
        </w:rPr>
        <w:t> </w:t>
      </w:r>
      <w:bookmarkStart w:id="394" w:name="xdx_8B0_zmHcBGgyqJJf"/>
      <w:bookmarkEnd w:id="394"/>
      <w:r>
        <w:rPr>
          <w:rFonts w:ascii="Times New Roman;Times;Serif" w:hAnsi="Times New Roman;Times;Serif"/>
          <w:b w:val="false"/>
          <w:i w:val="false"/>
          <w:caps w:val="false"/>
          <w:smallCaps w:val="false"/>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5" w:name="xdx_493_20250331_zXoa8XBQt8we"/>
            <w:bookmarkEnd w:id="395"/>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6" w:name="xdx_404_eus-gaap--FiniteLivedIntangibleA"/>
            <w:bookmarkEnd w:id="396"/>
          </w:p>
        </w:tc>
      </w:tr>
      <w:tr>
        <w:trPr/>
        <w:tc>
          <w:tcPr>
            <w:tcW w:w="1865" w:type="dxa"/>
            <w:tcBorders/>
            <w:shd w:fill="CCEEFF" w:val="clear"/>
            <w:vAlign w:val="center"/>
          </w:tcPr>
          <w:p>
            <w:pPr>
              <w:pStyle w:val="TableContents"/>
              <w:bidi w:val="0"/>
              <w:spacing w:before="0" w:after="283"/>
              <w:jc w:val="left"/>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12,678,000</w:t>
            </w:r>
          </w:p>
        </w:tc>
        <w:tc>
          <w:tcPr>
            <w:tcW w:w="75" w:type="dxa"/>
            <w:tcBorders/>
            <w:shd w:fill="CCEEFF" w:val="clear"/>
            <w:vAlign w:val="center"/>
          </w:tcPr>
          <w:p>
            <w:pPr>
              <w:pStyle w:val="TableContents"/>
              <w:bidi w:val="0"/>
              <w:spacing w:before="0" w:after="283"/>
              <w:jc w:val="left"/>
              <w:rPr/>
            </w:pPr>
            <w:r>
              <w:rPr/>
              <w:t> </w:t>
            </w:r>
            <w:bookmarkStart w:id="397" w:name="xdx_408_eus-gaap--FiniteLivedIntangibleA"/>
            <w:bookmarkEnd w:id="397"/>
          </w:p>
        </w:tc>
      </w:tr>
      <w:tr>
        <w:trPr/>
        <w:tc>
          <w:tcPr>
            <w:tcW w:w="186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16,904,000</w:t>
            </w:r>
          </w:p>
        </w:tc>
        <w:tc>
          <w:tcPr>
            <w:tcW w:w="75" w:type="dxa"/>
            <w:tcBorders/>
            <w:shd w:fill="FFFFFF" w:val="clear"/>
            <w:vAlign w:val="center"/>
          </w:tcPr>
          <w:p>
            <w:pPr>
              <w:pStyle w:val="TableContents"/>
              <w:bidi w:val="0"/>
              <w:spacing w:before="0" w:after="283"/>
              <w:jc w:val="left"/>
              <w:rPr/>
            </w:pPr>
            <w:r>
              <w:rPr/>
              <w:t> </w:t>
            </w:r>
            <w:bookmarkStart w:id="398" w:name="xdx_40B_eus-gaap--FiniteLivedIntangibleA"/>
            <w:bookmarkEnd w:id="398"/>
          </w:p>
        </w:tc>
      </w:tr>
      <w:tr>
        <w:trPr/>
        <w:tc>
          <w:tcPr>
            <w:tcW w:w="186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16,613,000</w:t>
            </w:r>
          </w:p>
        </w:tc>
        <w:tc>
          <w:tcPr>
            <w:tcW w:w="75" w:type="dxa"/>
            <w:tcBorders/>
            <w:shd w:fill="CCEEFF" w:val="clear"/>
            <w:vAlign w:val="center"/>
          </w:tcPr>
          <w:p>
            <w:pPr>
              <w:pStyle w:val="TableContents"/>
              <w:bidi w:val="0"/>
              <w:spacing w:before="0" w:after="283"/>
              <w:jc w:val="left"/>
              <w:rPr/>
            </w:pPr>
            <w:r>
              <w:rPr/>
              <w:t> </w:t>
            </w:r>
            <w:bookmarkStart w:id="399" w:name="xdx_40C_eus-gaap--FiniteLivedIntangibleA"/>
            <w:bookmarkEnd w:id="399"/>
          </w:p>
        </w:tc>
      </w:tr>
      <w:tr>
        <w:trPr/>
        <w:tc>
          <w:tcPr>
            <w:tcW w:w="186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16,206,000</w:t>
            </w:r>
          </w:p>
        </w:tc>
        <w:tc>
          <w:tcPr>
            <w:tcW w:w="75" w:type="dxa"/>
            <w:tcBorders/>
            <w:shd w:fill="FFFFFF" w:val="clear"/>
            <w:vAlign w:val="center"/>
          </w:tcPr>
          <w:p>
            <w:pPr>
              <w:pStyle w:val="TableContents"/>
              <w:bidi w:val="0"/>
              <w:spacing w:before="0" w:after="283"/>
              <w:jc w:val="left"/>
              <w:rPr/>
            </w:pPr>
            <w:r>
              <w:rPr/>
              <w:t> </w:t>
            </w:r>
            <w:bookmarkStart w:id="400" w:name="xdx_400_eus-gaap--FiniteLivedIntangibleA"/>
            <w:bookmarkEnd w:id="400"/>
          </w:p>
        </w:tc>
      </w:tr>
      <w:tr>
        <w:trPr/>
        <w:tc>
          <w:tcPr>
            <w:tcW w:w="1865"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16,096,000</w:t>
            </w:r>
          </w:p>
        </w:tc>
        <w:tc>
          <w:tcPr>
            <w:tcW w:w="75" w:type="dxa"/>
            <w:tcBorders/>
            <w:shd w:fill="CCEEFF" w:val="clear"/>
            <w:vAlign w:val="center"/>
          </w:tcPr>
          <w:p>
            <w:pPr>
              <w:pStyle w:val="TableContents"/>
              <w:bidi w:val="0"/>
              <w:spacing w:before="0" w:after="283"/>
              <w:jc w:val="left"/>
              <w:rPr/>
            </w:pPr>
            <w:r>
              <w:rPr/>
              <w:t> </w:t>
            </w:r>
            <w:bookmarkStart w:id="401" w:name="xdx_401_ecustom--FiniteLivedIntangibleAs"/>
            <w:bookmarkEnd w:id="401"/>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102,012,000</w:t>
            </w:r>
          </w:p>
        </w:tc>
        <w:tc>
          <w:tcPr>
            <w:tcW w:w="75" w:type="dxa"/>
            <w:tcBorders/>
            <w:shd w:fill="FFFFFF" w:val="clear"/>
            <w:vAlign w:val="center"/>
          </w:tcPr>
          <w:p>
            <w:pPr>
              <w:pStyle w:val="TableContents"/>
              <w:bidi w:val="0"/>
              <w:spacing w:before="0" w:after="283"/>
              <w:jc w:val="left"/>
              <w:rPr/>
            </w:pPr>
            <w:r>
              <w:rPr/>
              <w:t> </w:t>
            </w:r>
            <w:bookmarkStart w:id="402" w:name="xdx_408_eus-gaap--FiniteLivedIntangibleA"/>
            <w:bookmarkEnd w:id="402"/>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180,509,000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03" w:name="xdx_8AA_zjrsBJCuXulg"/>
      <w:bookmarkEnd w:id="40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04" w:name="xdx_900_eus-gaap--GoodwillPeriodIncrease"/>
      <w:bookmarkStart w:id="405" w:name="xdx_906_eus-gaap--GoodwillPeriodIncrease"/>
      <w:bookmarkEnd w:id="404"/>
      <w:bookmarkEnd w:id="405"/>
      <w:r>
        <w:rPr>
          <w:rFonts w:ascii="Times New Roman;Times;Serif" w:hAnsi="Times New Roman;Times;Serif"/>
          <w:b w:val="false"/>
          <w:i w:val="false"/>
          <w:caps w:val="false"/>
          <w:smallCaps w:val="false"/>
          <w:sz w:val="20"/>
        </w:rPr>
        <w:t>no changes to the carrying value of the Company’s goodwill during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6" w:name="xdx_80A_eus-gaap--AccountsPayableAndAccr"/>
      <w:bookmarkEnd w:id="406"/>
      <w:r>
        <w:rPr>
          <w:rFonts w:ascii="Times New Roman;Times;Serif" w:hAnsi="Times New Roman;Times;Serif"/>
          <w:b/>
          <w:i w:val="false"/>
          <w:caps w:val="false"/>
          <w:smallCaps w:val="false"/>
          <w:sz w:val="20"/>
        </w:rPr>
        <w:t xml:space="preserve">NOTE 9. </w:t>
      </w:r>
      <w:bookmarkStart w:id="407" w:name="xdx_825_zTHxkQ1p0D2b"/>
      <w:bookmarkEnd w:id="407"/>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8" w:name="xdx_898_eus-gaap--ScheduleOfAccountsPaya"/>
      <w:bookmarkEnd w:id="408"/>
      <w:r>
        <w:rPr>
          <w:rFonts w:ascii="Times New Roman;Times;Serif" w:hAnsi="Times New Roman;Times;Serif"/>
          <w:b w:val="false"/>
          <w:i w:val="false"/>
          <w:caps w:val="false"/>
          <w:smallCaps w:val="false"/>
          <w:sz w:val="20"/>
        </w:rPr>
        <w:t>Accounts payable and accrued expenses at March 31, 2025 and December 31, 2024 consisted of the following:</w:t>
      </w:r>
    </w:p>
    <w:p>
      <w:pPr>
        <w:pStyle w:val="TextBody"/>
        <w:bidi w:val="0"/>
        <w:jc w:val="both"/>
        <w:rPr>
          <w:caps w:val="false"/>
          <w:smallCaps w:val="false"/>
        </w:rPr>
      </w:pPr>
      <w:r>
        <w:rPr>
          <w:caps w:val="false"/>
          <w:smallCaps w:val="false"/>
        </w:rPr>
        <w:t> </w:t>
      </w:r>
      <w:bookmarkStart w:id="409" w:name="xdx_8BD_zqSUN2DqeW24"/>
      <w:bookmarkEnd w:id="409"/>
      <w:r>
        <w:rPr>
          <w:rFonts w:ascii="Times New Roman;Times;Serif" w:hAnsi="Times New Roman;Times;Serif"/>
          <w:b w:val="false"/>
          <w:i w:val="false"/>
          <w:caps w:val="false"/>
          <w:smallCaps w:val="false"/>
          <w:sz w:val="20"/>
        </w:rPr>
        <w:t>SCHEDULE OF ACCOUNTS PAYABLE AND ACCRUED EXPENSES</w:t>
      </w:r>
    </w:p>
    <w:tbl>
      <w:tblPr>
        <w:tblW w:w="7234" w:type="dxa"/>
        <w:jc w:val="left"/>
        <w:tblInd w:w="0" w:type="dxa"/>
        <w:tblLayout w:type="fixed"/>
        <w:tblCellMar>
          <w:top w:w="0" w:type="dxa"/>
          <w:left w:w="0" w:type="dxa"/>
          <w:bottom w:w="0" w:type="dxa"/>
          <w:right w:w="0" w:type="dxa"/>
        </w:tblCellMar>
      </w:tblPr>
      <w:tblGrid>
        <w:gridCol w:w="4325"/>
        <w:gridCol w:w="60"/>
        <w:gridCol w:w="140"/>
        <w:gridCol w:w="1100"/>
        <w:gridCol w:w="60"/>
        <w:gridCol w:w="60"/>
        <w:gridCol w:w="159"/>
        <w:gridCol w:w="1255"/>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0" w:name="xdx_49F_20250331_z4VSO7vKFY33"/>
            <w:bookmarkEnd w:id="410"/>
          </w:p>
        </w:tc>
        <w:tc>
          <w:tcPr>
            <w:tcW w:w="124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1" w:name="xdx_49E_20241231_zL2FLavFVXV4"/>
            <w:bookmarkEnd w:id="411"/>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12" w:name="xdx_401_eus-gaap--AccountsPayableCurrent"/>
            <w:bookmarkEnd w:id="412"/>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37,095,000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38,762,000</w:t>
            </w:r>
          </w:p>
        </w:tc>
        <w:tc>
          <w:tcPr>
            <w:tcW w:w="75" w:type="dxa"/>
            <w:tcBorders/>
            <w:shd w:fill="CCEEFF" w:val="clear"/>
            <w:vAlign w:val="center"/>
          </w:tcPr>
          <w:p>
            <w:pPr>
              <w:pStyle w:val="TableContents"/>
              <w:bidi w:val="0"/>
              <w:spacing w:before="0" w:after="283"/>
              <w:jc w:val="left"/>
              <w:rPr/>
            </w:pPr>
            <w:r>
              <w:rPr/>
              <w:t> </w:t>
            </w:r>
            <w:bookmarkStart w:id="413" w:name="xdx_407_eus-gaap--InterestPayableCurrent"/>
            <w:bookmarkEnd w:id="413"/>
          </w:p>
        </w:tc>
      </w:tr>
      <w:tr>
        <w:trPr/>
        <w:tc>
          <w:tcPr>
            <w:tcW w:w="4325" w:type="dxa"/>
            <w:tcBorders/>
            <w:shd w:fill="FFFFFF" w:val="clear"/>
            <w:vAlign w:val="center"/>
          </w:tcPr>
          <w:p>
            <w:pPr>
              <w:pStyle w:val="TableContents"/>
              <w:bidi w:val="0"/>
              <w:spacing w:before="0" w:after="283"/>
              <w:jc w:val="left"/>
              <w:rPr/>
            </w:pPr>
            <w:r>
              <w:rPr/>
              <w:t>Accrued interest (see Note 10)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1,958,000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2,538,000</w:t>
            </w:r>
          </w:p>
        </w:tc>
        <w:tc>
          <w:tcPr>
            <w:tcW w:w="75" w:type="dxa"/>
            <w:tcBorders/>
            <w:shd w:fill="FFFFFF" w:val="clear"/>
            <w:vAlign w:val="center"/>
          </w:tcPr>
          <w:p>
            <w:pPr>
              <w:pStyle w:val="TableContents"/>
              <w:bidi w:val="0"/>
              <w:spacing w:before="0" w:after="283"/>
              <w:jc w:val="left"/>
              <w:rPr/>
            </w:pPr>
            <w:r>
              <w:rPr/>
              <w:t> </w:t>
            </w:r>
            <w:bookmarkStart w:id="414" w:name="xdx_40A_eus-gaap--OtherAccruedLiabilitie"/>
            <w:bookmarkEnd w:id="414"/>
          </w:p>
        </w:tc>
      </w:tr>
      <w:tr>
        <w:trPr/>
        <w:tc>
          <w:tcPr>
            <w:tcW w:w="4325"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106,000</w:t>
            </w:r>
          </w:p>
        </w:tc>
        <w:tc>
          <w:tcPr>
            <w:tcW w:w="75" w:type="dxa"/>
            <w:tcBorders/>
            <w:shd w:fill="CCEEFF" w:val="clear"/>
            <w:vAlign w:val="center"/>
          </w:tcPr>
          <w:p>
            <w:pPr>
              <w:pStyle w:val="TableContents"/>
              <w:bidi w:val="0"/>
              <w:spacing w:before="0" w:after="283"/>
              <w:jc w:val="left"/>
              <w:rPr/>
            </w:pPr>
            <w:r>
              <w:rPr/>
              <w:t> </w:t>
            </w:r>
            <w:bookmarkStart w:id="415" w:name="xdx_40B_eus-gaap--AccountsPayableAndAccr"/>
            <w:bookmarkEnd w:id="415"/>
          </w:p>
        </w:tc>
      </w:tr>
      <w:tr>
        <w:trPr/>
        <w:tc>
          <w:tcPr>
            <w:tcW w:w="4325" w:type="dxa"/>
            <w:tcBorders/>
            <w:shd w:fill="FFFFFF" w:val="clear"/>
            <w:vAlign w:val="center"/>
          </w:tcPr>
          <w:p>
            <w:pPr>
              <w:pStyle w:val="TableContents"/>
              <w:bidi w:val="0"/>
              <w:spacing w:before="0" w:after="283"/>
              <w:jc w:val="left"/>
              <w:rPr/>
            </w:pPr>
            <w:r>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39,159,000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41,406,000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6" w:name="xdx_8A5_zwNs5kELKA42"/>
      <w:bookmarkEnd w:id="41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7" w:name="xdx_800_eus-gaap--DebtDisclosureTextBloc"/>
      <w:bookmarkEnd w:id="417"/>
      <w:r>
        <w:rPr>
          <w:rFonts w:ascii="Times New Roman;Times;Serif" w:hAnsi="Times New Roman;Times;Serif"/>
          <w:b/>
          <w:i w:val="false"/>
          <w:caps w:val="false"/>
          <w:smallCaps w:val="false"/>
          <w:sz w:val="20"/>
        </w:rPr>
        <w:t xml:space="preserve">NOTE 10. </w:t>
      </w:r>
      <w:bookmarkStart w:id="418" w:name="xdx_828_zZFvxI4ThNtl"/>
      <w:bookmarkEnd w:id="418"/>
      <w:r>
        <w:rPr>
          <w:rFonts w:ascii="Times New Roman;Times;Serif" w:hAnsi="Times New Roman;Times;Serif"/>
          <w:b/>
          <w:i w:val="false"/>
          <w:caps w:val="false"/>
          <w:smallCaps w:val="false"/>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Oaktree Loan Due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Agreement and Guaranty (the “Oaktree Loan”) with Oaktree, providing for a senior secured term loan facility to the Company with a principal amount of up to $</w:t>
      </w:r>
      <w:bookmarkStart w:id="419" w:name="xdx_90E_eus-gaap--LineOfCreditFacilityMa"/>
      <w:bookmarkEnd w:id="419"/>
      <w:r>
        <w:rPr>
          <w:rFonts w:ascii="Times New Roman;Times;Serif" w:hAnsi="Times New Roman;Times;Serif"/>
          <w:b w:val="false"/>
          <w:i w:val="false"/>
          <w:caps w:val="false"/>
          <w:smallCaps w:val="false"/>
          <w:sz w:val="20"/>
        </w:rPr>
        <w:t>100,000,000. Upon entering into the Oaktree Loan, the Company drew a principal amount of $</w:t>
      </w:r>
      <w:bookmarkStart w:id="420" w:name="xdx_908_eus-gaap--ProceedsFromLinesOfCre"/>
      <w:bookmarkEnd w:id="420"/>
      <w:r>
        <w:rPr>
          <w:rFonts w:ascii="Times New Roman;Times;Serif" w:hAnsi="Times New Roman;Times;Serif"/>
          <w:b w:val="false"/>
          <w:i w:val="false"/>
          <w:caps w:val="false"/>
          <w:smallCaps w:val="false"/>
          <w:sz w:val="20"/>
        </w:rPr>
        <w:t>65,000,000 (“Tranche A”) from the Oaktree Loan and used the net proceeds to repay all amounts owed by the Company pursuant to the Loan and Security Agreement the Company previously entered into with B. Riley Commercial Capital, LLC on December 14, 2022. The additional principal loan amount of up to $</w:t>
      </w:r>
      <w:bookmarkStart w:id="421" w:name="xdx_900_eus-gaap--LineOfCreditFacilityMa"/>
      <w:bookmarkEnd w:id="421"/>
      <w:r>
        <w:rPr>
          <w:rFonts w:ascii="Times New Roman;Times;Serif" w:hAnsi="Times New Roman;Times;Serif"/>
          <w:b w:val="false"/>
          <w:i w:val="false"/>
          <w:caps w:val="false"/>
          <w:smallCaps w:val="false"/>
          <w:sz w:val="20"/>
        </w:rPr>
        <w:t>35,000,000 available under the Oaktree Loan (“Tranche B”) was available to the Company upon the commercialization of TRIESENCE. Since Tranche B was not drawn by the Company on or before March 27, 2024, the amount available under Tranche B was reduced to $</w:t>
      </w:r>
      <w:bookmarkStart w:id="422" w:name="xdx_90F_eus-gaap--LineOfCreditFacilityMa"/>
      <w:bookmarkEnd w:id="422"/>
      <w:r>
        <w:rPr>
          <w:rFonts w:ascii="Times New Roman;Times;Serif" w:hAnsi="Times New Roman;Times;Serif"/>
          <w:b w:val="false"/>
          <w:i w:val="false"/>
          <w:caps w:val="false"/>
          <w:smallCaps w:val="false"/>
          <w:sz w:val="20"/>
        </w:rPr>
        <w:t>30,000,000. While undrawn, the Company was required to pay a commitment fee related to Tranche B amount equal to</w:t>
      </w:r>
      <w:bookmarkStart w:id="423" w:name="xdx_90E_eus-gaap--LineOfCreditFacilityUn"/>
      <w:bookmarkEnd w:id="423"/>
      <w:r>
        <w:rPr>
          <w:rFonts w:ascii="Times New Roman;Times;Serif" w:hAnsi="Times New Roman;Times;Serif"/>
          <w:b w:val="false"/>
          <w:i w:val="false"/>
          <w:caps w:val="false"/>
          <w:smallCaps w:val="false"/>
          <w:sz w:val="20"/>
        </w:rPr>
        <w:t xml:space="preserve"> 2% per annum, payable quarterly. This fee was recorded within prepaid expenses and other current assets and was being amortized on a straight-line basis over the access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entered into the First Amendment to the Oaktree Loan (the “Oaktree Amendment”). Under the Oaktree Amendment, the overall credit facility size was increased from $</w:t>
      </w:r>
      <w:bookmarkStart w:id="424" w:name="xdx_901_eus-gaap--LineOfCreditFacilityMa"/>
      <w:bookmarkEnd w:id="424"/>
      <w:r>
        <w:rPr>
          <w:rFonts w:ascii="Times New Roman;Times;Serif" w:hAnsi="Times New Roman;Times;Serif"/>
          <w:b w:val="false"/>
          <w:i w:val="false"/>
          <w:caps w:val="false"/>
          <w:smallCaps w:val="false"/>
          <w:sz w:val="20"/>
        </w:rPr>
        <w:t>100,000,000 to $</w:t>
      </w:r>
      <w:bookmarkStart w:id="425" w:name="xdx_904_eus-gaap--LineOfCreditFacilityMa"/>
      <w:bookmarkEnd w:id="425"/>
      <w:r>
        <w:rPr>
          <w:rFonts w:ascii="Times New Roman;Times;Serif" w:hAnsi="Times New Roman;Times;Serif"/>
          <w:b w:val="false"/>
          <w:i w:val="false"/>
          <w:caps w:val="false"/>
          <w:smallCaps w:val="false"/>
          <w:sz w:val="20"/>
        </w:rPr>
        <w:t>112,500,000. The Company drew down a principal amount of $</w:t>
      </w:r>
      <w:bookmarkStart w:id="426" w:name="xdx_90C_eus-gaap--ProceedsFromLinesOfCre"/>
      <w:bookmarkEnd w:id="426"/>
      <w:r>
        <w:rPr>
          <w:rFonts w:ascii="Times New Roman;Times;Serif" w:hAnsi="Times New Roman;Times;Serif"/>
          <w:b w:val="false"/>
          <w:i w:val="false"/>
          <w:caps w:val="false"/>
          <w:smallCaps w:val="false"/>
          <w:sz w:val="20"/>
        </w:rPr>
        <w:t>12,500,000 (the “Loan Increase”) to fund the initial one-time payment associated with product acquisitions and for other working capital and general corporate purposes. No other material changes to the Oaktree Loan were made pursuant to the Oaktree Amendment. Following entry into the Oaktree Amendment and the funding of the Loan Increase upon closing of certain product acquisitions, the Company had drawn down a total principal loan amount of $</w:t>
      </w:r>
      <w:bookmarkStart w:id="427" w:name="xdx_90D_eus-gaap--ProceedsFromLinesOfCre"/>
      <w:bookmarkEnd w:id="427"/>
      <w:r>
        <w:rPr>
          <w:rFonts w:ascii="Times New Roman;Times;Serif" w:hAnsi="Times New Roman;Times;Serif"/>
          <w:b w:val="false"/>
          <w:i w:val="false"/>
          <w:caps w:val="false"/>
          <w:smallCaps w:val="false"/>
          <w:sz w:val="20"/>
        </w:rPr>
        <w:t>77,500,000 under the Oaktree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into the Second Amendment to Credit Agreement and Guaranty with Oaktree (“Second Amendment”). Upon satisfaction of certain conditions to funding, the Company drew down the principal amount of the Tranche B commitment of $</w:t>
      </w:r>
      <w:bookmarkStart w:id="428" w:name="xdx_909_eus-gaap--ProceedsFromLinesOfCre"/>
      <w:bookmarkEnd w:id="428"/>
      <w:r>
        <w:rPr>
          <w:rFonts w:ascii="Times New Roman;Times;Serif" w:hAnsi="Times New Roman;Times;Serif"/>
          <w:b w:val="false"/>
          <w:i w:val="false"/>
          <w:caps w:val="false"/>
          <w:smallCaps w:val="false"/>
          <w:sz w:val="20"/>
        </w:rPr>
        <w:t>30,000,000 (the “$</w:t>
      </w:r>
      <w:bookmarkStart w:id="429" w:name="xdx_900_eus-gaap--ProceedsFromLinesOfCre"/>
      <w:bookmarkEnd w:id="429"/>
      <w:r>
        <w:rPr>
          <w:rFonts w:ascii="Times New Roman;Times;Serif" w:hAnsi="Times New Roman;Times;Serif"/>
          <w:b w:val="false"/>
          <w:i w:val="false"/>
          <w:caps w:val="false"/>
          <w:smallCaps w:val="false"/>
          <w:sz w:val="20"/>
        </w:rPr>
        <w:t>30,000,000 Draw”) to partially fund a one-time milestone payment to Novartis. Under its asset purchase agreement with Novartis, the Company made a one-time milestone payment to Novartis equal to $</w:t>
      </w:r>
      <w:bookmarkStart w:id="430" w:name="xdx_90C_eus-gaap--PaymentOfFinancingAndS"/>
      <w:bookmarkEnd w:id="430"/>
      <w:r>
        <w:rPr>
          <w:rFonts w:ascii="Times New Roman;Times;Serif" w:hAnsi="Times New Roman;Times;Serif"/>
          <w:b w:val="false"/>
          <w:i w:val="false"/>
          <w:caps w:val="false"/>
          <w:smallCaps w:val="false"/>
          <w:sz w:val="20"/>
        </w:rPr>
        <w:t>37,000,000 upon the commercial availability of TRIESENCE, which the Company paid in October 2024. In connection with the Second Amendment and following the $</w:t>
      </w:r>
      <w:bookmarkStart w:id="431" w:name="xdx_906_eus-gaap--ProceedsFromLinesOfCre"/>
      <w:bookmarkEnd w:id="431"/>
      <w:r>
        <w:rPr>
          <w:rFonts w:ascii="Times New Roman;Times;Serif" w:hAnsi="Times New Roman;Times;Serif"/>
          <w:b w:val="false"/>
          <w:i w:val="false"/>
          <w:caps w:val="false"/>
          <w:smallCaps w:val="false"/>
          <w:sz w:val="20"/>
        </w:rPr>
        <w:t>30,000,000 Draw, the Company has drawn down a total principal loan amount of $</w:t>
      </w:r>
      <w:bookmarkStart w:id="432" w:name="xdx_902_eus-gaap--ProceedsFromLinesOfCre"/>
      <w:bookmarkEnd w:id="432"/>
      <w:r>
        <w:rPr>
          <w:rFonts w:ascii="Times New Roman;Times;Serif" w:hAnsi="Times New Roman;Times;Serif"/>
          <w:b w:val="false"/>
          <w:i w:val="false"/>
          <w:caps w:val="false"/>
          <w:smallCaps w:val="false"/>
          <w:sz w:val="20"/>
        </w:rPr>
        <w:t>107,500,000 under the Oaktree Loan and no additional principal loan amount remains available to the Company under the Oaktree Loan.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Oaktree Loan is secured by nearly all of the assets, including intellectual property, of the Company and its material subsidiaries. The Oaktree Loan has a maturity date of January 19, 2026 and carries an interest rate equal to the Secured Overnight Financing Rate plus </w:t>
      </w:r>
      <w:bookmarkStart w:id="433" w:name="xdx_90B_eus-gaap--LineOfCreditFacilityUn"/>
      <w:bookmarkEnd w:id="433"/>
      <w:r>
        <w:rPr>
          <w:rFonts w:ascii="Times New Roman;Times;Serif" w:hAnsi="Times New Roman;Times;Serif"/>
          <w:b w:val="false"/>
          <w:i w:val="false"/>
          <w:caps w:val="false"/>
          <w:smallCaps w:val="false"/>
          <w:sz w:val="20"/>
        </w:rPr>
        <w:t xml:space="preserve">6.5% per annum (totaling </w:t>
      </w:r>
      <w:bookmarkStart w:id="434" w:name="xdx_906_eus-gaap--LineOfCreditFacilityUn"/>
      <w:bookmarkEnd w:id="434"/>
      <w:r>
        <w:rPr>
          <w:rFonts w:ascii="Times New Roman;Times;Serif" w:hAnsi="Times New Roman;Times;Serif"/>
          <w:b w:val="false"/>
          <w:i w:val="false"/>
          <w:caps w:val="false"/>
          <w:smallCaps w:val="false"/>
          <w:sz w:val="20"/>
        </w:rPr>
        <w:t xml:space="preserve">11.003% at March 31, 2025). The Oaktree Loan also carries an exit fee equal to </w:t>
      </w:r>
      <w:bookmarkStart w:id="435" w:name="xdx_90C_eus-gaap--LineOfCreditFacilityUn"/>
      <w:bookmarkEnd w:id="435"/>
      <w:r>
        <w:rPr>
          <w:rFonts w:ascii="Times New Roman;Times;Serif" w:hAnsi="Times New Roman;Times;Serif"/>
          <w:b w:val="false"/>
          <w:i w:val="false"/>
          <w:caps w:val="false"/>
          <w:smallCaps w:val="false"/>
          <w:sz w:val="20"/>
        </w:rPr>
        <w:t>3.5% of the aggregate principal amount owed, payable at maturity. The total exit fee of $</w:t>
      </w:r>
      <w:bookmarkStart w:id="436" w:name="xdx_902_eus-gaap--DebtInstrumentUnamorti"/>
      <w:bookmarkEnd w:id="436"/>
      <w:r>
        <w:rPr>
          <w:rFonts w:ascii="Times New Roman;Times;Serif" w:hAnsi="Times New Roman;Times;Serif"/>
          <w:b w:val="false"/>
          <w:i w:val="false"/>
          <w:caps w:val="false"/>
          <w:smallCaps w:val="false"/>
          <w:sz w:val="20"/>
        </w:rPr>
        <w:t>3,763,000 has been recorded as a debt discount. The original issue discount, fees and expenses (including the exit fee) are being amortized over the term of the Oaktree Loan using the effective interest rate method. The Oaktree Loan requires quarterly interest-only payments with all of the unpaid principal, interest and fees due on the maturity date, January 19, 2026.</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Oaktree Loan contains customary guarantees and covenants, including financial covenants related to minimum liquidity and minimum net revenues. As of March 31, 2025, the Company was in compliance with the financial covenants.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437" w:name="xdx_903_eus-gaap--InterestExpenseOtherLo"/>
      <w:bookmarkEnd w:id="437"/>
      <w:r>
        <w:rPr>
          <w:rFonts w:ascii="Times New Roman;Times;Serif" w:hAnsi="Times New Roman;Times;Serif"/>
          <w:b w:val="false"/>
          <w:i w:val="false"/>
          <w:caps w:val="false"/>
          <w:smallCaps w:val="false"/>
          <w:sz w:val="20"/>
        </w:rPr>
        <w:t>3,859,000 and $</w:t>
      </w:r>
      <w:bookmarkStart w:id="438" w:name="xdx_90A_eus-gaap--InterestExpenseOtherLo"/>
      <w:bookmarkEnd w:id="438"/>
      <w:r>
        <w:rPr>
          <w:rFonts w:ascii="Times New Roman;Times;Serif" w:hAnsi="Times New Roman;Times;Serif"/>
          <w:b w:val="false"/>
          <w:i w:val="false"/>
          <w:caps w:val="false"/>
          <w:smallCaps w:val="false"/>
          <w:sz w:val="20"/>
        </w:rPr>
        <w:t>2,953,000 for the three months ended March 31, 2025 and 2024, respectively, and included the amortization of debt issuance costs and discount of $</w:t>
      </w:r>
      <w:bookmarkStart w:id="439" w:name="xdx_90E_eus-gaap--AmortizationOfFinancin"/>
      <w:bookmarkEnd w:id="439"/>
      <w:r>
        <w:rPr>
          <w:rFonts w:ascii="Times New Roman;Times;Serif" w:hAnsi="Times New Roman;Times;Serif"/>
          <w:b w:val="false"/>
          <w:i w:val="false"/>
          <w:caps w:val="false"/>
          <w:smallCaps w:val="false"/>
          <w:sz w:val="20"/>
        </w:rPr>
        <w:t>906,000 and $</w:t>
      </w:r>
      <w:bookmarkStart w:id="440" w:name="xdx_90C_eus-gaap--AmortizationOfFinancin"/>
      <w:bookmarkEnd w:id="440"/>
      <w:r>
        <w:rPr>
          <w:rFonts w:ascii="Times New Roman;Times;Serif" w:hAnsi="Times New Roman;Times;Serif"/>
          <w:b w:val="false"/>
          <w:i w:val="false"/>
          <w:caps w:val="false"/>
          <w:smallCaps w:val="false"/>
          <w:sz w:val="20"/>
        </w:rPr>
        <w:t>603,000, respectively.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HROWL – 8.625% Senior Notes Due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closed an offering of $</w:t>
      </w:r>
      <w:bookmarkStart w:id="441" w:name="xdx_901_eus-gaap--DebtInstrumentFaceAmou"/>
      <w:bookmarkEnd w:id="441"/>
      <w:r>
        <w:rPr>
          <w:rFonts w:ascii="Times New Roman;Times;Serif" w:hAnsi="Times New Roman;Times;Serif"/>
          <w:b w:val="false"/>
          <w:i w:val="false"/>
          <w:caps w:val="false"/>
          <w:smallCaps w:val="false"/>
          <w:sz w:val="20"/>
        </w:rPr>
        <w:t xml:space="preserve">50,000,000 aggregate principal amount of </w:t>
      </w:r>
      <w:bookmarkStart w:id="442" w:name="xdx_90E_eus-gaap--DebtInstrumentInterest"/>
      <w:bookmarkEnd w:id="442"/>
      <w:r>
        <w:rPr>
          <w:rFonts w:ascii="Times New Roman;Times;Serif" w:hAnsi="Times New Roman;Times;Serif"/>
          <w:b w:val="false"/>
          <w:i w:val="false"/>
          <w:caps w:val="false"/>
          <w:smallCaps w:val="false"/>
          <w:sz w:val="20"/>
        </w:rPr>
        <w:t>8.625% senior notes due April 2026, and in May 2021 issued an additional $</w:t>
      </w:r>
      <w:bookmarkStart w:id="443" w:name="xdx_90A_eus-gaap--DebtInstrumentIncrease"/>
      <w:bookmarkEnd w:id="443"/>
      <w:r>
        <w:rPr>
          <w:rFonts w:ascii="Times New Roman;Times;Serif" w:hAnsi="Times New Roman;Times;Serif"/>
          <w:b w:val="false"/>
          <w:i w:val="false"/>
          <w:caps w:val="false"/>
          <w:smallCaps w:val="false"/>
          <w:sz w:val="20"/>
        </w:rPr>
        <w:t>5,000,000 of such notes pursuant to the full exercise of the underwriters’ option to purchase additional notes (collectively, the “April Notes”). The April Notes were sold to investors at a par value of $</w:t>
      </w:r>
      <w:bookmarkStart w:id="444" w:name="xdx_90D_eus-gaap--SharesIssuedPricePerSh"/>
      <w:bookmarkEnd w:id="444"/>
      <w:r>
        <w:rPr>
          <w:rFonts w:ascii="Times New Roman;Times;Serif" w:hAnsi="Times New Roman;Times;Serif"/>
          <w:b w:val="false"/>
          <w:i w:val="false"/>
          <w:caps w:val="false"/>
          <w:smallCaps w:val="false"/>
          <w:sz w:val="20"/>
        </w:rPr>
        <w:t>25.00 per note and the offering resulted in net proceeds to the Company of approximately $</w:t>
      </w:r>
      <w:bookmarkStart w:id="445" w:name="xdx_900_eus-gaap--ProceedsFromIssuanceOf"/>
      <w:bookmarkEnd w:id="445"/>
      <w:r>
        <w:rPr>
          <w:rFonts w:ascii="Times New Roman;Times;Serif" w:hAnsi="Times New Roman;Times;Serif"/>
          <w:b w:val="false"/>
          <w:i w:val="false"/>
          <w:caps w:val="false"/>
          <w:smallCaps w:val="false"/>
          <w:sz w:val="20"/>
        </w:rPr>
        <w:t>51,909,000 after deducting underwriting discounts and commissions and other offering expenses of $</w:t>
      </w:r>
      <w:bookmarkStart w:id="446" w:name="xdx_903_eus-gaap--DebtInstrumentUnamorti"/>
      <w:bookmarkEnd w:id="446"/>
      <w:r>
        <w:rPr>
          <w:rFonts w:ascii="Times New Roman;Times;Serif" w:hAnsi="Times New Roman;Times;Serif"/>
          <w:b w:val="false"/>
          <w:i w:val="false"/>
          <w:caps w:val="false"/>
          <w:smallCaps w:val="false"/>
          <w:sz w:val="20"/>
        </w:rPr>
        <w:t>3,091,000. In September 2021, in a further issuance of the April Notes, the Company sold an additional $</w:t>
      </w:r>
      <w:bookmarkStart w:id="447" w:name="xdx_90A_eus-gaap--DebtInstrumentIncrease"/>
      <w:bookmarkEnd w:id="447"/>
      <w:r>
        <w:rPr>
          <w:rFonts w:ascii="Times New Roman;Times;Serif" w:hAnsi="Times New Roman;Times;Serif"/>
          <w:b w:val="false"/>
          <w:i w:val="false"/>
          <w:caps w:val="false"/>
          <w:smallCaps w:val="false"/>
          <w:sz w:val="20"/>
        </w:rPr>
        <w:t>20,000,000 aggregate principal amount of such notes (the “September Notes,” and together with the April Notes, the “2026 Notes”), at a price of $</w:t>
      </w:r>
      <w:bookmarkStart w:id="448" w:name="xdx_905_eus-gaap--SharesIssuedPricePerSh"/>
      <w:bookmarkEnd w:id="448"/>
      <w:r>
        <w:rPr>
          <w:rFonts w:ascii="Times New Roman;Times;Serif" w:hAnsi="Times New Roman;Times;Serif"/>
          <w:b w:val="false"/>
          <w:i w:val="false"/>
          <w:caps w:val="false"/>
          <w:smallCaps w:val="false"/>
          <w:sz w:val="20"/>
        </w:rPr>
        <w:t>25.75 per September Note, with interest of $</w:t>
      </w:r>
      <w:bookmarkStart w:id="449" w:name="xdx_905_eus-gaap--InterestExpenseDebt_c2"/>
      <w:bookmarkEnd w:id="449"/>
      <w:r>
        <w:rPr>
          <w:rFonts w:ascii="Times New Roman;Times;Serif" w:hAnsi="Times New Roman;Times;Serif"/>
          <w:b w:val="false"/>
          <w:i w:val="false"/>
          <w:caps w:val="false"/>
          <w:smallCaps w:val="false"/>
          <w:sz w:val="20"/>
        </w:rPr>
        <w:t>278,000 on the September Notes being accrued from April 20, 2021, the date of issuance of the April Notes. The September offering resulted in net proceeds to the Company of approximately $</w:t>
      </w:r>
      <w:bookmarkStart w:id="450" w:name="xdx_90A_eus-gaap--ProceedsFromIssuanceOf"/>
      <w:bookmarkEnd w:id="450"/>
      <w:r>
        <w:rPr>
          <w:rFonts w:ascii="Times New Roman;Times;Serif" w:hAnsi="Times New Roman;Times;Serif"/>
          <w:b w:val="false"/>
          <w:i w:val="false"/>
          <w:caps w:val="false"/>
          <w:smallCaps w:val="false"/>
          <w:sz w:val="20"/>
        </w:rPr>
        <w:t>19,164,000 after deducting underwriting discounts and commissions and other offering expenses of $</w:t>
      </w:r>
      <w:bookmarkStart w:id="451" w:name="xdx_90F_eus-gaap--DebtInstrumentUnamorti"/>
      <w:bookmarkEnd w:id="451"/>
      <w:r>
        <w:rPr>
          <w:rFonts w:ascii="Times New Roman;Times;Serif" w:hAnsi="Times New Roman;Times;Serif"/>
          <w:b w:val="false"/>
          <w:i w:val="false"/>
          <w:caps w:val="false"/>
          <w:smallCaps w:val="false"/>
          <w:sz w:val="20"/>
        </w:rPr>
        <w:t>1,158,000 and a premium on note issuance of $</w:t>
      </w:r>
      <w:bookmarkStart w:id="452" w:name="xdx_90E_eus-gaap--DebtInstrumentUnamorti"/>
      <w:bookmarkEnd w:id="452"/>
      <w:r>
        <w:rPr>
          <w:rFonts w:ascii="Times New Roman;Times;Serif" w:hAnsi="Times New Roman;Times;Serif"/>
          <w:b w:val="false"/>
          <w:i w:val="false"/>
          <w:caps w:val="false"/>
          <w:smallCaps w:val="false"/>
          <w:sz w:val="20"/>
        </w:rPr>
        <w:t xml:space="preserve">322,000. The September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the Company’s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w:t>
      </w:r>
      <w:bookmarkStart w:id="453" w:name="xdx_90A_eus-gaap--DebtInstrumentInterest"/>
      <w:bookmarkEnd w:id="453"/>
      <w:r>
        <w:rPr>
          <w:rFonts w:ascii="Times New Roman;Times;Serif" w:hAnsi="Times New Roman;Times;Serif"/>
          <w:b w:val="false"/>
          <w:i w:val="false"/>
          <w:caps w:val="false"/>
          <w:smallCaps w:val="false"/>
          <w:sz w:val="20"/>
        </w:rPr>
        <w:t xml:space="preserve">8.625% per annum. Interest on the 2026 Notes is payable quarterly in arrears on January 31, April 30, July 31 and October 31 of each year. The 2026 Notes will mature on </w:t>
      </w:r>
      <w:bookmarkStart w:id="454" w:name="xdx_90C_eus-gaap--DebtInstrumentMaturity"/>
      <w:bookmarkEnd w:id="454"/>
      <w:r>
        <w:rPr>
          <w:rFonts w:ascii="Times New Roman;Times;Serif" w:hAnsi="Times New Roman;Times;Serif"/>
          <w:b w:val="false"/>
          <w:i w:val="false"/>
          <w:caps w:val="false"/>
          <w:smallCaps w:val="false"/>
          <w:sz w:val="20"/>
        </w:rPr>
        <w:t>April 30, 2026. The issuance costs were recorded as a debt discount and are being amortized as interest expense, net of the amortization of the premium on note issuance, over the term of the 2026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February 1, 2026, the Company may, at its option, redeem the 2026 Notes, in whole at any time or in part from time to time, at a </w:t>
      </w:r>
      <w:bookmarkStart w:id="455" w:name="xdx_909_eus-gaap--DebtInstrumentRedempti"/>
      <w:bookmarkEnd w:id="455"/>
      <w:r>
        <w:rPr>
          <w:rFonts w:ascii="Times New Roman;Times;Serif" w:hAnsi="Times New Roman;Times;Serif"/>
          <w:b w:val="false"/>
          <w:i w:val="false"/>
          <w:caps w:val="false"/>
          <w:smallCaps w:val="false"/>
          <w:sz w:val="20"/>
        </w:rPr>
        <w:t>redemption price equal to 100% of the principal amount of the 2026 Notes to be redeemed, plus a make-whole amount, if any, plus accrued and unpaid interest to, but excluding, the date of redemption. The Company may redeem the 2026 Notes for cash in whole or in part at any time at its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2026 Notes totaled $</w:t>
      </w:r>
      <w:bookmarkStart w:id="456" w:name="xdx_906_eus-gaap--InterestExpenseOtherLo"/>
      <w:bookmarkEnd w:id="456"/>
      <w:r>
        <w:rPr>
          <w:rFonts w:ascii="Times New Roman;Times;Serif" w:hAnsi="Times New Roman;Times;Serif"/>
          <w:b w:val="false"/>
          <w:i w:val="false"/>
          <w:caps w:val="false"/>
          <w:smallCaps w:val="false"/>
          <w:sz w:val="20"/>
        </w:rPr>
        <w:t>1,810,000 and $</w:t>
      </w:r>
      <w:bookmarkStart w:id="457" w:name="xdx_90E_eus-gaap--InterestExpenseOtherLo"/>
      <w:bookmarkEnd w:id="457"/>
      <w:r>
        <w:rPr>
          <w:rFonts w:ascii="Times New Roman;Times;Serif" w:hAnsi="Times New Roman;Times;Serif"/>
          <w:b w:val="false"/>
          <w:i w:val="false"/>
          <w:caps w:val="false"/>
          <w:smallCaps w:val="false"/>
          <w:sz w:val="20"/>
        </w:rPr>
        <w:t>1,812,000 for the three months ended March 31, 2025 and 2024, respectively, and included amortization of debt issuance costs and discount of $</w:t>
      </w:r>
      <w:bookmarkStart w:id="458" w:name="xdx_900_eus-gaap--AmortizationOfFinancin"/>
      <w:bookmarkEnd w:id="458"/>
      <w:r>
        <w:rPr>
          <w:rFonts w:ascii="Times New Roman;Times;Serif" w:hAnsi="Times New Roman;Times;Serif"/>
          <w:b w:val="false"/>
          <w:i w:val="false"/>
          <w:caps w:val="false"/>
          <w:smallCaps w:val="false"/>
          <w:sz w:val="20"/>
        </w:rPr>
        <w:t>193,000 and $</w:t>
      </w:r>
      <w:bookmarkStart w:id="459" w:name="xdx_907_eus-gaap--AmortizationOfFinancin"/>
      <w:bookmarkEnd w:id="459"/>
      <w:r>
        <w:rPr>
          <w:rFonts w:ascii="Times New Roman;Times;Serif" w:hAnsi="Times New Roman;Times;Serif"/>
          <w:b w:val="false"/>
          <w:i w:val="false"/>
          <w:caps w:val="false"/>
          <w:smallCaps w:val="false"/>
          <w:sz w:val="20"/>
        </w:rPr>
        <w:t>195,000, respectively.</w:t>
      </w:r>
    </w:p>
    <w:p>
      <w:pPr>
        <w:pStyle w:val="TextBody"/>
        <w:bidi w:val="0"/>
        <w:spacing w:before="0" w:after="0"/>
        <w:ind w:left="1080" w:right="0" w:hanging="10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in January 2023, the Company closed an offering of $</w:t>
      </w:r>
      <w:bookmarkStart w:id="460" w:name="xdx_905_eus-gaap--DebtInstrumentFaceAmou"/>
      <w:bookmarkEnd w:id="460"/>
      <w:r>
        <w:rPr>
          <w:rFonts w:ascii="Times New Roman;Times;Serif" w:hAnsi="Times New Roman;Times;Serif"/>
          <w:b w:val="false"/>
          <w:i w:val="false"/>
          <w:caps w:val="false"/>
          <w:smallCaps w:val="false"/>
          <w:sz w:val="20"/>
        </w:rPr>
        <w:t>35,000,000 and $</w:t>
      </w:r>
      <w:bookmarkStart w:id="461" w:name="xdx_906_eus-gaap--DebtInstrumentFaceAmou"/>
      <w:bookmarkEnd w:id="461"/>
      <w:r>
        <w:rPr>
          <w:rFonts w:ascii="Times New Roman;Times;Serif" w:hAnsi="Times New Roman;Times;Serif"/>
          <w:b w:val="false"/>
          <w:i w:val="false"/>
          <w:caps w:val="false"/>
          <w:smallCaps w:val="false"/>
          <w:sz w:val="20"/>
        </w:rPr>
        <w:t xml:space="preserve">5,250,000, respectively, aggregate principal amount of </w:t>
      </w:r>
      <w:bookmarkStart w:id="462" w:name="xdx_906_eus-gaap--DebtInstrumentInterest"/>
      <w:bookmarkStart w:id="463" w:name="xdx_90D_eus-gaap--DebtInstrumentInterest"/>
      <w:bookmarkEnd w:id="462"/>
      <w:bookmarkEnd w:id="463"/>
      <w:r>
        <w:rPr>
          <w:rFonts w:ascii="Times New Roman;Times;Serif" w:hAnsi="Times New Roman;Times;Serif"/>
          <w:b w:val="false"/>
          <w:i w:val="false"/>
          <w:caps w:val="false"/>
          <w:smallCaps w:val="false"/>
          <w:sz w:val="20"/>
        </w:rPr>
        <w:t>11.875% senior notes due in December 2027 (the “2027 Notes”). The 2027 Notes were sold to investors at a par value of $</w:t>
      </w:r>
      <w:bookmarkStart w:id="464" w:name="xdx_906_eus-gaap--SharesIssuedPricePerSh"/>
      <w:bookmarkStart w:id="465" w:name="xdx_90C_eus-gaap--SharesIssuedPricePerSh"/>
      <w:bookmarkEnd w:id="464"/>
      <w:bookmarkEnd w:id="465"/>
      <w:r>
        <w:rPr>
          <w:rFonts w:ascii="Times New Roman;Times;Serif" w:hAnsi="Times New Roman;Times;Serif"/>
          <w:b w:val="false"/>
          <w:i w:val="false"/>
          <w:caps w:val="false"/>
          <w:smallCaps w:val="false"/>
          <w:sz w:val="20"/>
        </w:rPr>
        <w:t>25.00 per 2027 Note, and the offering resulted in net proceeds to the Company of approximately $</w:t>
      </w:r>
      <w:bookmarkStart w:id="466" w:name="xdx_903_eus-gaap--ProceedsFromIssuanceOf"/>
      <w:bookmarkStart w:id="467" w:name="xdx_90E_eus-gaap--ProceedsFromIssuanceOf"/>
      <w:bookmarkEnd w:id="466"/>
      <w:bookmarkEnd w:id="467"/>
      <w:r>
        <w:rPr>
          <w:rFonts w:ascii="Times New Roman;Times;Serif" w:hAnsi="Times New Roman;Times;Serif"/>
          <w:b w:val="false"/>
          <w:i w:val="false"/>
          <w:caps w:val="false"/>
          <w:smallCaps w:val="false"/>
          <w:sz w:val="20"/>
        </w:rPr>
        <w:t>36,699,000 after deducting underwriting discounts and commissions and other offering expenses of $</w:t>
      </w:r>
      <w:bookmarkStart w:id="468" w:name="xdx_90A_eus-gaap--DebtInstrumentUnamorti"/>
      <w:bookmarkStart w:id="469" w:name="xdx_904_eus-gaap--DebtInstrumentUnamorti"/>
      <w:bookmarkEnd w:id="468"/>
      <w:bookmarkEnd w:id="469"/>
      <w:r>
        <w:rPr>
          <w:rFonts w:ascii="Times New Roman;Times;Serif" w:hAnsi="Times New Roman;Times;Serif"/>
          <w:b w:val="false"/>
          <w:i w:val="false"/>
          <w:caps w:val="false"/>
          <w:smallCaps w:val="false"/>
          <w:sz w:val="20"/>
        </w:rPr>
        <w:t>3,551,000.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w:t>
      </w:r>
      <w:bookmarkStart w:id="470" w:name="xdx_908_eus-gaap--DebtInstrumentInterest"/>
      <w:bookmarkEnd w:id="470"/>
      <w:r>
        <w:rPr>
          <w:rFonts w:ascii="Times New Roman;Times;Serif" w:hAnsi="Times New Roman;Times;Serif"/>
          <w:b w:val="false"/>
          <w:i w:val="false"/>
          <w:caps w:val="false"/>
          <w:smallCaps w:val="false"/>
          <w:sz w:val="20"/>
        </w:rPr>
        <w:t xml:space="preserve">11.875% per annum. Interest on the 2027 Notes is payable quarterly in arrears on January 31, April 30, July 31 and October 31 of each year. The 2027 Notes will mature on </w:t>
      </w:r>
      <w:bookmarkStart w:id="471" w:name="xdx_90D_eus-gaap--DebtInstrumentMaturity"/>
      <w:bookmarkEnd w:id="471"/>
      <w:r>
        <w:rPr>
          <w:rFonts w:ascii="Times New Roman;Times;Serif" w:hAnsi="Times New Roman;Times;Serif"/>
          <w:b w:val="false"/>
          <w:i w:val="false"/>
          <w:caps w:val="false"/>
          <w:smallCaps w:val="false"/>
          <w:sz w:val="20"/>
        </w:rPr>
        <w:t>December 31, 2027. The issuance costs were recorded as a debt discount and are being amortized as interest expense over the term of the 2027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2027 Notes for cash in whole or in part at any time at its option (</w:t>
      </w:r>
      <w:bookmarkStart w:id="472" w:name="xdx_900_eus-gaap--DebtInstrumentRedempti"/>
      <w:bookmarkEnd w:id="472"/>
      <w:r>
        <w:rPr>
          <w:rFonts w:ascii="Times New Roman;Times;Serif" w:hAnsi="Times New Roman;Times;Serif"/>
          <w:b w:val="false"/>
          <w:i w:val="false"/>
          <w:caps w:val="false"/>
          <w:smallCaps w:val="false"/>
          <w:sz w:val="20"/>
        </w:rPr>
        <w:t>i)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the occurrence of a Material Change, as defined in the Second Supplemental Indenture. The 2027 Notes trade on the Nasdaq Stock Market LLC under the symbol “HROWM.”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2027 Notes totaled $</w:t>
      </w:r>
      <w:bookmarkStart w:id="473" w:name="xdx_90D_eus-gaap--InterestExpenseOtherLo"/>
      <w:bookmarkEnd w:id="473"/>
      <w:r>
        <w:rPr>
          <w:rFonts w:ascii="Times New Roman;Times;Serif" w:hAnsi="Times New Roman;Times;Serif"/>
          <w:b w:val="false"/>
          <w:i w:val="false"/>
          <w:caps w:val="false"/>
          <w:smallCaps w:val="false"/>
          <w:sz w:val="20"/>
        </w:rPr>
        <w:t>1,371,000 and $</w:t>
      </w:r>
      <w:bookmarkStart w:id="474" w:name="xdx_90C_eus-gaap--InterestExpenseOtherLo"/>
      <w:bookmarkEnd w:id="474"/>
      <w:r>
        <w:rPr>
          <w:rFonts w:ascii="Times New Roman;Times;Serif" w:hAnsi="Times New Roman;Times;Serif"/>
          <w:b w:val="false"/>
          <w:i w:val="false"/>
          <w:caps w:val="false"/>
          <w:smallCaps w:val="false"/>
          <w:sz w:val="20"/>
        </w:rPr>
        <w:t>1,373,000 for the three months ended March 31, 2025 and 2024, respectively, and included the amortization of debt issuance costs and discount of $</w:t>
      </w:r>
      <w:bookmarkStart w:id="475" w:name="xdx_901_eus-gaap--AmortizationOfFinancin"/>
      <w:bookmarkEnd w:id="475"/>
      <w:r>
        <w:rPr>
          <w:rFonts w:ascii="Times New Roman;Times;Serif" w:hAnsi="Times New Roman;Times;Serif"/>
          <w:b w:val="false"/>
          <w:i w:val="false"/>
          <w:caps w:val="false"/>
          <w:smallCaps w:val="false"/>
          <w:sz w:val="20"/>
        </w:rPr>
        <w:t>176,000 and $</w:t>
      </w:r>
      <w:bookmarkStart w:id="476" w:name="xdx_902_eus-gaap--AmortizationOfFinancin"/>
      <w:bookmarkEnd w:id="476"/>
      <w:r>
        <w:rPr>
          <w:rFonts w:ascii="Times New Roman;Times;Serif" w:hAnsi="Times New Roman;Times;Serif"/>
          <w:b w:val="false"/>
          <w:i w:val="false"/>
          <w:caps w:val="false"/>
          <w:smallCaps w:val="false"/>
          <w:sz w:val="20"/>
        </w:rPr>
        <w:t>178,000,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477" w:name="xdx_894_eus-gaap--ScheduleOfDebtInstrume"/>
      <w:bookmarkEnd w:id="477"/>
      <w:r>
        <w:rPr>
          <w:rFonts w:ascii="Times New Roman;Times;Serif" w:hAnsi="Times New Roman;Times;Serif"/>
          <w:b w:val="false"/>
          <w:i w:val="false"/>
          <w:caps w:val="false"/>
          <w:smallCaps w:val="false"/>
          <w:sz w:val="20"/>
        </w:rPr>
        <w:t>A summary of the Company’s current portion of debt at March 31, 2025 and December 31, 2024 is described as follows:</w:t>
      </w:r>
    </w:p>
    <w:p>
      <w:pPr>
        <w:pStyle w:val="TextBody"/>
        <w:shd w:fill="FFFFFF" w:val="clear"/>
        <w:bidi w:val="0"/>
        <w:spacing w:before="0" w:after="0"/>
        <w:ind w:left="0" w:right="0" w:hanging="0"/>
        <w:jc w:val="both"/>
        <w:rPr>
          <w:caps w:val="false"/>
          <w:smallCaps w:val="false"/>
        </w:rPr>
      </w:pPr>
      <w:r>
        <w:rPr>
          <w:caps w:val="false"/>
          <w:smallCaps w:val="false"/>
        </w:rPr>
        <w:t> </w:t>
      </w:r>
      <w:bookmarkStart w:id="478" w:name="xdx_8BE_zDQeHjaUMnAk"/>
      <w:bookmarkEnd w:id="478"/>
      <w:r>
        <w:rPr>
          <w:rFonts w:ascii="Times New Roman;Times;Serif" w:hAnsi="Times New Roman;Times;Serif"/>
          <w:b w:val="false"/>
          <w:i w:val="false"/>
          <w:caps w:val="false"/>
          <w:smallCaps w:val="false"/>
          <w:sz w:val="20"/>
        </w:rPr>
        <w:t>SCHEDULE OF LONG TERM DEBT</w:t>
      </w:r>
    </w:p>
    <w:tbl>
      <w:tblPr>
        <w:tblW w:w="6729" w:type="dxa"/>
        <w:jc w:val="left"/>
        <w:tblInd w:w="0" w:type="dxa"/>
        <w:tblLayout w:type="fixed"/>
        <w:tblCellMar>
          <w:top w:w="0" w:type="dxa"/>
          <w:left w:w="0" w:type="dxa"/>
          <w:bottom w:w="0" w:type="dxa"/>
          <w:right w:w="0" w:type="dxa"/>
        </w:tblCellMar>
      </w:tblPr>
      <w:tblGrid>
        <w:gridCol w:w="3665"/>
        <w:gridCol w:w="60"/>
        <w:gridCol w:w="140"/>
        <w:gridCol w:w="1220"/>
        <w:gridCol w:w="95"/>
        <w:gridCol w:w="60"/>
        <w:gridCol w:w="276"/>
        <w:gridCol w:w="1138"/>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9C_20250331_z6EBUZLJbGMj"/>
            <w:bookmarkEnd w:id="479"/>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E_20241231_znxBy4hFe1A7"/>
            <w:bookmarkEnd w:id="480"/>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81" w:name="xdx_401_ecustom--NotesPayableCurrentGros"/>
            <w:bookmarkEnd w:id="481"/>
          </w:p>
        </w:tc>
      </w:tr>
      <w:tr>
        <w:trPr/>
        <w:tc>
          <w:tcPr>
            <w:tcW w:w="3665" w:type="dxa"/>
            <w:tcBorders/>
            <w:shd w:fill="CCEEFF" w:val="clear"/>
            <w:vAlign w:val="center"/>
          </w:tcPr>
          <w:p>
            <w:pPr>
              <w:pStyle w:val="TableContents"/>
              <w:bidi w:val="0"/>
              <w:spacing w:before="0" w:after="283"/>
              <w:jc w:val="left"/>
              <w:rPr/>
            </w:pPr>
            <w:r>
              <w:rPr/>
              <w:t xml:space="preserve">Oaktree Loan due </w:t>
            </w:r>
            <w:bookmarkStart w:id="482" w:name="xdx_908_eus-gaap--DebtInstrumentMaturity"/>
            <w:bookmarkEnd w:id="482"/>
            <w:r>
              <w:rPr/>
              <w:t>January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111,263,000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83" w:name="xdx_405_eus-gaap--DebtInstrumentUnamorti"/>
            <w:bookmarkEnd w:id="483"/>
          </w:p>
        </w:tc>
      </w:tr>
      <w:tr>
        <w:trPr/>
        <w:tc>
          <w:tcPr>
            <w:tcW w:w="3665" w:type="dxa"/>
            <w:tcBorders/>
            <w:shd w:fill="FFFFFF" w:val="clear"/>
            <w:vAlign w:val="center"/>
          </w:tcPr>
          <w:p>
            <w:pPr>
              <w:pStyle w:val="TableContents"/>
              <w:bidi w:val="0"/>
              <w:spacing w:before="0" w:after="283"/>
              <w:jc w:val="left"/>
              <w:rPr/>
            </w:pPr>
            <w:r>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(2,950,000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sz w:val="4"/>
                <w:szCs w:val="4"/>
              </w:rPr>
            </w:pPr>
            <w:r>
              <w:rPr>
                <w:sz w:val="4"/>
                <w:szCs w:val="4"/>
              </w:rPr>
            </w:r>
            <w:bookmarkStart w:id="484" w:name="xdx_404_eus-gaap--NotesPayableCurrent_iI"/>
            <w:bookmarkStart w:id="485" w:name="xdx_404_eus-gaap--NotesPayableCurrent_iI"/>
            <w:bookmarkEnd w:id="485"/>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current,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108,313,000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non-current portion of debt at March 31, 2025 and December 31, 2024 is described as follows:</w:t>
      </w:r>
    </w:p>
    <w:p>
      <w:pPr>
        <w:pStyle w:val="TextBody"/>
        <w:shd w:fill="FFFFFF" w:val="clear"/>
        <w:bidi w:val="0"/>
        <w:jc w:val="both"/>
        <w:rPr>
          <w:caps w:val="false"/>
          <w:smallCaps w:val="false"/>
        </w:rPr>
      </w:pPr>
      <w:r>
        <w:rPr>
          <w:caps w:val="false"/>
          <w:smallCaps w:val="false"/>
        </w:rPr>
        <w:t> </w:t>
      </w:r>
    </w:p>
    <w:tbl>
      <w:tblPr>
        <w:tblW w:w="7259" w:type="dxa"/>
        <w:jc w:val="left"/>
        <w:tblInd w:w="0" w:type="dxa"/>
        <w:tblLayout w:type="fixed"/>
        <w:tblCellMar>
          <w:top w:w="0" w:type="dxa"/>
          <w:left w:w="0" w:type="dxa"/>
          <w:bottom w:w="0" w:type="dxa"/>
          <w:right w:w="0" w:type="dxa"/>
        </w:tblCellMar>
      </w:tblPr>
      <w:tblGrid>
        <w:gridCol w:w="4160"/>
        <w:gridCol w:w="60"/>
        <w:gridCol w:w="140"/>
        <w:gridCol w:w="1220"/>
        <w:gridCol w:w="95"/>
        <w:gridCol w:w="60"/>
        <w:gridCol w:w="145"/>
        <w:gridCol w:w="1269"/>
        <w:gridCol w:w="11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6" w:name="xdx_49C_20250331_zxtBttKfuN0f"/>
            <w:bookmarkEnd w:id="486"/>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7" w:name="xdx_49E_20241231_zfrlUeQ7ySpe"/>
            <w:bookmarkEnd w:id="487"/>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488" w:name="xdx_409_ecustom--LongTermNotesPayableGro"/>
            <w:bookmarkEnd w:id="488"/>
          </w:p>
        </w:tc>
      </w:tr>
      <w:tr>
        <w:trPr/>
        <w:tc>
          <w:tcPr>
            <w:tcW w:w="4160" w:type="dxa"/>
            <w:tcBorders/>
            <w:shd w:fill="CCEEFF" w:val="clear"/>
            <w:vAlign w:val="center"/>
          </w:tcPr>
          <w:p>
            <w:pPr>
              <w:pStyle w:val="TableContents"/>
              <w:bidi w:val="0"/>
              <w:spacing w:before="0" w:after="283"/>
              <w:jc w:val="left"/>
              <w:rPr/>
            </w:pPr>
            <w:r>
              <w:rPr/>
              <w:t xml:space="preserve">8.625% Senior Notes due </w:t>
            </w:r>
            <w:bookmarkStart w:id="489" w:name="xdx_90B_eus-gaap--DebtInstrumentMaturity"/>
            <w:bookmarkEnd w:id="489"/>
            <w:r>
              <w:rPr/>
              <w:t>April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75,000,000</w:t>
            </w:r>
          </w:p>
        </w:tc>
        <w:tc>
          <w:tcPr>
            <w:tcW w:w="110" w:type="dxa"/>
            <w:tcBorders/>
            <w:shd w:fill="CCEEFF" w:val="clear"/>
            <w:vAlign w:val="center"/>
          </w:tcPr>
          <w:p>
            <w:pPr>
              <w:pStyle w:val="TableContents"/>
              <w:bidi w:val="0"/>
              <w:spacing w:before="0" w:after="283"/>
              <w:jc w:val="left"/>
              <w:rPr/>
            </w:pPr>
            <w:r>
              <w:rPr/>
              <w:t> </w:t>
            </w:r>
            <w:bookmarkStart w:id="490" w:name="xdx_401_ecustom--LongTermNotesPayableGro"/>
            <w:bookmarkEnd w:id="490"/>
          </w:p>
        </w:tc>
      </w:tr>
      <w:tr>
        <w:trPr/>
        <w:tc>
          <w:tcPr>
            <w:tcW w:w="4160" w:type="dxa"/>
            <w:tcBorders/>
            <w:shd w:fill="FFFFFF" w:val="clear"/>
            <w:vAlign w:val="center"/>
          </w:tcPr>
          <w:p>
            <w:pPr>
              <w:pStyle w:val="TableContents"/>
              <w:bidi w:val="0"/>
              <w:spacing w:before="0" w:after="283"/>
              <w:jc w:val="left"/>
              <w:rPr/>
            </w:pPr>
            <w:r>
              <w:rPr/>
              <w:t xml:space="preserve">11.875% Senior Notes due </w:t>
            </w:r>
            <w:bookmarkStart w:id="491" w:name="xdx_905_eus-gaap--DebtInstrumentMaturity"/>
            <w:bookmarkEnd w:id="491"/>
            <w:r>
              <w:rPr/>
              <w:t>December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40,250,000</w:t>
            </w:r>
          </w:p>
        </w:tc>
        <w:tc>
          <w:tcPr>
            <w:tcW w:w="110" w:type="dxa"/>
            <w:tcBorders/>
            <w:shd w:fill="FFFFFF" w:val="clear"/>
            <w:vAlign w:val="center"/>
          </w:tcPr>
          <w:p>
            <w:pPr>
              <w:pStyle w:val="TableContents"/>
              <w:bidi w:val="0"/>
              <w:spacing w:before="0" w:after="283"/>
              <w:jc w:val="left"/>
              <w:rPr/>
            </w:pPr>
            <w:r>
              <w:rPr/>
              <w:t> </w:t>
            </w:r>
            <w:bookmarkStart w:id="492" w:name="xdx_409_ecustom--LongTermNotesPayableGro"/>
            <w:bookmarkEnd w:id="492"/>
          </w:p>
        </w:tc>
      </w:tr>
      <w:tr>
        <w:trPr/>
        <w:tc>
          <w:tcPr>
            <w:tcW w:w="4160" w:type="dxa"/>
            <w:tcBorders/>
            <w:shd w:fill="CCEEFF" w:val="clear"/>
            <w:vAlign w:val="center"/>
          </w:tcPr>
          <w:p>
            <w:pPr>
              <w:pStyle w:val="TableContents"/>
              <w:bidi w:val="0"/>
              <w:spacing w:before="0" w:after="283"/>
              <w:jc w:val="left"/>
              <w:rPr/>
            </w:pPr>
            <w:r>
              <w:rPr/>
              <w:t xml:space="preserve">Oaktree Loan due </w:t>
            </w:r>
            <w:bookmarkStart w:id="493" w:name="xdx_908_eus-gaap--DebtInstrumentMaturity"/>
            <w:bookmarkEnd w:id="493"/>
            <w:r>
              <w:rPr/>
              <w:t>January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111,263,000</w:t>
            </w:r>
          </w:p>
        </w:tc>
        <w:tc>
          <w:tcPr>
            <w:tcW w:w="110" w:type="dxa"/>
            <w:tcBorders/>
            <w:shd w:fill="CCEEFF" w:val="clear"/>
            <w:vAlign w:val="center"/>
          </w:tcPr>
          <w:p>
            <w:pPr>
              <w:pStyle w:val="TableContents"/>
              <w:bidi w:val="0"/>
              <w:spacing w:before="0" w:after="283"/>
              <w:jc w:val="left"/>
              <w:rPr/>
            </w:pPr>
            <w:r>
              <w:rPr/>
              <w:t> </w:t>
            </w:r>
            <w:bookmarkStart w:id="494" w:name="xdx_400_ecustom--LongTermNotesPayableGro"/>
            <w:bookmarkEnd w:id="494"/>
          </w:p>
        </w:tc>
      </w:tr>
      <w:tr>
        <w:trPr/>
        <w:tc>
          <w:tcPr>
            <w:tcW w:w="4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non-current,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226,513,000</w:t>
            </w:r>
          </w:p>
        </w:tc>
        <w:tc>
          <w:tcPr>
            <w:tcW w:w="110" w:type="dxa"/>
            <w:tcBorders/>
            <w:shd w:fill="FFFFFF" w:val="clear"/>
            <w:vAlign w:val="center"/>
          </w:tcPr>
          <w:p>
            <w:pPr>
              <w:pStyle w:val="TableContents"/>
              <w:bidi w:val="0"/>
              <w:spacing w:before="0" w:after="283"/>
              <w:jc w:val="left"/>
              <w:rPr/>
            </w:pPr>
            <w:r>
              <w:rPr/>
              <w:t> </w:t>
            </w:r>
            <w:bookmarkStart w:id="495" w:name="xdx_408_eus-gaap--DebtInstrumentUnamorti"/>
            <w:bookmarkEnd w:id="495"/>
          </w:p>
        </w:tc>
      </w:tr>
      <w:tr>
        <w:trPr/>
        <w:tc>
          <w:tcPr>
            <w:tcW w:w="4160" w:type="dxa"/>
            <w:tcBorders/>
            <w:shd w:fill="CCEEFF" w:val="clear"/>
            <w:vAlign w:val="center"/>
          </w:tcPr>
          <w:p>
            <w:pPr>
              <w:pStyle w:val="TableContents"/>
              <w:bidi w:val="0"/>
              <w:spacing w:before="0" w:after="283"/>
              <w:jc w:val="left"/>
              <w:rPr/>
            </w:pPr>
            <w:r>
              <w:rPr/>
              <w:t>Less: Unamortized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(6,974,000</w:t>
            </w:r>
          </w:p>
        </w:tc>
        <w:tc>
          <w:tcPr>
            <w:tcW w:w="110" w:type="dxa"/>
            <w:tcBorders/>
            <w:shd w:fill="CCEEFF" w:val="clear"/>
            <w:vAlign w:val="center"/>
          </w:tcPr>
          <w:p>
            <w:pPr>
              <w:pStyle w:val="TableContents"/>
              <w:bidi w:val="0"/>
              <w:spacing w:before="0" w:after="283"/>
              <w:jc w:val="left"/>
              <w:rPr/>
            </w:pPr>
            <w:r>
              <w:rPr/>
              <w:t>)</w:t>
            </w:r>
            <w:bookmarkStart w:id="496" w:name="xdx_402_eus-gaap--LongTermNotesPayable_i"/>
            <w:bookmarkEnd w:id="496"/>
          </w:p>
        </w:tc>
      </w:tr>
      <w:tr>
        <w:trPr/>
        <w:tc>
          <w:tcPr>
            <w:tcW w:w="4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non-current,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112,501,000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pPr>
            <w:r>
              <w:rPr/>
              <w:t>219,539,000</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497" w:name="xdx_8AC_zMHmwY1eaESk"/>
      <w:bookmarkEnd w:id="497"/>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2024, the total effective interest rate of the Company’s debt was </w:t>
      </w:r>
      <w:bookmarkStart w:id="498" w:name="xdx_903_eus-gaap--DebtInstrumentInterest"/>
      <w:bookmarkEnd w:id="498"/>
      <w:r>
        <w:rPr>
          <w:rFonts w:ascii="Times New Roman;Times;Serif" w:hAnsi="Times New Roman;Times;Serif"/>
          <w:b w:val="false"/>
          <w:i w:val="false"/>
          <w:caps w:val="false"/>
          <w:smallCaps w:val="false"/>
          <w:sz w:val="20"/>
        </w:rPr>
        <w:t>10.73% and </w:t>
      </w:r>
      <w:bookmarkStart w:id="499" w:name="xdx_90E_eus-gaap--DebtInstrumentInterest"/>
      <w:bookmarkEnd w:id="499"/>
      <w:r>
        <w:rPr>
          <w:rFonts w:ascii="Times New Roman;Times;Serif" w:hAnsi="Times New Roman;Times;Serif"/>
          <w:b w:val="false"/>
          <w:i w:val="false"/>
          <w:caps w:val="false"/>
          <w:smallCaps w:val="false"/>
          <w:sz w:val="20"/>
        </w:rPr>
        <w:t>10.78%,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0" w:name="xdx_89A_eus-gaap--ScheduleOfMaturitiesOf"/>
      <w:bookmarkEnd w:id="500"/>
      <w:r>
        <w:rPr>
          <w:rFonts w:ascii="Times New Roman;Times;Serif" w:hAnsi="Times New Roman;Times;Serif"/>
          <w:b w:val="false"/>
          <w:i w:val="false"/>
          <w:caps w:val="false"/>
          <w:smallCaps w:val="false"/>
          <w:sz w:val="20"/>
        </w:rPr>
        <w:t>At March 31, 2025, future minimum payments under the Company’s debt were as follows: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01" w:name="xdx_8B5_zf55g4tAkNi6"/>
      <w:bookmarkEnd w:id="501"/>
      <w:r>
        <w:rPr>
          <w:rFonts w:ascii="Times New Roman;Times;Serif" w:hAnsi="Times New Roman;Times;Serif"/>
          <w:b w:val="false"/>
          <w:i w:val="false"/>
          <w:caps w:val="false"/>
          <w:smallCaps w:val="false"/>
          <w:sz w:val="20"/>
        </w:rPr>
        <w:t>SCHEDULE OF FUTURE MINIMUM PAYMENT UNDER NOTES PAYABLES  </w:t>
      </w:r>
    </w:p>
    <w:tbl>
      <w:tblPr>
        <w:tblW w:w="5480" w:type="dxa"/>
        <w:jc w:val="left"/>
        <w:tblInd w:w="0" w:type="dxa"/>
        <w:tblLayout w:type="fixed"/>
        <w:tblCellMar>
          <w:top w:w="0" w:type="dxa"/>
          <w:left w:w="0" w:type="dxa"/>
          <w:bottom w:w="0" w:type="dxa"/>
          <w:right w:w="0" w:type="dxa"/>
        </w:tblCellMar>
      </w:tblPr>
      <w:tblGrid>
        <w:gridCol w:w="4085"/>
        <w:gridCol w:w="60"/>
        <w:gridCol w:w="125"/>
        <w:gridCol w:w="1115"/>
        <w:gridCol w:w="95"/>
      </w:tblGrid>
      <w:tr>
        <w:trPr/>
        <w:tc>
          <w:tcPr>
            <w:tcW w:w="40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02" w:name="xdx_49F_20250331_zj1unPvnyaCj"/>
            <w:bookmarkEnd w:id="502"/>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03" w:name="xdx_406_eus-gaap--LongTermDebtMaturities"/>
            <w:bookmarkEnd w:id="503"/>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4" w:name="xdx_40C_eus-gaap--LongTermDebtMaturities"/>
            <w:bookmarkEnd w:id="504"/>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193,830,000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5" w:name="xdx_409_eus-gaap--LongTermDebtMaturities"/>
            <w:bookmarkEnd w:id="505"/>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6" w:name="xdx_403_eus-gaap--LongTermDebt_iTI_mtCzg"/>
            <w:bookmarkEnd w:id="506"/>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minimum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256,911,000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7" w:name="xdx_40C_eus-gaap--PrepaidInterest_iNI_di"/>
            <w:bookmarkEnd w:id="507"/>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amount representing interest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(30,398,000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8" w:name="xdx_401_eus-gaap--DebtInstrumentCarrying"/>
            <w:bookmarkEnd w:id="508"/>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gross principal amount due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226,513,000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9" w:name="xdx_400_eus-gaap--NotesPayableCurrent_iN"/>
            <w:bookmarkEnd w:id="509"/>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net of unamortized discount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(108,313,000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0" w:name="xdx_40F_eus-gaap--DebtInstrumentUnamorti"/>
            <w:bookmarkEnd w:id="510"/>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discount, net of 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1" w:name="xdx_40F_eus-gaap--LongTermNotesPayable_i"/>
            <w:bookmarkEnd w:id="511"/>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net of unamortized discount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bookmarkStart w:id="512" w:name="xdx_8AB_zsrVOlec4wv3"/>
      <w:bookmarkEnd w:id="51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3" w:name="xdx_80B_eus-gaap--LesseeOperatingLeasesT"/>
      <w:bookmarkEnd w:id="513"/>
      <w:r>
        <w:rPr>
          <w:rFonts w:ascii="Times New Roman;Times;Serif" w:hAnsi="Times New Roman;Times;Serif"/>
          <w:b/>
          <w:i w:val="false"/>
          <w:caps w:val="false"/>
          <w:smallCaps w:val="false"/>
          <w:sz w:val="20"/>
        </w:rPr>
        <w:t xml:space="preserve">NOTE 11. </w:t>
      </w:r>
      <w:bookmarkStart w:id="514" w:name="xdx_822_z5qJqviF2eqa"/>
      <w:bookmarkEnd w:id="514"/>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and laboratory space under the non-cancelable operating leases listed below. Except as indicated, these lease agreements have remaining terms between two</w:t>
      </w:r>
      <w:bookmarkStart w:id="515" w:name="xdx_90F_eus-gaap--LesseeOperatingLeaseRe"/>
      <w:bookmarkEnd w:id="515"/>
      <w:r>
        <w:rPr>
          <w:rFonts w:ascii="Times New Roman;Times;Serif" w:hAnsi="Times New Roman;Times;Serif"/>
          <w:b w:val="false"/>
          <w:i w:val="false"/>
          <w:caps w:val="false"/>
          <w:smallCaps w:val="false"/>
          <w:sz w:val="20"/>
        </w:rPr>
        <w:t xml:space="preserve">2 to </w:t>
      </w:r>
      <w:bookmarkStart w:id="516" w:name="xdx_900_eus-gaap--LesseeOperatingLeaseRe"/>
      <w:bookmarkEnd w:id="516"/>
      <w:r>
        <w:rPr>
          <w:rFonts w:ascii="Times New Roman;Times;Serif" w:hAnsi="Times New Roman;Times;Serif"/>
          <w:b w:val="false"/>
          <w:i w:val="false"/>
          <w:caps w:val="false"/>
          <w:smallCaps w:val="false"/>
          <w:sz w:val="20"/>
        </w:rPr>
        <w:t>seven years and contain various clauses for renewal at the Company’s option.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lease for </w:t>
            </w:r>
            <w:bookmarkStart w:id="517" w:name="xdx_902_eus-gaap--AreaOfLand_iI_uSquareF"/>
            <w:bookmarkEnd w:id="517"/>
            <w:r>
              <w:rPr>
                <w:rFonts w:ascii="Times New Roman;Times;Serif" w:hAnsi="Times New Roman;Times;Serif"/>
                <w:b w:val="false"/>
                <w:i w:val="false"/>
                <w:caps w:val="false"/>
                <w:smallCaps w:val="false"/>
                <w:sz w:val="20"/>
              </w:rPr>
              <w:t>38,200 square feet of lab, warehouse and office space in Ledgewood, New Jersey that expires in </w:t>
            </w:r>
            <w:bookmarkStart w:id="518" w:name="xdx_906_ecustom--LeaseExpirationDateDesc"/>
            <w:bookmarkEnd w:id="518"/>
            <w:r>
              <w:rPr>
                <w:rFonts w:ascii="Times New Roman;Times;Serif" w:hAnsi="Times New Roman;Times;Serif"/>
                <w:b w:val="false"/>
                <w:i w:val="false"/>
                <w:caps w:val="false"/>
                <w:smallCaps w:val="false"/>
                <w:sz w:val="20"/>
              </w:rPr>
              <w:t>July 2027, with an option to extend the term for two additional five-year periods. This lease was amended, effective July 2020, to extend the term of the original lease and add </w:t>
            </w:r>
            <w:bookmarkStart w:id="519" w:name="xdx_907_ecustom--AdditionalAreaOfLand_uS"/>
            <w:bookmarkEnd w:id="519"/>
            <w:r>
              <w:rPr>
                <w:rFonts w:ascii="Times New Roman;Times;Serif" w:hAnsi="Times New Roman;Times;Serif"/>
                <w:b w:val="false"/>
                <w:i w:val="false"/>
                <w:caps w:val="false"/>
                <w:smallCaps w:val="false"/>
                <w:sz w:val="20"/>
              </w:rPr>
              <w:t xml:space="preserve">1,400 of additional square footage to the lease, amended again in May 2021 to extend the term of the lease to </w:t>
            </w:r>
            <w:bookmarkStart w:id="520" w:name="xdx_909_ecustom--LeaseExpirationDateDesc"/>
            <w:bookmarkEnd w:id="520"/>
            <w:r>
              <w:rPr>
                <w:rFonts w:ascii="Times New Roman;Times;Serif" w:hAnsi="Times New Roman;Times;Serif"/>
                <w:b w:val="false"/>
                <w:i w:val="false"/>
                <w:caps w:val="false"/>
                <w:smallCaps w:val="false"/>
                <w:sz w:val="20"/>
              </w:rPr>
              <w:t>July 2027 and add </w:t>
            </w:r>
            <w:bookmarkStart w:id="521" w:name="xdx_902_ecustom--AdditionalAreaOfLand_uS"/>
            <w:bookmarkEnd w:id="521"/>
            <w:r>
              <w:rPr>
                <w:rFonts w:ascii="Times New Roman;Times;Serif" w:hAnsi="Times New Roman;Times;Serif"/>
                <w:b w:val="false"/>
                <w:i w:val="false"/>
                <w:caps w:val="false"/>
                <w:smallCaps w:val="false"/>
                <w:sz w:val="20"/>
              </w:rPr>
              <w:t xml:space="preserve">8,900 square feet of space, and amended in May 2023 to add another </w:t>
            </w:r>
            <w:bookmarkStart w:id="522" w:name="xdx_90F_ecustom--AdditionalAreaOfLand_uS"/>
            <w:bookmarkEnd w:id="522"/>
            <w:r>
              <w:rPr>
                <w:rFonts w:ascii="Times New Roman;Times;Serif" w:hAnsi="Times New Roman;Times;Serif"/>
                <w:b w:val="false"/>
                <w:i w:val="false"/>
                <w:caps w:val="false"/>
                <w:smallCaps w:val="false"/>
                <w:sz w:val="20"/>
              </w:rPr>
              <w:t>2,900 square feet of space to the existing lease, which the Company took possession of in January 2024.</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lease for </w:t>
            </w:r>
            <w:bookmarkStart w:id="523" w:name="xdx_901_eus-gaap--AreaOfLand_iI_uSquareF"/>
            <w:bookmarkEnd w:id="523"/>
            <w:r>
              <w:rPr>
                <w:rFonts w:ascii="Times New Roman;Times;Serif" w:hAnsi="Times New Roman;Times;Serif"/>
                <w:b w:val="false"/>
                <w:i w:val="false"/>
                <w:caps w:val="false"/>
                <w:smallCaps w:val="false"/>
                <w:sz w:val="20"/>
              </w:rPr>
              <w:t>17,700 square feet of office space in Nashville, Tennessee that expires in </w:t>
            </w:r>
            <w:bookmarkStart w:id="524" w:name="xdx_90A_ecustom--LeaseExpirationDateDesc"/>
            <w:bookmarkEnd w:id="524"/>
            <w:r>
              <w:rPr>
                <w:rFonts w:ascii="Times New Roman;Times;Serif" w:hAnsi="Times New Roman;Times;Serif"/>
                <w:b w:val="false"/>
                <w:i w:val="false"/>
                <w:caps w:val="false"/>
                <w:smallCaps w:val="false"/>
                <w:sz w:val="20"/>
              </w:rPr>
              <w:t>June 2032, and includes options to extend the lease term to June 2042.</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lease for </w:t>
            </w:r>
            <w:bookmarkStart w:id="525" w:name="xdx_905_eus-gaap--AreaOfLand_iI_uSquareF"/>
            <w:bookmarkEnd w:id="525"/>
            <w:r>
              <w:rPr>
                <w:rFonts w:ascii="Times New Roman;Times;Serif" w:hAnsi="Times New Roman;Times;Serif"/>
                <w:b w:val="false"/>
                <w:i w:val="false"/>
                <w:caps w:val="false"/>
                <w:smallCaps w:val="false"/>
                <w:sz w:val="20"/>
              </w:rPr>
              <w:t>11,600 square feet of lab and office space in Nashville, Tennessee which commenced in September 2022 and expires in </w:t>
            </w:r>
            <w:bookmarkStart w:id="526" w:name="xdx_908_ecustom--LeaseExpirationDateDesc"/>
            <w:bookmarkEnd w:id="526"/>
            <w:r>
              <w:rPr>
                <w:rFonts w:ascii="Times New Roman;Times;Serif" w:hAnsi="Times New Roman;Times;Serif"/>
                <w:b w:val="false"/>
                <w:i w:val="false"/>
                <w:caps w:val="false"/>
                <w:smallCaps w:val="false"/>
                <w:sz w:val="20"/>
              </w:rPr>
              <w:t>September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2025, the weighted average incremental borrowing rate and the weighted average remaining lease term for the operating leases held by the Company were </w:t>
      </w:r>
      <w:bookmarkStart w:id="527" w:name="xdx_903_eus-gaap--OperatingLeaseWeighted"/>
      <w:bookmarkEnd w:id="527"/>
      <w:r>
        <w:rPr>
          <w:rFonts w:ascii="Times New Roman;Times;Serif" w:hAnsi="Times New Roman;Times;Serif"/>
          <w:b w:val="false"/>
          <w:i w:val="false"/>
          <w:caps w:val="false"/>
          <w:smallCaps w:val="false"/>
          <w:sz w:val="20"/>
        </w:rPr>
        <w:t xml:space="preserve">8.04% and </w:t>
      </w:r>
      <w:bookmarkStart w:id="528" w:name="xdx_901_eus-gaap--OperatingLeaseWeighted"/>
      <w:bookmarkEnd w:id="528"/>
      <w:r>
        <w:rPr>
          <w:rFonts w:ascii="Times New Roman;Times;Serif" w:hAnsi="Times New Roman;Times;Serif"/>
          <w:b w:val="false"/>
          <w:i w:val="false"/>
          <w:caps w:val="false"/>
          <w:smallCaps w:val="false"/>
          <w:sz w:val="20"/>
        </w:rPr>
        <w:t>9.98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and 2024, cash paid for amounts included for the operating lease liabilities was $</w:t>
      </w:r>
      <w:bookmarkStart w:id="529" w:name="xdx_905_eus-gaap--OperatingLeasePayments"/>
      <w:bookmarkEnd w:id="529"/>
      <w:r>
        <w:rPr>
          <w:rFonts w:ascii="Times New Roman;Times;Serif" w:hAnsi="Times New Roman;Times;Serif"/>
          <w:b w:val="false"/>
          <w:i w:val="false"/>
          <w:caps w:val="false"/>
          <w:smallCaps w:val="false"/>
          <w:sz w:val="20"/>
        </w:rPr>
        <w:t>281,000 and $</w:t>
      </w:r>
      <w:bookmarkStart w:id="530" w:name="xdx_903_eus-gaap--OperatingLeasePayments"/>
      <w:bookmarkEnd w:id="530"/>
      <w:r>
        <w:rPr>
          <w:rFonts w:ascii="Times New Roman;Times;Serif" w:hAnsi="Times New Roman;Times;Serif"/>
          <w:b w:val="false"/>
          <w:i w:val="false"/>
          <w:caps w:val="false"/>
          <w:smallCaps w:val="false"/>
          <w:sz w:val="20"/>
        </w:rPr>
        <w:t>327,000, respectively. During the three months ended March 31, 2025 and 2024, the Company recorded operating lease expense of $</w:t>
      </w:r>
      <w:bookmarkStart w:id="531" w:name="xdx_90F_eus-gaap--OperatingLeaseExpense_"/>
      <w:bookmarkEnd w:id="531"/>
      <w:r>
        <w:rPr>
          <w:rFonts w:ascii="Times New Roman;Times;Serif" w:hAnsi="Times New Roman;Times;Serif"/>
          <w:b w:val="false"/>
          <w:i w:val="false"/>
          <w:caps w:val="false"/>
          <w:smallCaps w:val="false"/>
          <w:sz w:val="20"/>
        </w:rPr>
        <w:t>385,000 and $</w:t>
      </w:r>
      <w:bookmarkStart w:id="532" w:name="xdx_901_eus-gaap--OperatingLeaseExpense_"/>
      <w:bookmarkEnd w:id="532"/>
      <w:r>
        <w:rPr>
          <w:rFonts w:ascii="Times New Roman;Times;Serif" w:hAnsi="Times New Roman;Times;Serif"/>
          <w:b w:val="false"/>
          <w:i w:val="false"/>
          <w:caps w:val="false"/>
          <w:smallCaps w:val="false"/>
          <w:sz w:val="20"/>
        </w:rPr>
        <w:t>319,000, respectively, which is included in selling,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3" w:name="xdx_89E_eus-gaap--LesseeOperatingLeaseLi"/>
      <w:bookmarkEnd w:id="533"/>
      <w:r>
        <w:rPr>
          <w:rFonts w:ascii="Times New Roman;Times;Serif" w:hAnsi="Times New Roman;Times;Serif"/>
          <w:b w:val="false"/>
          <w:i w:val="false"/>
          <w:caps w:val="false"/>
          <w:smallCaps w:val="false"/>
          <w:sz w:val="20"/>
        </w:rPr>
        <w:t>Future lease payments under operating leases as of March 31, 2025 were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bookmarkStart w:id="534" w:name="xdx_8BF_zARCaYkTvkCf"/>
      <w:bookmarkEnd w:id="534"/>
      <w:r>
        <w:rPr>
          <w:rFonts w:ascii="Times New Roman;Times;Serif" w:hAnsi="Times New Roman;Times;Serif"/>
          <w:b w:val="false"/>
          <w:i w:val="false"/>
          <w:caps w:val="false"/>
          <w:smallCaps w:val="false"/>
          <w:sz w:val="20"/>
        </w:rPr>
        <w:t>SCHEDULE OF FUTURE LEASE PAYMENTS UNDER OPERATING LEASES  </w:t>
      </w:r>
    </w:p>
    <w:tbl>
      <w:tblPr>
        <w:tblW w:w="5745" w:type="dxa"/>
        <w:jc w:val="left"/>
        <w:tblInd w:w="0" w:type="dxa"/>
        <w:tblLayout w:type="fixed"/>
        <w:tblCellMar>
          <w:top w:w="0" w:type="dxa"/>
          <w:left w:w="0" w:type="dxa"/>
          <w:bottom w:w="0" w:type="dxa"/>
          <w:right w:w="0" w:type="dxa"/>
        </w:tblCellMar>
      </w:tblPr>
      <w:tblGrid>
        <w:gridCol w:w="4085"/>
        <w:gridCol w:w="60"/>
        <w:gridCol w:w="175"/>
        <w:gridCol w:w="1330"/>
        <w:gridCol w:w="95"/>
      </w:tblGrid>
      <w:tr>
        <w:trPr/>
        <w:tc>
          <w:tcPr>
            <w:tcW w:w="40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35" w:name="xdx_495_20250331_zbJJuSTQUl53"/>
            <w:bookmarkEnd w:id="535"/>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36" w:name="xdx_40E_eus-gaap--LesseeOperatingLeaseLi"/>
            <w:bookmarkEnd w:id="536"/>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7" w:name="xdx_408_eus-gaap--LesseeOperatingLeaseLi"/>
            <w:bookmarkEnd w:id="537"/>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38" w:name="xdx_40E_eus-gaap--LesseeOperatingLeaseLi"/>
            <w:bookmarkEnd w:id="538"/>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9" w:name="xdx_400_eus-gaap--LesseeOperatingLeaseLi"/>
            <w:bookmarkEnd w:id="539"/>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0" w:name="xdx_40A_eus-gaap--LesseeOperatingLeaseLi"/>
            <w:bookmarkEnd w:id="540"/>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1" w:name="xdx_401_ecustom--LesseeOperatingLeaseLia"/>
            <w:bookmarkEnd w:id="541"/>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2" w:name="xdx_401_eus-gaap--LesseeOperatingLeaseLi"/>
            <w:bookmarkEnd w:id="542"/>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minimum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3" w:name="xdx_400_eus-gaap--LesseeOperatingLeaseLi"/>
            <w:bookmarkEnd w:id="543"/>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amount representing interest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(3,986,000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44" w:name="xdx_406_eus-gaap--OperatingLeaseLiabilit"/>
            <w:bookmarkEnd w:id="544"/>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5" w:name="xdx_40E_eus-gaap--OperatingLeaseLiabilit"/>
            <w:bookmarkEnd w:id="545"/>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operating lease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46" w:name="xdx_40C_eus-gaap--OperatingLeaseLiabilit"/>
            <w:bookmarkEnd w:id="546"/>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47" w:name="xdx_8AF_z3y0LBfCk0H9"/>
      <w:bookmarkEnd w:id="54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8" w:name="xdx_801_eus-gaap--ShareholdersEquityAndS"/>
      <w:bookmarkEnd w:id="548"/>
      <w:r>
        <w:rPr>
          <w:rFonts w:ascii="Times New Roman;Times;Serif" w:hAnsi="Times New Roman;Times;Serif"/>
          <w:b/>
          <w:i w:val="false"/>
          <w:caps w:val="false"/>
          <w:smallCaps w:val="false"/>
          <w:sz w:val="20"/>
        </w:rPr>
        <w:t xml:space="preserve">NOTE 12. </w:t>
      </w:r>
      <w:bookmarkStart w:id="549" w:name="xdx_826_zBec2iKAAI3j"/>
      <w:bookmarkEnd w:id="549"/>
      <w:r>
        <w:rPr>
          <w:rFonts w:ascii="Times New Roman;Times;Serif" w:hAnsi="Times New Roman;Times;Serif"/>
          <w:b/>
          <w:i w:val="false"/>
          <w:caps w:val="false"/>
          <w:smallCaps w:val="false"/>
          <w:sz w:val="20"/>
        </w:rPr>
        <w:t>STOCKHOLDERS’ EQUITY AND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the Company issued </w:t>
      </w:r>
      <w:bookmarkStart w:id="550" w:name="xdx_90B_eus-gaap--StockIssuedDuringPerio"/>
      <w:bookmarkEnd w:id="550"/>
      <w:r>
        <w:rPr>
          <w:rFonts w:ascii="Times New Roman;Times;Serif" w:hAnsi="Times New Roman;Times;Serif"/>
          <w:b w:val="false"/>
          <w:i w:val="false"/>
          <w:caps w:val="false"/>
          <w:smallCaps w:val="false"/>
          <w:sz w:val="20"/>
        </w:rPr>
        <w:t>2,743 shares of common stock and received proceeds of $</w:t>
      </w:r>
      <w:bookmarkStart w:id="551" w:name="xdx_90F_eus-gaap--ProceedsFromStockOptio"/>
      <w:bookmarkEnd w:id="551"/>
      <w:r>
        <w:rPr>
          <w:rFonts w:ascii="Times New Roman;Times;Serif" w:hAnsi="Times New Roman;Times;Serif"/>
          <w:b w:val="false"/>
          <w:i w:val="false"/>
          <w:caps w:val="false"/>
          <w:smallCaps w:val="false"/>
          <w:sz w:val="20"/>
        </w:rPr>
        <w:t xml:space="preserve">23,000 upon the exercise of options to purchase </w:t>
      </w:r>
      <w:bookmarkStart w:id="552" w:name="xdx_903_eus-gaap--StockIssuedDuringPerio"/>
      <w:bookmarkEnd w:id="552"/>
      <w:r>
        <w:rPr>
          <w:rFonts w:ascii="Times New Roman;Times;Serif" w:hAnsi="Times New Roman;Times;Serif"/>
          <w:b w:val="false"/>
          <w:i w:val="false"/>
          <w:caps w:val="false"/>
          <w:smallCaps w:val="false"/>
          <w:sz w:val="20"/>
        </w:rPr>
        <w:t>2,743 shares of common stock with exercise prices ranging from $</w:t>
      </w:r>
      <w:bookmarkStart w:id="553" w:name="xdx_902_eus-gaap--ShareBasedCompensation"/>
      <w:bookmarkEnd w:id="553"/>
      <w:r>
        <w:rPr>
          <w:rFonts w:ascii="Times New Roman;Times;Serif" w:hAnsi="Times New Roman;Times;Serif"/>
          <w:b w:val="false"/>
          <w:i w:val="false"/>
          <w:caps w:val="false"/>
          <w:smallCaps w:val="false"/>
          <w:sz w:val="20"/>
        </w:rPr>
        <w:t>6.85 to $</w:t>
      </w:r>
      <w:bookmarkStart w:id="554" w:name="xdx_909_eus-gaap--ShareBasedCompensation"/>
      <w:bookmarkEnd w:id="554"/>
      <w:r>
        <w:rPr>
          <w:rFonts w:ascii="Times New Roman;Times;Serif" w:hAnsi="Times New Roman;Times;Serif"/>
          <w:b w:val="false"/>
          <w:i w:val="false"/>
          <w:caps w:val="false"/>
          <w:smallCaps w:val="false"/>
          <w:sz w:val="20"/>
        </w:rPr>
        <w:t>15.17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30, 2025, the Company issued </w:t>
      </w:r>
      <w:bookmarkStart w:id="555" w:name="xdx_903_eus-gaap--StockIssuedDuringPerio"/>
      <w:bookmarkEnd w:id="555"/>
      <w:r>
        <w:rPr>
          <w:rFonts w:ascii="Times New Roman;Times;Serif" w:hAnsi="Times New Roman;Times;Serif"/>
          <w:b w:val="false"/>
          <w:i w:val="false"/>
          <w:caps w:val="false"/>
          <w:smallCaps w:val="false"/>
          <w:sz w:val="20"/>
        </w:rPr>
        <w:t>29,214 shares of its common stock underlying RSUs held by a director that ceased providing services to the Company. The RSUs had previously vested, including </w:t>
      </w:r>
      <w:bookmarkStart w:id="556" w:name="xdx_90B_eus-gaap--ShareBasedCompensation"/>
      <w:bookmarkEnd w:id="556"/>
      <w:r>
        <w:rPr>
          <w:rFonts w:ascii="Times New Roman;Times;Serif" w:hAnsi="Times New Roman;Times;Serif"/>
          <w:b w:val="false"/>
          <w:i w:val="false"/>
          <w:caps w:val="false"/>
          <w:smallCaps w:val="false"/>
          <w:sz w:val="20"/>
        </w:rPr>
        <w:t>4,173 RSUs that vested during the three months ended March 31, 2025, but the issuance and delivery of the shares were deferred until the director ceased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w:t>
      </w:r>
      <w:bookmarkStart w:id="557" w:name="xdx_90D_eus-gaap--StockIssuedDuringPerio"/>
      <w:bookmarkEnd w:id="557"/>
      <w:r>
        <w:rPr>
          <w:rFonts w:ascii="Times New Roman;Times;Serif" w:hAnsi="Times New Roman;Times;Serif"/>
          <w:b w:val="false"/>
          <w:i w:val="false"/>
          <w:caps w:val="false"/>
          <w:smallCaps w:val="false"/>
          <w:sz w:val="20"/>
        </w:rPr>
        <w:t>8,904 shares of the Company’s common stock underlying RSUs issued to directors vested, but the issuance and delivery of these shares are deferred until the applicable person ceases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w:t>
      </w:r>
      <w:bookmarkStart w:id="558" w:name="xdx_908_eus-gaap--StockIssuedDuringPerio"/>
      <w:bookmarkEnd w:id="558"/>
      <w:r>
        <w:rPr>
          <w:rFonts w:ascii="Times New Roman;Times;Serif" w:hAnsi="Times New Roman;Times;Serif"/>
          <w:b w:val="false"/>
          <w:i w:val="false"/>
          <w:caps w:val="false"/>
          <w:smallCaps w:val="false"/>
          <w:sz w:val="20"/>
        </w:rPr>
        <w:t>4,333 shares of the Company’s common stock underlying RSUs issued to consultants vested, but the issuance and delivery of these shares has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March 31, 2024, the 2017 Plan provides for the issuance of a maximum of </w:t>
      </w:r>
      <w:bookmarkStart w:id="559" w:name="xdx_90D_eus-gaap--ShareBasedCompensation"/>
      <w:bookmarkEnd w:id="559"/>
      <w:r>
        <w:rPr>
          <w:rFonts w:ascii="Times New Roman;Times;Serif" w:hAnsi="Times New Roman;Times;Serif"/>
          <w:b w:val="false"/>
          <w:i w:val="false"/>
          <w:caps w:val="false"/>
          <w:smallCaps w:val="false"/>
          <w:sz w:val="20"/>
        </w:rPr>
        <w:t>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w:t>
      </w:r>
      <w:bookmarkStart w:id="560" w:name="xdx_902_eus-gaap--CommonStockCapitalShar"/>
      <w:bookmarkEnd w:id="560"/>
      <w:r>
        <w:rPr>
          <w:rFonts w:ascii="Times New Roman;Times;Serif" w:hAnsi="Times New Roman;Times;Serif"/>
          <w:b w:val="false"/>
          <w:i w:val="false"/>
          <w:caps w:val="false"/>
          <w:smallCaps w:val="false"/>
          <w:sz w:val="20"/>
        </w:rPr>
        <w:t>70,642 shares available for future issuances under the 2017 Plan at March 31, 2025.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61" w:name="xdx_896_eus-gaap--ScheduleOfShareBasedCo"/>
      <w:bookmarkEnd w:id="561"/>
      <w:r>
        <w:rPr>
          <w:rFonts w:ascii="Times New Roman;Times;Serif" w:hAnsi="Times New Roman;Times;Serif"/>
          <w:b w:val="false"/>
          <w:i w:val="false"/>
          <w:caps w:val="false"/>
          <w:smallCaps w:val="false"/>
          <w:sz w:val="20"/>
        </w:rPr>
        <w:t>A summary of stock option activity under the Plans for the three months ended March 31, 2025 is as follows:</w:t>
      </w:r>
    </w:p>
    <w:p>
      <w:pPr>
        <w:pStyle w:val="TextBody"/>
        <w:bidi w:val="0"/>
        <w:spacing w:before="0" w:after="0"/>
        <w:ind w:left="0" w:right="0" w:hanging="0"/>
        <w:jc w:val="left"/>
        <w:rPr>
          <w:caps w:val="false"/>
          <w:smallCaps w:val="false"/>
        </w:rPr>
      </w:pPr>
      <w:r>
        <w:rPr>
          <w:caps w:val="false"/>
          <w:smallCaps w:val="false"/>
        </w:rPr>
        <w:t> </w:t>
      </w:r>
      <w:bookmarkStart w:id="562" w:name="xdx_8B3_zi0CTXlp5mY2"/>
      <w:bookmarkEnd w:id="562"/>
      <w:r>
        <w:rPr>
          <w:rFonts w:ascii="Times New Roman;Times;Serif" w:hAnsi="Times New Roman;Times;Serif"/>
          <w:b w:val="false"/>
          <w:i w:val="false"/>
          <w:caps w:val="false"/>
          <w:smallCaps w:val="false"/>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182"/>
        <w:gridCol w:w="60"/>
        <w:gridCol w:w="82"/>
        <w:gridCol w:w="1161"/>
        <w:gridCol w:w="80"/>
        <w:gridCol w:w="60"/>
        <w:gridCol w:w="394"/>
        <w:gridCol w:w="1534"/>
        <w:gridCol w:w="60"/>
        <w:gridCol w:w="60"/>
        <w:gridCol w:w="358"/>
        <w:gridCol w:w="2289"/>
        <w:gridCol w:w="60"/>
        <w:gridCol w:w="60"/>
        <w:gridCol w:w="195"/>
        <w:gridCol w:w="1490"/>
        <w:gridCol w:w="80"/>
      </w:tblGrid>
      <w:tr>
        <w:trPr/>
        <w:tc>
          <w:tcPr>
            <w:tcW w:w="21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Contractual Life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Intrinsic 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outstanding –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3" w:name="xdx_985_eus-gaap--ShareBasedCompensation"/>
            <w:bookmarkEnd w:id="563"/>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4" w:name="xdx_98A_eus-gaap--ShareBasedCompensation"/>
            <w:bookmarkEnd w:id="564"/>
          </w:p>
        </w:tc>
        <w:tc>
          <w:tcPr>
            <w:tcW w:w="1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5" w:name="xdx_98C_eus-gaap--ShareBasedCompensation"/>
            <w:bookmarkEnd w:id="565"/>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6" w:name="xdx_988_eus-gaap--ShareBasedCompensation"/>
            <w:bookmarkEnd w:id="566"/>
          </w:p>
        </w:tc>
        <w:tc>
          <w:tcPr>
            <w:tcW w:w="1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7" w:name="xdx_98A_eus-gaap--StockIssuedDuringPerio"/>
            <w:bookmarkEnd w:id="567"/>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8" w:name="xdx_987_eus-gaap--ShareBasedCompensation"/>
            <w:bookmarkEnd w:id="568"/>
          </w:p>
        </w:tc>
        <w:tc>
          <w:tcPr>
            <w:tcW w:w="1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cancelled/forfeited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9" w:name="xdx_989_eus-gaap--ShareBasedCompensation"/>
            <w:bookmarkEnd w:id="569"/>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0" w:name="xdx_98B_eus-gaap--ShareBasedCompensation"/>
            <w:bookmarkEnd w:id="570"/>
          </w:p>
        </w:tc>
        <w:tc>
          <w:tcPr>
            <w:tcW w:w="1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outstanding –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1" w:name="xdx_98C_eus-gaap--ShareBasedCompensation"/>
            <w:bookmarkEnd w:id="571"/>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2" w:name="xdx_98D_eus-gaap--ShareBasedCompensation"/>
            <w:bookmarkEnd w:id="572"/>
          </w:p>
        </w:tc>
        <w:tc>
          <w:tcPr>
            <w:tcW w:w="1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3" w:name="xdx_90D_eus-gaap--SharebasedCompensation"/>
            <w:bookmarkEnd w:id="573"/>
            <w:r>
              <w:rPr>
                <w:rFonts w:ascii="Times New Roman;Times;Serif" w:hAnsi="Times New Roman;Times;Serif"/>
                <w:b w:val="false"/>
                <w:i w:val="false"/>
                <w:caps w:val="false"/>
                <w:smallCaps w:val="false"/>
                <w:sz w:val="20"/>
              </w:rPr>
              <w:t>2.97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4" w:name="xdx_980_eus-gaap--ShareBasedCompensation"/>
            <w:bookmarkEnd w:id="574"/>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49,489,000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exercisable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5" w:name="xdx_986_eus-gaap--ShareBasedCompensation"/>
            <w:bookmarkEnd w:id="575"/>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2,243,882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6" w:name="xdx_98E_eus-gaap--ShareBasedCompensation"/>
            <w:bookmarkEnd w:id="576"/>
          </w:p>
        </w:tc>
        <w:tc>
          <w:tcPr>
            <w:tcW w:w="1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7" w:name="xdx_902_eus-gaap--SharebasedCompensation"/>
            <w:bookmarkEnd w:id="577"/>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8" w:name="xdx_98B_eus-gaap--SharebasedCompensation"/>
            <w:bookmarkEnd w:id="578"/>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47,202,000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expected to vest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9" w:name="xdx_986_eus-gaap--ShareBasedCompensation"/>
            <w:bookmarkEnd w:id="579"/>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0" w:name="xdx_981_eus-gaap--ShareBasedCompensation"/>
            <w:bookmarkEnd w:id="580"/>
          </w:p>
        </w:tc>
        <w:tc>
          <w:tcPr>
            <w:tcW w:w="1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1" w:name="xdx_90A_eus-gaap--SharebasedCompensation"/>
            <w:bookmarkEnd w:id="581"/>
            <w:r>
              <w:rPr>
                <w:rFonts w:ascii="Times New Roman;Times;Serif" w:hAnsi="Times New Roman;Times;Serif"/>
                <w:b w:val="false"/>
                <w:i w:val="false"/>
                <w:caps w:val="false"/>
                <w:smallCaps w:val="false"/>
                <w:sz w:val="20"/>
              </w:rPr>
              <w:t>2.90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2" w:name="xdx_988_eus-gaap--ShareBasedCompensation"/>
            <w:bookmarkEnd w:id="582"/>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83" w:name="xdx_8A0_z3CWFMm06SQ4"/>
      <w:bookmarkEnd w:id="5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March 31, 2025, based on the closing price of the Company’s common stock of $</w:t>
      </w:r>
      <w:bookmarkStart w:id="584" w:name="xdx_906_eus-gaap--SharePrice_iI_pid_c202"/>
      <w:bookmarkEnd w:id="584"/>
      <w:r>
        <w:rPr>
          <w:rFonts w:ascii="Times New Roman;Times;Serif" w:hAnsi="Times New Roman;Times;Serif"/>
          <w:b w:val="false"/>
          <w:i w:val="false"/>
          <w:caps w:val="false"/>
          <w:smallCaps w:val="false"/>
          <w:sz w:val="20"/>
        </w:rPr>
        <w:t>26.60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2025, the Company granted stock options to certain employees. </w:t>
      </w:r>
      <w:bookmarkStart w:id="585" w:name="xdx_909_eus-gaap--ShareBasedCompensation"/>
      <w:bookmarkEnd w:id="585"/>
      <w:r>
        <w:rPr>
          <w:rFonts w:ascii="Times New Roman;Times;Serif" w:hAnsi="Times New Roman;Times;Serif"/>
          <w:b w:val="false"/>
          <w:i w:val="false"/>
          <w:caps w:val="false"/>
          <w:smallCaps w:val="false"/>
          <w:sz w:val="20"/>
        </w:rPr>
        <w:t>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three months ended March 31, 2025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586" w:name="xdx_90A_ecustom--ShareBasedCompensationA"/>
      <w:bookmarkEnd w:id="586"/>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7" w:name="xdx_89E_eus-gaap--ScheduleOfShareBasedPa"/>
      <w:bookmarkEnd w:id="587"/>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ind w:left="0" w:right="0" w:hanging="0"/>
        <w:jc w:val="both"/>
        <w:rPr>
          <w:caps w:val="false"/>
          <w:smallCaps w:val="false"/>
        </w:rPr>
      </w:pPr>
      <w:r>
        <w:rPr>
          <w:caps w:val="false"/>
          <w:smallCaps w:val="false"/>
        </w:rPr>
        <w:t> </w:t>
      </w:r>
      <w:bookmarkStart w:id="588" w:name="xdx_8BC_zpcrNWKwBENh"/>
      <w:bookmarkEnd w:id="588"/>
      <w:r>
        <w:rPr>
          <w:rFonts w:ascii="Times New Roman;Times;Serif" w:hAnsi="Times New Roman;Times;Serif"/>
          <w:b w:val="false"/>
          <w:i w:val="false"/>
          <w:caps w:val="false"/>
          <w:smallCaps w:val="false"/>
          <w:sz w:val="20"/>
        </w:rPr>
        <w:t>SCHEDULE OF FAIR VALUE ASSUMPTIONS</w:t>
      </w:r>
    </w:p>
    <w:tbl>
      <w:tblPr>
        <w:tblW w:w="4730" w:type="dxa"/>
        <w:jc w:val="left"/>
        <w:tblInd w:w="0" w:type="dxa"/>
        <w:tblLayout w:type="fixed"/>
        <w:tblCellMar>
          <w:top w:w="0" w:type="dxa"/>
          <w:left w:w="0" w:type="dxa"/>
          <w:bottom w:w="0" w:type="dxa"/>
          <w:right w:w="0" w:type="dxa"/>
        </w:tblCellMar>
      </w:tblPr>
      <w:tblGrid>
        <w:gridCol w:w="3860"/>
        <w:gridCol w:w="60"/>
        <w:gridCol w:w="125"/>
        <w:gridCol w:w="485"/>
        <w:gridCol w:w="200"/>
      </w:tblGrid>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fair value of options 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9" w:name="xdx_980_eus-gaap--ShareBasedCompensation"/>
            <w:bookmarkEnd w:id="589"/>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terms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0" w:name="xdx_90A_eus-gaap--SharebasedCompensation"/>
            <w:bookmarkEnd w:id="590"/>
            <w:r>
              <w:rPr>
                <w:rFonts w:ascii="Times New Roman;Times;Serif" w:hAnsi="Times New Roman;Times;Serif"/>
                <w:b w:val="false"/>
                <w:i w:val="false"/>
                <w:caps w:val="false"/>
                <w:smallCaps w:val="false"/>
                <w:sz w:val="20"/>
              </w:rPr>
              <w:t>6.11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1" w:name="xdx_90D_eus-gaap--ShareBasedCompensation"/>
            <w:bookmarkEnd w:id="591"/>
            <w:r>
              <w:rPr>
                <w:rFonts w:ascii="Times New Roman;Times;Serif" w:hAnsi="Times New Roman;Times;Serif"/>
                <w:b w:val="false"/>
                <w:i w:val="false"/>
                <w:caps w:val="false"/>
                <w:smallCaps w:val="false"/>
                <w:sz w:val="20"/>
              </w:rPr>
              <w:t>71.19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2" w:name="xdx_901_eus-gaap--ShareBasedCompensation"/>
            <w:bookmarkEnd w:id="592"/>
            <w:r>
              <w:rPr>
                <w:rFonts w:ascii="Times New Roman;Times;Serif" w:hAnsi="Times New Roman;Times;Serif"/>
                <w:b w:val="false"/>
                <w:i w:val="false"/>
                <w:caps w:val="false"/>
                <w:smallCaps w:val="false"/>
                <w:sz w:val="20"/>
              </w:rPr>
              <w:t>4.53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3" w:name="xdx_982_eus-gaap--ShareBasedCompensation"/>
            <w:bookmarkEnd w:id="593"/>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594" w:name="xdx_8A4_z4o0Y7iAIAzi"/>
      <w:bookmarkEnd w:id="594"/>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5" w:name="xdx_89A_eus-gaap--ScheduleOfShareBasedCo"/>
      <w:bookmarkEnd w:id="595"/>
      <w:r>
        <w:rPr>
          <w:rFonts w:ascii="Times New Roman;Times;Serif" w:hAnsi="Times New Roman;Times;Serif"/>
          <w:b w:val="false"/>
          <w:i w:val="false"/>
          <w:caps w:val="false"/>
          <w:smallCaps w:val="false"/>
          <w:sz w:val="20"/>
        </w:rPr>
        <w:t>The following table summarizes information about stock options outstanding and exercisable at March 31,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96" w:name="xdx_8B3_zWBOQZdZA7rg"/>
      <w:bookmarkEnd w:id="596"/>
      <w:r>
        <w:rPr>
          <w:rFonts w:ascii="Times New Roman;Times;Serif" w:hAnsi="Times New Roman;Times;Serif"/>
          <w:b w:val="false"/>
          <w:i w:val="false"/>
          <w:caps w:val="false"/>
          <w:smallCaps w:val="false"/>
          <w:sz w:val="20"/>
        </w:rPr>
        <w:t>SCHEDULE OF STOCK OPTION OUTSTANDING AND EXERCISABLE   </w:t>
      </w:r>
    </w:p>
    <w:tbl>
      <w:tblPr>
        <w:tblW w:w="10205" w:type="dxa"/>
        <w:jc w:val="left"/>
        <w:tblInd w:w="0" w:type="dxa"/>
        <w:tblLayout w:type="fixed"/>
        <w:tblCellMar>
          <w:top w:w="0" w:type="dxa"/>
          <w:left w:w="0" w:type="dxa"/>
          <w:bottom w:w="0" w:type="dxa"/>
          <w:right w:w="0" w:type="dxa"/>
        </w:tblCellMar>
      </w:tblPr>
      <w:tblGrid>
        <w:gridCol w:w="1713"/>
        <w:gridCol w:w="60"/>
        <w:gridCol w:w="102"/>
        <w:gridCol w:w="1459"/>
        <w:gridCol w:w="60"/>
        <w:gridCol w:w="60"/>
        <w:gridCol w:w="490"/>
        <w:gridCol w:w="3129"/>
        <w:gridCol w:w="60"/>
        <w:gridCol w:w="60"/>
        <w:gridCol w:w="170"/>
        <w:gridCol w:w="660"/>
        <w:gridCol w:w="60"/>
        <w:gridCol w:w="60"/>
        <w:gridCol w:w="67"/>
        <w:gridCol w:w="958"/>
        <w:gridCol w:w="64"/>
        <w:gridCol w:w="64"/>
        <w:gridCol w:w="205"/>
        <w:gridCol w:w="625"/>
        <w:gridCol w:w="79"/>
      </w:tblGrid>
      <w:tr>
        <w:trPr/>
        <w:tc>
          <w:tcPr>
            <w:tcW w:w="171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Exercisable</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 Exercise Prices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Contractual Life in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97" w:name="xdx_90B_eus-gaap--ShareBasedCompensation"/>
            <w:bookmarkEnd w:id="597"/>
            <w:r>
              <w:rPr>
                <w:rFonts w:ascii="Times New Roman;Times;Serif" w:hAnsi="Times New Roman;Times;Serif"/>
                <w:b w:val="false"/>
                <w:i w:val="false"/>
                <w:caps w:val="false"/>
                <w:smallCaps w:val="false"/>
                <w:sz w:val="20"/>
              </w:rPr>
              <w:t>1.47 - $</w:t>
            </w:r>
            <w:bookmarkStart w:id="598" w:name="xdx_90B_eus-gaap--ShareBasedCompensation"/>
            <w:bookmarkEnd w:id="598"/>
            <w:r>
              <w:rPr>
                <w:rFonts w:ascii="Times New Roman;Times;Serif" w:hAnsi="Times New Roman;Times;Serif"/>
                <w:b w:val="false"/>
                <w:i w:val="false"/>
                <w:caps w:val="false"/>
                <w:smallCaps w:val="false"/>
                <w:sz w:val="20"/>
              </w:rPr>
              <w:t>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9" w:name="xdx_987_eus-gaap--ShareBasedCompensation"/>
            <w:bookmarkEnd w:id="599"/>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0" w:name="xdx_90A_eus-gaap--SharebasedCompensation"/>
            <w:bookmarkEnd w:id="600"/>
            <w:r>
              <w:rPr>
                <w:rFonts w:ascii="Times New Roman;Times;Serif" w:hAnsi="Times New Roman;Times;Serif"/>
                <w:b w:val="false"/>
                <w:i w:val="false"/>
                <w:caps w:val="false"/>
                <w:smallCaps w:val="false"/>
                <w:sz w:val="20"/>
              </w:rPr>
              <w:t>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1" w:name="xdx_988_eus-gaap--SharebasedCompensation"/>
            <w:bookmarkEnd w:id="601"/>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02" w:name="xdx_98C_eus-gaap--ShareBasedCompensation"/>
            <w:bookmarkEnd w:id="602"/>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31,942</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3" w:name="xdx_983_eus-gaap--SharebasedCompensation"/>
            <w:bookmarkEnd w:id="603"/>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4" w:name="xdx_909_eus-gaap--ShareBasedCompensation"/>
            <w:bookmarkEnd w:id="604"/>
            <w:r>
              <w:rPr>
                <w:rFonts w:ascii="Times New Roman;Times;Serif" w:hAnsi="Times New Roman;Times;Serif"/>
                <w:b w:val="false"/>
                <w:i w:val="false"/>
                <w:caps w:val="false"/>
                <w:smallCaps w:val="false"/>
                <w:sz w:val="20"/>
              </w:rPr>
              <w:t>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5" w:name="xdx_983_eus-gaap--ShareBasedCompensation"/>
            <w:bookmarkEnd w:id="605"/>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6" w:name="xdx_900_eus-gaap--SharebasedCompensation"/>
            <w:bookmarkEnd w:id="606"/>
            <w:r>
              <w:rPr>
                <w:rFonts w:ascii="Times New Roman;Times;Serif" w:hAnsi="Times New Roman;Times;Serif"/>
                <w:b w:val="false"/>
                <w:i w:val="false"/>
                <w:caps w:val="false"/>
                <w:smallCaps w:val="false"/>
                <w:sz w:val="20"/>
              </w:rPr>
              <w:t>2.76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7" w:name="xdx_98F_eus-gaap--SharebasedCompensation"/>
            <w:bookmarkEnd w:id="607"/>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8" w:name="xdx_989_eus-gaap--ShareBasedCompensation"/>
            <w:bookmarkEnd w:id="608"/>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9" w:name="xdx_989_eus-gaap--SharebasedCompensation"/>
            <w:bookmarkEnd w:id="609"/>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0" w:name="xdx_901_eus-gaap--ShareBasedCompensation"/>
            <w:bookmarkEnd w:id="610"/>
            <w:r>
              <w:rPr>
                <w:rFonts w:ascii="Times New Roman;Times;Serif" w:hAnsi="Times New Roman;Times;Serif"/>
                <w:b w:val="false"/>
                <w:i w:val="false"/>
                <w:caps w:val="false"/>
                <w:smallCaps w:val="false"/>
                <w:sz w:val="20"/>
              </w:rPr>
              <w:t>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1" w:name="xdx_982_eus-gaap--ShareBasedCompensation"/>
            <w:bookmarkEnd w:id="611"/>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12" w:name="xdx_90F_eus-gaap--SharebasedCompensation"/>
            <w:bookmarkEnd w:id="612"/>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3" w:name="xdx_989_eus-gaap--SharebasedCompensation"/>
            <w:bookmarkEnd w:id="613"/>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4" w:name="xdx_989_eus-gaap--ShareBasedCompensation"/>
            <w:bookmarkEnd w:id="614"/>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5" w:name="xdx_98A_eus-gaap--SharebasedCompensation"/>
            <w:bookmarkEnd w:id="615"/>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6" w:name="xdx_908_eus-gaap--ShareBasedCompensation"/>
            <w:bookmarkEnd w:id="616"/>
            <w:r>
              <w:rPr>
                <w:rFonts w:ascii="Times New Roman;Times;Serif" w:hAnsi="Times New Roman;Times;Serif"/>
                <w:b w:val="false"/>
                <w:i w:val="false"/>
                <w:caps w:val="false"/>
                <w:smallCaps w:val="false"/>
                <w:sz w:val="20"/>
              </w:rPr>
              <w:t>2.40 - $</w:t>
            </w:r>
            <w:bookmarkStart w:id="617" w:name="xdx_90D_eus-gaap--ShareBasedCompensation"/>
            <w:bookmarkEnd w:id="617"/>
            <w:r>
              <w:rPr>
                <w:rFonts w:ascii="Times New Roman;Times;Serif" w:hAnsi="Times New Roman;Times;Serif"/>
                <w:b w:val="false"/>
                <w:i w:val="false"/>
                <w:caps w:val="false"/>
                <w:smallCaps w:val="false"/>
                <w:sz w:val="20"/>
              </w:rPr>
              <w:t>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18" w:name="xdx_98F_eus-gaap--ShareBasedCompensation"/>
            <w:bookmarkEnd w:id="618"/>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19" w:name="xdx_90F_eus-gaap--SharebasedCompensation"/>
            <w:bookmarkEnd w:id="619"/>
            <w:r>
              <w:rPr>
                <w:rFonts w:ascii="Times New Roman;Times;Serif" w:hAnsi="Times New Roman;Times;Serif"/>
                <w:b w:val="false"/>
                <w:i w:val="false"/>
                <w:caps w:val="false"/>
                <w:smallCaps w:val="false"/>
                <w:sz w:val="20"/>
              </w:rPr>
              <w:t>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0" w:name="xdx_98B_eus-gaap--SharebasedCompensation"/>
            <w:bookmarkEnd w:id="620"/>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21" w:name="xdx_98A_eus-gaap--ShareBasedCompensation"/>
            <w:bookmarkEnd w:id="621"/>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14,068</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2" w:name="xdx_98A_eus-gaap--SharebasedCompensation"/>
            <w:bookmarkEnd w:id="622"/>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3" w:name="xdx_90E_eus-gaap--ShareBasedCompensation"/>
            <w:bookmarkEnd w:id="623"/>
            <w:r>
              <w:rPr>
                <w:rFonts w:ascii="Times New Roman;Times;Serif" w:hAnsi="Times New Roman;Times;Serif"/>
                <w:b w:val="false"/>
                <w:i w:val="false"/>
                <w:caps w:val="false"/>
                <w:smallCaps w:val="false"/>
                <w:sz w:val="20"/>
              </w:rPr>
              <w:t>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4" w:name="xdx_982_eus-gaap--ShareBasedCompensation"/>
            <w:bookmarkEnd w:id="624"/>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25" w:name="xdx_908_eus-gaap--SharebasedCompensation"/>
            <w:bookmarkEnd w:id="625"/>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6" w:name="xdx_987_eus-gaap--SharebasedCompensation"/>
            <w:bookmarkEnd w:id="626"/>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7" w:name="xdx_985_eus-gaap--ShareBasedCompensation"/>
            <w:bookmarkEnd w:id="627"/>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8" w:name="xdx_984_eus-gaap--SharebasedCompensation"/>
            <w:bookmarkEnd w:id="628"/>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9" w:name="xdx_90A_eus-gaap--ShareBasedCompensation"/>
            <w:bookmarkEnd w:id="629"/>
            <w:r>
              <w:rPr>
                <w:rFonts w:ascii="Times New Roman;Times;Serif" w:hAnsi="Times New Roman;Times;Serif"/>
                <w:b w:val="false"/>
                <w:i w:val="false"/>
                <w:caps w:val="false"/>
                <w:smallCaps w:val="false"/>
                <w:sz w:val="20"/>
              </w:rPr>
              <w:t>4.49 - $</w:t>
            </w:r>
            <w:bookmarkStart w:id="630" w:name="xdx_90D_eus-gaap--ShareBasedCompensation"/>
            <w:bookmarkEnd w:id="630"/>
            <w:r>
              <w:rPr>
                <w:rFonts w:ascii="Times New Roman;Times;Serif" w:hAnsi="Times New Roman;Times;Serif"/>
                <w:b w:val="false"/>
                <w:i w:val="false"/>
                <w:caps w:val="false"/>
                <w:smallCaps w:val="false"/>
                <w:sz w:val="20"/>
              </w:rPr>
              <w:t>5.72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1" w:name="xdx_98D_eus-gaap--ShareBasedCompensation"/>
            <w:bookmarkEnd w:id="631"/>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32" w:name="xdx_905_eus-gaap--SharebasedCompensation"/>
            <w:bookmarkEnd w:id="632"/>
            <w:r>
              <w:rPr>
                <w:rFonts w:ascii="Times New Roman;Times;Serif" w:hAnsi="Times New Roman;Times;Serif"/>
                <w:b w:val="false"/>
                <w:i w:val="false"/>
                <w:caps w:val="false"/>
                <w:smallCaps w:val="false"/>
                <w:sz w:val="20"/>
              </w:rPr>
              <w:t>4.36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33" w:name="xdx_987_eus-gaap--SharebasedCompensation"/>
            <w:bookmarkEnd w:id="633"/>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4" w:name="xdx_98B_eus-gaap--ShareBasedCompensation"/>
            <w:bookmarkEnd w:id="634"/>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35" w:name="xdx_98C_eus-gaap--SharebasedCompensation"/>
            <w:bookmarkEnd w:id="635"/>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36" w:name="xdx_908_eus-gaap--ShareBasedCompensation"/>
            <w:bookmarkEnd w:id="636"/>
            <w:r>
              <w:rPr>
                <w:rFonts w:ascii="Times New Roman;Times;Serif" w:hAnsi="Times New Roman;Times;Serif"/>
                <w:b w:val="false"/>
                <w:i w:val="false"/>
                <w:caps w:val="false"/>
                <w:smallCaps w:val="false"/>
                <w:sz w:val="20"/>
              </w:rPr>
              <w:t>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7" w:name="xdx_98F_eus-gaap--ShareBasedCompensation"/>
            <w:bookmarkEnd w:id="637"/>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38" w:name="xdx_908_eus-gaap--SharebasedCompensation"/>
            <w:bookmarkEnd w:id="638"/>
            <w:r>
              <w:rPr>
                <w:rFonts w:ascii="Times New Roman;Times;Serif" w:hAnsi="Times New Roman;Times;Serif"/>
                <w:b w:val="false"/>
                <w:i w:val="false"/>
                <w:caps w:val="false"/>
                <w:smallCaps w:val="false"/>
                <w:sz w:val="20"/>
              </w:rPr>
              <w:t>3.89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39" w:name="xdx_985_eus-gaap--SharebasedCompensation"/>
            <w:bookmarkEnd w:id="639"/>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0" w:name="xdx_983_eus-gaap--ShareBasedCompensation"/>
            <w:bookmarkEnd w:id="640"/>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1" w:name="xdx_98B_eus-gaap--SharebasedCompensation"/>
            <w:bookmarkEnd w:id="641"/>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2" w:name="xdx_909_eus-gaap--ShareBasedCompensation"/>
            <w:bookmarkEnd w:id="642"/>
            <w:r>
              <w:rPr>
                <w:rFonts w:ascii="Times New Roman;Times;Serif" w:hAnsi="Times New Roman;Times;Serif"/>
                <w:b w:val="false"/>
                <w:i w:val="false"/>
                <w:caps w:val="false"/>
                <w:smallCaps w:val="false"/>
                <w:sz w:val="20"/>
              </w:rPr>
              <w:t>6.75 - $</w:t>
            </w:r>
            <w:bookmarkStart w:id="643" w:name="xdx_90E_eus-gaap--ShareBasedCompensation"/>
            <w:bookmarkEnd w:id="643"/>
            <w:r>
              <w:rPr>
                <w:rFonts w:ascii="Times New Roman;Times;Serif" w:hAnsi="Times New Roman;Times;Serif"/>
                <w:b w:val="false"/>
                <w:i w:val="false"/>
                <w:caps w:val="false"/>
                <w:smallCaps w:val="false"/>
                <w:sz w:val="20"/>
              </w:rPr>
              <w:t>7.26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4" w:name="xdx_98A_eus-gaap--ShareBasedCompensation"/>
            <w:bookmarkEnd w:id="644"/>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45" w:name="xdx_903_eus-gaap--SharebasedCompensation"/>
            <w:bookmarkEnd w:id="645"/>
            <w:r>
              <w:rPr>
                <w:rFonts w:ascii="Times New Roman;Times;Serif" w:hAnsi="Times New Roman;Times;Serif"/>
                <w:b w:val="false"/>
                <w:i w:val="false"/>
                <w:caps w:val="false"/>
                <w:smallCaps w:val="false"/>
                <w:sz w:val="20"/>
              </w:rPr>
              <w:t>7.27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6" w:name="xdx_98B_eus-gaap--SharebasedCompensation"/>
            <w:bookmarkEnd w:id="646"/>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7" w:name="xdx_980_eus-gaap--ShareBasedCompensation"/>
            <w:bookmarkEnd w:id="647"/>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24,139</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8" w:name="xdx_984_eus-gaap--SharebasedCompensation"/>
            <w:bookmarkEnd w:id="648"/>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9" w:name="xdx_90C_eus-gaap--ShareBasedCompensation"/>
            <w:bookmarkEnd w:id="649"/>
            <w:r>
              <w:rPr>
                <w:rFonts w:ascii="Times New Roman;Times;Serif" w:hAnsi="Times New Roman;Times;Serif"/>
                <w:b w:val="false"/>
                <w:i w:val="false"/>
                <w:caps w:val="false"/>
                <w:smallCaps w:val="false"/>
                <w:sz w:val="20"/>
              </w:rPr>
              <w:t>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0" w:name="xdx_987_eus-gaap--ShareBasedCompensation"/>
            <w:bookmarkEnd w:id="650"/>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51" w:name="xdx_906_eus-gaap--SharebasedCompensation"/>
            <w:bookmarkEnd w:id="651"/>
            <w:r>
              <w:rPr>
                <w:rFonts w:ascii="Times New Roman;Times;Serif" w:hAnsi="Times New Roman;Times;Serif"/>
                <w:b w:val="false"/>
                <w:i w:val="false"/>
                <w:caps w:val="false"/>
                <w:smallCaps w:val="false"/>
                <w:sz w:val="20"/>
              </w:rPr>
              <w:t>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2" w:name="xdx_98E_eus-gaap--SharebasedCompensation"/>
            <w:bookmarkEnd w:id="652"/>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3" w:name="xdx_987_eus-gaap--ShareBasedCompensation"/>
            <w:bookmarkEnd w:id="653"/>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4" w:name="xdx_982_eus-gaap--SharebasedCompensation"/>
            <w:bookmarkEnd w:id="654"/>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5" w:name="xdx_90E_eus-gaap--ShareBasedCompensation"/>
            <w:bookmarkEnd w:id="655"/>
            <w:r>
              <w:rPr>
                <w:rFonts w:ascii="Times New Roman;Times;Serif" w:hAnsi="Times New Roman;Times;Serif"/>
                <w:b w:val="false"/>
                <w:i w:val="false"/>
                <w:caps w:val="false"/>
                <w:smallCaps w:val="false"/>
                <w:sz w:val="20"/>
              </w:rPr>
              <w:t>7.60 - $</w:t>
            </w:r>
            <w:bookmarkStart w:id="656" w:name="xdx_90C_eus-gaap--ShareBasedCompensation"/>
            <w:bookmarkEnd w:id="656"/>
            <w:r>
              <w:rPr>
                <w:rFonts w:ascii="Times New Roman;Times;Serif" w:hAnsi="Times New Roman;Times;Serif"/>
                <w:b w:val="false"/>
                <w:i w:val="false"/>
                <w:caps w:val="false"/>
                <w:smallCaps w:val="false"/>
                <w:sz w:val="20"/>
              </w:rPr>
              <w:t>45.64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57" w:name="xdx_98D_eus-gaap--ShareBasedCompensation"/>
            <w:bookmarkEnd w:id="657"/>
          </w:p>
        </w:tc>
        <w:tc>
          <w:tcPr>
            <w:tcW w:w="14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58" w:name="xdx_90D_eus-gaap--SharebasedCompensation"/>
            <w:bookmarkEnd w:id="658"/>
            <w:r>
              <w:rPr>
                <w:rFonts w:ascii="Times New Roman;Times;Serif" w:hAnsi="Times New Roman;Times;Serif"/>
                <w:b w:val="false"/>
                <w:i w:val="false"/>
                <w:caps w:val="false"/>
                <w:smallCaps w:val="false"/>
                <w:sz w:val="20"/>
              </w:rPr>
              <w:t>2.88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9" w:name="xdx_986_eus-gaap--SharebasedCompensation"/>
            <w:bookmarkEnd w:id="659"/>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0" w:name="xdx_98C_eus-gaap--ShareBasedCompensation"/>
            <w:bookmarkEnd w:id="660"/>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693,433</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1" w:name="xdx_984_eus-gaap--SharebasedCompensation"/>
            <w:bookmarkEnd w:id="661"/>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2" w:name="xdx_90E_eus-gaap--ShareBasedCompensation"/>
            <w:bookmarkEnd w:id="662"/>
            <w:r>
              <w:rPr>
                <w:rFonts w:ascii="Times New Roman;Times;Serif" w:hAnsi="Times New Roman;Times;Serif"/>
                <w:b w:val="false"/>
                <w:i w:val="false"/>
                <w:caps w:val="false"/>
                <w:smallCaps w:val="false"/>
                <w:sz w:val="20"/>
              </w:rPr>
              <w:t>1.47 - $</w:t>
            </w:r>
            <w:bookmarkStart w:id="663" w:name="xdx_909_eus-gaap--ShareBasedCompensation"/>
            <w:bookmarkEnd w:id="663"/>
            <w:r>
              <w:rPr>
                <w:rFonts w:ascii="Times New Roman;Times;Serif" w:hAnsi="Times New Roman;Times;Serif"/>
                <w:b w:val="false"/>
                <w:i w:val="false"/>
                <w:caps w:val="false"/>
                <w:smallCaps w:val="false"/>
                <w:sz w:val="20"/>
              </w:rPr>
              <w:t>45.64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4" w:name="xdx_98A_eus-gaap--ShareBasedCompensation"/>
            <w:bookmarkEnd w:id="664"/>
          </w:p>
        </w:tc>
        <w:tc>
          <w:tcPr>
            <w:tcW w:w="14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2,464,151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5" w:name="xdx_90A_eus-gaap--SharebasedCompensation"/>
            <w:bookmarkEnd w:id="665"/>
            <w:r>
              <w:rPr>
                <w:rFonts w:ascii="Times New Roman;Times;Serif" w:hAnsi="Times New Roman;Times;Serif"/>
                <w:b w:val="false"/>
                <w:i w:val="false"/>
                <w:caps w:val="false"/>
                <w:smallCaps w:val="false"/>
                <w:sz w:val="20"/>
              </w:rPr>
              <w:t>2.97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6" w:name="xdx_980_eus-gaap--SharebasedCompensation"/>
            <w:bookmarkEnd w:id="666"/>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7" w:name="xdx_98B_eus-gaap--ShareBasedCompensation"/>
            <w:bookmarkEnd w:id="667"/>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2,243,882</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8" w:name="xdx_98B_eus-gaap--SharebasedCompensation"/>
            <w:bookmarkEnd w:id="668"/>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669" w:name="xdx_8A9_z2R2R1Z4Iird"/>
      <w:bookmarkEnd w:id="6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March 31, 2025, there was approximately $</w:t>
      </w:r>
      <w:bookmarkStart w:id="670" w:name="xdx_90D_eus-gaap--EmployeeServiceShareBa"/>
      <w:bookmarkEnd w:id="670"/>
      <w:r>
        <w:rPr>
          <w:rFonts w:ascii="Times New Roman;Times;Serif" w:hAnsi="Times New Roman;Times;Serif"/>
          <w:b w:val="false"/>
          <w:i w:val="false"/>
          <w:caps w:val="false"/>
          <w:smallCaps w:val="false"/>
          <w:sz w:val="20"/>
          <w:shd w:fill="FFFFFF" w:val="clear"/>
        </w:rPr>
        <w:t>2,653,000 of total unrecognized compensation expense related to unvested stock options granted under the Plans. That expense is expected to be recognized over the weighted-average remaining vesting period of </w:t>
      </w:r>
      <w:bookmarkStart w:id="671" w:name="xdx_906_eus-gaap--EmployeeServiceShareBa"/>
      <w:bookmarkEnd w:id="671"/>
      <w:r>
        <w:rPr>
          <w:rFonts w:ascii="Times New Roman;Times;Serif" w:hAnsi="Times New Roman;Times;Serif"/>
          <w:b w:val="false"/>
          <w:i w:val="false"/>
          <w:caps w:val="false"/>
          <w:smallCaps w:val="false"/>
          <w:sz w:val="20"/>
          <w:shd w:fill="FFFFFF" w:val="clear"/>
        </w:rPr>
        <w:t>2.65 years. The stock-based compensation for all stock options was $</w:t>
      </w:r>
      <w:bookmarkStart w:id="672" w:name="xdx_90A_eus-gaap--AllocatedShareBasedCom"/>
      <w:bookmarkEnd w:id="672"/>
      <w:r>
        <w:rPr>
          <w:rFonts w:ascii="Times New Roman;Times;Serif" w:hAnsi="Times New Roman;Times;Serif"/>
          <w:b w:val="false"/>
          <w:i w:val="false"/>
          <w:caps w:val="false"/>
          <w:smallCaps w:val="false"/>
          <w:sz w:val="20"/>
          <w:shd w:fill="FFFFFF" w:val="clear"/>
        </w:rPr>
        <w:t>199,000 and $</w:t>
      </w:r>
      <w:bookmarkStart w:id="673" w:name="xdx_908_eus-gaap--AllocatedShareBasedCom"/>
      <w:bookmarkEnd w:id="673"/>
      <w:r>
        <w:rPr>
          <w:rFonts w:ascii="Times New Roman;Times;Serif" w:hAnsi="Times New Roman;Times;Serif"/>
          <w:b w:val="false"/>
          <w:i w:val="false"/>
          <w:caps w:val="false"/>
          <w:smallCaps w:val="false"/>
          <w:sz w:val="20"/>
          <w:shd w:fill="FFFFFF" w:val="clear"/>
        </w:rPr>
        <w:t>126,000 during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three months ended March 31, 2025 was $</w:t>
      </w:r>
      <w:bookmarkStart w:id="674" w:name="xdx_905_eus-gaap--ShareBasedCompensation"/>
      <w:bookmarkEnd w:id="674"/>
      <w:r>
        <w:rPr>
          <w:rFonts w:ascii="Times New Roman;Times;Serif" w:hAnsi="Times New Roman;Times;Serif"/>
          <w:b w:val="false"/>
          <w:i w:val="false"/>
          <w:caps w:val="false"/>
          <w:smallCaps w:val="false"/>
          <w:sz w:val="20"/>
        </w:rPr>
        <w:t>59,000.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time-based performance and market-based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5" w:name="xdx_890_eus-gaap--ScheduleOfShareBasedCo"/>
      <w:bookmarkEnd w:id="675"/>
      <w:r>
        <w:rPr>
          <w:rFonts w:ascii="Times New Roman;Times;Serif" w:hAnsi="Times New Roman;Times;Serif"/>
          <w:b w:val="false"/>
          <w:i w:val="false"/>
          <w:caps w:val="false"/>
          <w:smallCaps w:val="false"/>
          <w:sz w:val="20"/>
        </w:rPr>
        <w:t>A summary of the Company’s RSU activity and related information for the three months ended March 31, 2025 is as follows:</w:t>
      </w:r>
    </w:p>
    <w:p>
      <w:pPr>
        <w:pStyle w:val="TextBody"/>
        <w:bidi w:val="0"/>
        <w:spacing w:before="0" w:after="0"/>
        <w:ind w:left="0" w:right="0" w:hanging="0"/>
        <w:jc w:val="both"/>
        <w:rPr>
          <w:caps w:val="false"/>
          <w:smallCaps w:val="false"/>
        </w:rPr>
      </w:pPr>
      <w:r>
        <w:rPr>
          <w:caps w:val="false"/>
          <w:smallCaps w:val="false"/>
        </w:rPr>
        <w:t> </w:t>
      </w:r>
      <w:bookmarkStart w:id="676" w:name="xdx_8BB_zIuIxfeNmrc7"/>
      <w:bookmarkEnd w:id="676"/>
      <w:r>
        <w:rPr>
          <w:rFonts w:ascii="Times New Roman;Times;Serif" w:hAnsi="Times New Roman;Times;Serif"/>
          <w:b w:val="false"/>
          <w:i w:val="false"/>
          <w:caps w:val="false"/>
          <w:smallCaps w:val="false"/>
          <w:sz w:val="20"/>
        </w:rPr>
        <w:t>SCHEDULE OF RESTRICTED STOCK UNITS ACTIVITY</w:t>
      </w:r>
    </w:p>
    <w:tbl>
      <w:tblPr>
        <w:tblW w:w="8058" w:type="dxa"/>
        <w:jc w:val="left"/>
        <w:tblInd w:w="0" w:type="dxa"/>
        <w:tblLayout w:type="fixed"/>
        <w:tblCellMar>
          <w:top w:w="0" w:type="dxa"/>
          <w:left w:w="0" w:type="dxa"/>
          <w:bottom w:w="0" w:type="dxa"/>
          <w:right w:w="0" w:type="dxa"/>
        </w:tblCellMar>
      </w:tblPr>
      <w:tblGrid>
        <w:gridCol w:w="2705"/>
        <w:gridCol w:w="60"/>
        <w:gridCol w:w="121"/>
        <w:gridCol w:w="1413"/>
        <w:gridCol w:w="80"/>
        <w:gridCol w:w="60"/>
        <w:gridCol w:w="726"/>
        <w:gridCol w:w="2818"/>
        <w:gridCol w:w="75"/>
      </w:tblGrid>
      <w:tr>
        <w:trPr/>
        <w:tc>
          <w:tcPr>
            <w:tcW w:w="2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Grant Date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unvested -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7" w:name="xdx_980_eus-gaap--ShareBasedCompensation"/>
            <w:bookmarkEnd w:id="677"/>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8" w:name="xdx_986_eus-gaap--ShareBasedCompensation"/>
            <w:bookmarkEnd w:id="678"/>
          </w:p>
        </w:tc>
        <w:tc>
          <w:tcPr>
            <w:tcW w:w="2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9" w:name="xdx_986_eus-gaap--ShareBasedCompensation"/>
            <w:bookmarkEnd w:id="679"/>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0" w:name="xdx_982_eus-gaap--ShareBasedCompensation"/>
            <w:bookmarkEnd w:id="680"/>
          </w:p>
        </w:tc>
        <w:tc>
          <w:tcPr>
            <w:tcW w:w="28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1" w:name="xdx_984_eus-gaap--ShareBasedCompensation"/>
            <w:bookmarkEnd w:id="681"/>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2" w:name="xdx_98A_eus-gaap--ShareBasedCompensation"/>
            <w:bookmarkEnd w:id="682"/>
          </w:p>
        </w:tc>
        <w:tc>
          <w:tcPr>
            <w:tcW w:w="2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cancelled/forfeited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83" w:name="xdx_98C_eus-gaap--ShareBasedCompensation"/>
            <w:bookmarkEnd w:id="683"/>
          </w:p>
        </w:tc>
        <w:tc>
          <w:tcPr>
            <w:tcW w:w="14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4" w:name="xdx_989_eus-gaap--ShareBasedCompensation"/>
            <w:bookmarkEnd w:id="684"/>
          </w:p>
        </w:tc>
        <w:tc>
          <w:tcPr>
            <w:tcW w:w="28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unvested -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85" w:name="xdx_980_eus-gaap--ShareBasedCompensation"/>
            <w:bookmarkEnd w:id="685"/>
          </w:p>
        </w:tc>
        <w:tc>
          <w:tcPr>
            <w:tcW w:w="14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86" w:name="xdx_98F_eus-gaap--ShareBasedCompensation"/>
            <w:bookmarkEnd w:id="686"/>
          </w:p>
        </w:tc>
        <w:tc>
          <w:tcPr>
            <w:tcW w:w="2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687" w:name="xdx_8A1_zapvDJAnLKs1"/>
      <w:bookmarkEnd w:id="6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March 31, 2025, the total unrecognized compensation expense related to unvested RSUs was approximately $</w:t>
      </w:r>
      <w:bookmarkStart w:id="688" w:name="xdx_904_eus-gaap--EmployeeServiceShareBa"/>
      <w:bookmarkEnd w:id="688"/>
      <w:r>
        <w:rPr>
          <w:rFonts w:ascii="Times New Roman;Times;Serif" w:hAnsi="Times New Roman;Times;Serif"/>
          <w:b w:val="false"/>
          <w:i w:val="false"/>
          <w:caps w:val="false"/>
          <w:smallCaps w:val="false"/>
          <w:sz w:val="20"/>
          <w:shd w:fill="FFFFFF" w:val="clear"/>
        </w:rPr>
        <w:t>5,677,000, which is expected to be recognized over a weighted-average period of </w:t>
      </w:r>
      <w:bookmarkStart w:id="689" w:name="xdx_904_eus-gaap--EmployeeServiceShareBa"/>
      <w:bookmarkEnd w:id="689"/>
      <w:r>
        <w:rPr>
          <w:rFonts w:ascii="Times New Roman;Times;Serif" w:hAnsi="Times New Roman;Times;Serif"/>
          <w:b w:val="false"/>
          <w:i w:val="false"/>
          <w:caps w:val="false"/>
          <w:smallCaps w:val="false"/>
          <w:sz w:val="20"/>
          <w:shd w:fill="FFFFFF" w:val="clear"/>
        </w:rPr>
        <w:t>1.65 years, based on estimated and actual vesting schedules of the applicable RSUs. The stock-based compensation for RSUs during the three months ended March 31, 2025 and 2024 was $</w:t>
      </w:r>
      <w:bookmarkStart w:id="690" w:name="xdx_900_eus-gaap--AllocatedShareBasedCom"/>
      <w:bookmarkEnd w:id="690"/>
      <w:r>
        <w:rPr>
          <w:rFonts w:ascii="Times New Roman;Times;Serif" w:hAnsi="Times New Roman;Times;Serif"/>
          <w:b w:val="false"/>
          <w:i w:val="false"/>
          <w:caps w:val="false"/>
          <w:smallCaps w:val="false"/>
          <w:sz w:val="20"/>
          <w:shd w:fill="FFFFFF" w:val="clear"/>
        </w:rPr>
        <w:t>719,000 and $</w:t>
      </w:r>
      <w:bookmarkStart w:id="691" w:name="xdx_90D_eus-gaap--AllocatedShareBasedCom"/>
      <w:bookmarkEnd w:id="691"/>
      <w:r>
        <w:rPr>
          <w:rFonts w:ascii="Times New Roman;Times;Serif" w:hAnsi="Times New Roman;Times;Serif"/>
          <w:b w:val="false"/>
          <w:i w:val="false"/>
          <w:caps w:val="false"/>
          <w:smallCaps w:val="false"/>
          <w:sz w:val="20"/>
          <w:shd w:fill="FFFFFF" w:val="clear"/>
        </w:rPr>
        <w:t>405,000,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2" w:name="xdx_892_eus-gaap--ShareBasedCompensation"/>
      <w:bookmarkEnd w:id="692"/>
      <w:r>
        <w:rPr>
          <w:rFonts w:ascii="Times New Roman;Times;Serif" w:hAnsi="Times New Roman;Times;Serif"/>
          <w:b w:val="false"/>
          <w:i w:val="false"/>
          <w:caps w:val="false"/>
          <w:smallCaps w:val="false"/>
          <w:sz w:val="20"/>
        </w:rPr>
        <w:t>A summary of the Company’s PSU activity and related information for the three months ended March 31, 2025 is as follows:</w:t>
      </w:r>
    </w:p>
    <w:p>
      <w:pPr>
        <w:pStyle w:val="TextBody"/>
        <w:bidi w:val="0"/>
        <w:spacing w:before="0" w:after="0"/>
        <w:ind w:left="0" w:right="0" w:hanging="0"/>
        <w:jc w:val="both"/>
        <w:rPr>
          <w:caps w:val="false"/>
          <w:smallCaps w:val="false"/>
        </w:rPr>
      </w:pPr>
      <w:r>
        <w:rPr>
          <w:caps w:val="false"/>
          <w:smallCaps w:val="false"/>
        </w:rPr>
        <w:t> </w:t>
      </w:r>
      <w:bookmarkStart w:id="693" w:name="xdx_8B3_zR7Hzq2ATrk1"/>
      <w:bookmarkEnd w:id="693"/>
      <w:r>
        <w:rPr>
          <w:rFonts w:ascii="Times New Roman;Times;Serif" w:hAnsi="Times New Roman;Times;Serif"/>
          <w:b w:val="false"/>
          <w:i w:val="false"/>
          <w:caps w:val="false"/>
          <w:smallCaps w:val="false"/>
          <w:sz w:val="20"/>
        </w:rPr>
        <w:t>SCHEDULE OF PERFORMANCE STOCK UNITS ACTIVITY</w:t>
      </w:r>
    </w:p>
    <w:tbl>
      <w:tblPr>
        <w:tblW w:w="8053" w:type="dxa"/>
        <w:jc w:val="left"/>
        <w:tblInd w:w="0" w:type="dxa"/>
        <w:tblLayout w:type="fixed"/>
        <w:tblCellMar>
          <w:top w:w="0" w:type="dxa"/>
          <w:left w:w="0" w:type="dxa"/>
          <w:bottom w:w="0" w:type="dxa"/>
          <w:right w:w="0" w:type="dxa"/>
        </w:tblCellMar>
      </w:tblPr>
      <w:tblGrid>
        <w:gridCol w:w="2720"/>
        <w:gridCol w:w="60"/>
        <w:gridCol w:w="101"/>
        <w:gridCol w:w="1433"/>
        <w:gridCol w:w="60"/>
        <w:gridCol w:w="60"/>
        <w:gridCol w:w="726"/>
        <w:gridCol w:w="2818"/>
        <w:gridCol w:w="75"/>
      </w:tblGrid>
      <w:tr>
        <w:trPr/>
        <w:tc>
          <w:tcPr>
            <w:tcW w:w="2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Grant Date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unvested –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4" w:name="xdx_98E_eus-gaap--ShareBasedCompensation"/>
            <w:bookmarkEnd w:id="694"/>
          </w:p>
        </w:tc>
        <w:tc>
          <w:tcPr>
            <w:tcW w:w="1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1,567,913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95" w:name="xdx_982_eus-gaap--ShareBasedCompensation"/>
            <w:bookmarkEnd w:id="695"/>
          </w:p>
        </w:tc>
        <w:tc>
          <w:tcPr>
            <w:tcW w:w="2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6" w:name="xdx_982_eus-gaap--ShareBasedCompensation"/>
            <w:bookmarkEnd w:id="696"/>
          </w:p>
        </w:tc>
        <w:tc>
          <w:tcPr>
            <w:tcW w:w="14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7" w:name="xdx_983_eus-gaap--ShareBasedCompensation"/>
            <w:bookmarkEnd w:id="697"/>
          </w:p>
        </w:tc>
        <w:tc>
          <w:tcPr>
            <w:tcW w:w="1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cancelled/forfeited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98" w:name="xdx_983_eus-gaap--ShareBasedCompensation"/>
            <w:bookmarkEnd w:id="698"/>
          </w:p>
        </w:tc>
        <w:tc>
          <w:tcPr>
            <w:tcW w:w="14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unvested –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99" w:name="xdx_982_eus-gaap--ShareBasedCompensation"/>
            <w:bookmarkEnd w:id="699"/>
          </w:p>
        </w:tc>
        <w:tc>
          <w:tcPr>
            <w:tcW w:w="14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1,567,913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0" w:name="xdx_982_eus-gaap--ShareBasedCompensation"/>
            <w:bookmarkEnd w:id="700"/>
          </w:p>
        </w:tc>
        <w:tc>
          <w:tcPr>
            <w:tcW w:w="2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701" w:name="xdx_8A9_zEpQ4WAdqiN"/>
      <w:bookmarkEnd w:id="701"/>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there is no unrecognized compensation expense related to unvested PSUs. The stock-based compensation for PSUs during the three months ended March 31, 2025 and 2024 was $</w:t>
      </w:r>
      <w:bookmarkStart w:id="702" w:name="xdx_900_eus-gaap--AllocatedShareBasedCom"/>
      <w:bookmarkStart w:id="703" w:name="xdx_90A_eus-gaap--AllocatedShareBasedCom"/>
      <w:bookmarkEnd w:id="702"/>
      <w:bookmarkEnd w:id="703"/>
      <w:r>
        <w:rPr>
          <w:rFonts w:ascii="Times New Roman;Times;Serif" w:hAnsi="Times New Roman;Times;Serif"/>
          <w:b w:val="false"/>
          <w:i w:val="false"/>
          <w:caps w:val="false"/>
          <w:smallCaps w:val="false"/>
          <w:sz w:val="20"/>
        </w:rPr>
        <w:t>3,638,000.</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4" w:name="xdx_89E_eus-gaap--ScheduleOfShareBasedCo"/>
      <w:bookmarkEnd w:id="704"/>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spacing w:before="0" w:after="0"/>
        <w:ind w:left="0" w:right="0" w:hanging="0"/>
        <w:jc w:val="both"/>
        <w:rPr>
          <w:caps w:val="false"/>
          <w:smallCaps w:val="false"/>
        </w:rPr>
      </w:pPr>
      <w:r>
        <w:rPr>
          <w:caps w:val="false"/>
          <w:smallCaps w:val="false"/>
        </w:rPr>
        <w:t> </w:t>
      </w:r>
      <w:bookmarkStart w:id="705" w:name="xdx_8B5_zyCoYp0OxK3j"/>
      <w:bookmarkEnd w:id="705"/>
      <w:r>
        <w:rPr>
          <w:rFonts w:ascii="Times New Roman;Times;Serif" w:hAnsi="Times New Roman;Times;Serif"/>
          <w:b w:val="false"/>
          <w:i w:val="false"/>
          <w:caps w:val="false"/>
          <w:smallCaps w:val="false"/>
          <w:sz w:val="20"/>
        </w:rPr>
        <w:t>SCHEDULE OF STOCK BASED COMPENSATION GRANTED TO EMPLOYEES, DIRECTORS AND CONSULTANTS</w:t>
      </w:r>
    </w:p>
    <w:tbl>
      <w:tblPr>
        <w:tblW w:w="6160" w:type="dxa"/>
        <w:jc w:val="left"/>
        <w:tblInd w:w="0" w:type="dxa"/>
        <w:tblLayout w:type="fixed"/>
        <w:tblCellMar>
          <w:top w:w="0" w:type="dxa"/>
          <w:left w:w="0" w:type="dxa"/>
          <w:bottom w:w="0" w:type="dxa"/>
          <w:right w:w="0" w:type="dxa"/>
        </w:tblCellMar>
      </w:tblPr>
      <w:tblGrid>
        <w:gridCol w:w="3965"/>
        <w:gridCol w:w="60"/>
        <w:gridCol w:w="125"/>
        <w:gridCol w:w="845"/>
        <w:gridCol w:w="60"/>
        <w:gridCol w:w="60"/>
        <w:gridCol w:w="125"/>
        <w:gridCol w:w="845"/>
        <w:gridCol w:w="75"/>
      </w:tblGrid>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06" w:name="xdx_494_20250101__20250331_zGpvcQfZSVai"/>
            <w:bookmarkEnd w:id="706"/>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07" w:name="xdx_49A_20240101__20240331_zplfQPJ7tEjd"/>
            <w:bookmarkEnd w:id="707"/>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708" w:name="xdx_401_eus-gaap--AllocatedShareBasedCom"/>
            <w:bookmarkEnd w:id="708"/>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 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9" w:name="xdx_407_eus-gaap--AllocatedShareBasedCom"/>
            <w:bookmarkEnd w:id="709"/>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 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0" w:name="xdx_402_eus-gaap--AllocatedShareBasedCom"/>
            <w:bookmarkEnd w:id="710"/>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 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1" w:name="xdx_40B_eus-gaap--AllocatedShareBasedCom"/>
            <w:bookmarkEnd w:id="711"/>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 - 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2" w:name="xdx_40E_eus-gaap--AllocatedShareBasedCom"/>
            <w:bookmarkEnd w:id="712"/>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4,169,000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13" w:name="xdx_8AF_zklNlbMUF1R8"/>
      <w:bookmarkEnd w:id="71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4" w:name="xdx_801_eus-gaap--CommitmentsAndContinge"/>
      <w:bookmarkEnd w:id="714"/>
      <w:r>
        <w:rPr>
          <w:rFonts w:ascii="Times New Roman;Times;Serif" w:hAnsi="Times New Roman;Times;Serif"/>
          <w:b/>
          <w:i w:val="false"/>
          <w:caps w:val="false"/>
          <w:smallCaps w:val="false"/>
          <w:sz w:val="20"/>
        </w:rPr>
        <w:t xml:space="preserve">NOTE 13. </w:t>
      </w:r>
      <w:bookmarkStart w:id="715" w:name="xdx_82C_zPXJfiA9j1t7"/>
      <w:bookmarkEnd w:id="715"/>
      <w:r>
        <w:rPr>
          <w:rFonts w:ascii="Times New Roman;Times;Serif" w:hAnsi="Times New Roman;Times;Serif"/>
          <w:b/>
          <w:i w:val="false"/>
          <w:caps w:val="false"/>
          <w:smallCaps w:val="false"/>
          <w:sz w:val="20"/>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footnote or not) currently pending may have a material adverse effect on the Company’s condensed consolidated results of operations, financial position or cash flows. Legal costs incurred for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had been amended and OSRX added counterclaims alleging ImprimisRx, LLC was violating the Lanham Act with false advertising. The Court granted cross motions for summary judgement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w:t>
      </w:r>
      <w:bookmarkStart w:id="716" w:name="xdx_903_eus-gaap--ProceedsFromLegalSettl"/>
      <w:bookmarkEnd w:id="716"/>
      <w:r>
        <w:rPr>
          <w:rFonts w:ascii="Times New Roman;Times;Serif" w:hAnsi="Times New Roman;Times;Serif"/>
          <w:b w:val="false"/>
          <w:i w:val="false"/>
          <w:caps w:val="false"/>
          <w:smallCaps w:val="false"/>
          <w:sz w:val="20"/>
        </w:rPr>
        <w:t>34,900,000 jury verdict award, which includes $</w:t>
      </w:r>
      <w:bookmarkStart w:id="717" w:name="xdx_902_eus-gaap--LossContingencyDamages"/>
      <w:bookmarkEnd w:id="717"/>
      <w:r>
        <w:rPr>
          <w:rFonts w:ascii="Times New Roman;Times;Serif" w:hAnsi="Times New Roman;Times;Serif"/>
          <w:b w:val="false"/>
          <w:i w:val="false"/>
          <w:caps w:val="false"/>
          <w:smallCaps w:val="false"/>
          <w:sz w:val="20"/>
        </w:rPr>
        <w:t>20,400,000 in punitive damages and $</w:t>
      </w:r>
      <w:bookmarkStart w:id="718" w:name="xdx_908_eus-gaap--LossContingencyDamages"/>
      <w:bookmarkEnd w:id="718"/>
      <w:r>
        <w:rPr>
          <w:rFonts w:ascii="Times New Roman;Times;Serif" w:hAnsi="Times New Roman;Times;Serif"/>
          <w:b w:val="false"/>
          <w:i w:val="false"/>
          <w:caps w:val="false"/>
          <w:smallCaps w:val="false"/>
          <w:sz w:val="20"/>
        </w:rPr>
        <w:t>14,500,000 in actual damages. Due to uncertainty regarding probability of collection, the Company has not recognized any gains associated with the verdict award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License and 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Approved Product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During the three months ended March 31, 2025 and 2024, $</w:t>
      </w:r>
      <w:bookmarkStart w:id="719" w:name="xdx_902_eus-gaap--RoyaltyExpense_c202501"/>
      <w:bookmarkEnd w:id="719"/>
      <w:r>
        <w:rPr>
          <w:rFonts w:ascii="Times New Roman;Times;Serif" w:hAnsi="Times New Roman;Times;Serif"/>
          <w:b w:val="false"/>
          <w:i w:val="false"/>
          <w:caps w:val="false"/>
          <w:smallCaps w:val="false"/>
          <w:sz w:val="20"/>
        </w:rPr>
        <w:t>2,173,000 and $</w:t>
      </w:r>
      <w:bookmarkStart w:id="720" w:name="xdx_90E_eus-gaap--RoyaltyExpense_c202401"/>
      <w:bookmarkEnd w:id="720"/>
      <w:r>
        <w:rPr>
          <w:rFonts w:ascii="Times New Roman;Times;Serif" w:hAnsi="Times New Roman;Times;Serif"/>
          <w:b w:val="false"/>
          <w:i w:val="false"/>
          <w:caps w:val="false"/>
          <w:smallCaps w:val="false"/>
          <w:sz w:val="20"/>
        </w:rPr>
        <w:t>274,000 were incurred under these agreements as royalty expenses, respectively. The Company incurred $</w:t>
      </w:r>
      <w:bookmarkStart w:id="721" w:name="xdx_905_ecustom--UpfrontAndMilestonePaym"/>
      <w:bookmarkEnd w:id="721"/>
      <w:r>
        <w:rPr>
          <w:rFonts w:ascii="Times New Roman;Times;Serif" w:hAnsi="Times New Roman;Times;Serif"/>
          <w:b w:val="false"/>
          <w:i w:val="false"/>
          <w:caps w:val="false"/>
          <w:smallCaps w:val="false"/>
          <w:sz w:val="20"/>
        </w:rPr>
        <w:t>0 and $</w:t>
      </w:r>
      <w:bookmarkStart w:id="722" w:name="xdx_902_ecustom--UpfrontAndMilestonePaym"/>
      <w:bookmarkEnd w:id="722"/>
      <w:r>
        <w:rPr>
          <w:rFonts w:ascii="Times New Roman;Times;Serif" w:hAnsi="Times New Roman;Times;Serif"/>
          <w:b w:val="false"/>
          <w:i w:val="false"/>
          <w:caps w:val="false"/>
          <w:smallCaps w:val="false"/>
          <w:sz w:val="20"/>
        </w:rPr>
        <w:t>0 related to upfront and milestone payments under these agreements during the three months ended March 31, 2025 and 2024. As of March 31, 2025, the remaining contingent consideration payable pursuant to these agreements were not considered probable and reasonably estimable and therefore, no amount was accrued related to these contingent obligations during the three months ended March 31, 2025. At the time contingent consideration payable becomes probable and reasonably estimable, the additional consideration, if any, paid will be allocated to the assets based on their initial estimated fair values as a percent of total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Formulation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these intellectual property rights, the Company is obligated to make payments to the Inventors based on the completion of certain milestones, generally consisting of: (1) a payment payable within 30 to 45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months ended March 31, 2025 and 2024, $</w:t>
      </w:r>
      <w:bookmarkStart w:id="723" w:name="xdx_908_eus-gaap--RoyaltyExpense_c202501"/>
      <w:bookmarkEnd w:id="723"/>
      <w:r>
        <w:rPr>
          <w:rFonts w:ascii="Times New Roman;Times;Serif" w:hAnsi="Times New Roman;Times;Serif"/>
          <w:b w:val="false"/>
          <w:i w:val="false"/>
          <w:caps w:val="false"/>
          <w:smallCaps w:val="false"/>
          <w:sz w:val="20"/>
        </w:rPr>
        <w:t>277,000 and $</w:t>
      </w:r>
      <w:bookmarkStart w:id="724" w:name="xdx_902_eus-gaap--RoyaltyExpense_c202401"/>
      <w:bookmarkEnd w:id="724"/>
      <w:r>
        <w:rPr>
          <w:rFonts w:ascii="Times New Roman;Times;Serif" w:hAnsi="Times New Roman;Times;Serif"/>
          <w:b w:val="false"/>
          <w:i w:val="false"/>
          <w:caps w:val="false"/>
          <w:smallCaps w:val="false"/>
          <w:sz w:val="20"/>
        </w:rPr>
        <w:t>180,000 were incurred under these agreements as royalty expenses, respectively.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manufacturing agreements with respect to third-party contract manufacturers for its FDA approved pharmaceutical products. Some of these contract manufacturing agreements require minimum annual order amounts. The Company has committed to pay approximately $</w:t>
      </w:r>
      <w:bookmarkStart w:id="725" w:name="xdx_904_eus-gaap--PurchaseCommitmentRema"/>
      <w:bookmarkEnd w:id="725"/>
      <w:r>
        <w:rPr>
          <w:rFonts w:ascii="Times New Roman;Times;Serif" w:hAnsi="Times New Roman;Times;Serif"/>
          <w:b w:val="false"/>
          <w:i w:val="false"/>
          <w:caps w:val="false"/>
          <w:smallCaps w:val="false"/>
          <w:sz w:val="20"/>
        </w:rPr>
        <w:t>8,527,000 related to contract manufacturing agreements for the year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6" w:name="xdx_803_eus-gaap--SegmentReportingDisclo"/>
      <w:bookmarkEnd w:id="726"/>
      <w:r>
        <w:rPr>
          <w:rFonts w:ascii="Times New Roman;Times;Serif" w:hAnsi="Times New Roman;Times;Serif"/>
          <w:b/>
          <w:i w:val="false"/>
          <w:caps w:val="false"/>
          <w:smallCaps w:val="false"/>
          <w:sz w:val="20"/>
        </w:rPr>
        <w:t xml:space="preserve">NOTE 14. </w:t>
      </w:r>
      <w:bookmarkStart w:id="727" w:name="xdx_820_zzZlIJ5XB3th"/>
      <w:bookmarkEnd w:id="727"/>
      <w:r>
        <w:rPr>
          <w:rFonts w:ascii="Times New Roman;Times;Serif" w:hAnsi="Times New Roman;Times;Serif"/>
          <w:b/>
          <w:i w:val="false"/>
          <w:caps w:val="false"/>
          <w:smallCaps w:val="false"/>
          <w:sz w:val="20"/>
        </w:rPr>
        <w:t>SEGMENTS AND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two reportable segments which are generally determined based on the decision-making structure of the Company and the grouping of similar products and services: Branded and ImprimisRx.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Branded</w:t>
            </w:r>
            <w:r>
              <w:rPr>
                <w:rFonts w:ascii="Times New Roman;Times;Serif" w:hAnsi="Times New Roman;Times;Serif"/>
                <w:b w:val="false"/>
                <w:i w:val="false"/>
                <w:caps w:val="false"/>
                <w:smallCaps w:val="false"/>
                <w:sz w:val="20"/>
              </w:rPr>
              <w:t xml:space="preserve"> segment includes activities of the Company’s FDA-approved ophthalmology pharmaceutical products, including the out-licensing of rights to certain of our branded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ImprimisRx</w:t>
            </w:r>
            <w:r>
              <w:rPr>
                <w:rFonts w:ascii="Times New Roman;Times;Serif" w:hAnsi="Times New Roman;Times;Serif"/>
                <w:b w:val="false"/>
                <w:i w:val="false"/>
                <w:caps w:val="false"/>
                <w:smallCaps w:val="false"/>
                <w:sz w:val="20"/>
              </w:rPr>
              <w:t xml:space="preserve"> segment represents activities in the Company’s ophthalmology-focused pharmaceutical compounding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within selling, general and administrative expenses that result from the impact of corporate initiatives. Corporate initiatives primarily include integration, restructuring, acquisition and other shared costs.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8" w:name="xdx_89F_eus-gaap--ScheduleOfSegmentRepor"/>
      <w:bookmarkEnd w:id="728"/>
      <w:r>
        <w:rPr>
          <w:rFonts w:ascii="Times New Roman;Times;Serif" w:hAnsi="Times New Roman;Times;Serif"/>
          <w:b w:val="false"/>
          <w:i w:val="false"/>
          <w:caps w:val="false"/>
          <w:smallCaps w:val="false"/>
          <w:sz w:val="20"/>
        </w:rPr>
        <w:t>Segment net revenues, segment operating expenses and segment contribution information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9" w:name="xdx_8B3_zIL2CeepSsOc"/>
      <w:bookmarkEnd w:id="729"/>
      <w:r>
        <w:rPr>
          <w:rFonts w:ascii="Times New Roman;Times;Serif" w:hAnsi="Times New Roman;Times;Serif"/>
          <w:b w:val="false"/>
          <w:i w:val="false"/>
          <w:caps w:val="false"/>
          <w:smallCaps w:val="false"/>
          <w:sz w:val="20"/>
        </w:rPr>
        <w:t>SCHEDULE OF SEGMENT NET REVENUES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5"/>
        <w:gridCol w:w="60"/>
        <w:gridCol w:w="125"/>
        <w:gridCol w:w="950"/>
        <w:gridCol w:w="80"/>
        <w:gridCol w:w="60"/>
        <w:gridCol w:w="141"/>
        <w:gridCol w:w="1079"/>
        <w:gridCol w:w="60"/>
        <w:gridCol w:w="60"/>
        <w:gridCol w:w="125"/>
        <w:gridCol w:w="1010"/>
        <w:gridCol w:w="80"/>
        <w:gridCol w:w="60"/>
        <w:gridCol w:w="125"/>
        <w:gridCol w:w="950"/>
        <w:gridCol w:w="80"/>
        <w:gridCol w:w="60"/>
        <w:gridCol w:w="141"/>
        <w:gridCol w:w="1079"/>
        <w:gridCol w:w="60"/>
        <w:gridCol w:w="60"/>
        <w:gridCol w:w="131"/>
        <w:gridCol w:w="999"/>
        <w:gridCol w:w="95"/>
      </w:tblGrid>
      <w:tr>
        <w:trPr/>
        <w:tc>
          <w:tcPr>
            <w:tcW w:w="2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30" w:name="xdx_494_20250101__20250331__us-gaap--Sta"/>
            <w:bookmarkEnd w:id="730"/>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31" w:name="xdx_49A_20250101__20250331__us-gaap--Sta"/>
            <w:bookmarkEnd w:id="731"/>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Compounding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32" w:name="xdx_494_20250101__20250331_zoUtDDq2qyw2"/>
            <w:bookmarkEnd w:id="732"/>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33" w:name="xdx_495_20240101__20240331__us-gaap--Sta"/>
            <w:bookmarkEnd w:id="733"/>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34" w:name="xdx_490_20240101__20240331__us-gaap--Sta"/>
            <w:bookmarkEnd w:id="734"/>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Compounding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35" w:name="xdx_496_20240101__20240331_zxagC20mRWOa"/>
            <w:bookmarkEnd w:id="735"/>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Compounding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Compounding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736" w:name="xdx_409_eus-gaap--RevenueFromContractWit"/>
            <w:bookmarkEnd w:id="736"/>
          </w:p>
        </w:tc>
      </w:tr>
      <w:tr>
        <w:trPr/>
        <w:tc>
          <w:tcPr>
            <w:tcW w:w="2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27,694,000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47,745,000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7" w:name="xdx_401_eus-gaap--RevenueFromContractWit"/>
            <w:bookmarkEnd w:id="737"/>
          </w:p>
        </w:tc>
      </w:tr>
      <w:tr>
        <w:trPr/>
        <w:tc>
          <w:tcPr>
            <w:tcW w:w="2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8" w:name="xdx_405_eus-gaap--RevenueFromContractWit"/>
            <w:bookmarkEnd w:id="738"/>
          </w:p>
        </w:tc>
      </w:tr>
      <w:tr>
        <w:trPr/>
        <w:tc>
          <w:tcPr>
            <w:tcW w:w="2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27,780,000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20,051,000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47,831,000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13,869,000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20,718,000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34,587,000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9" w:name="xdx_405_eus-gaap--CostOfGoodsAndServices"/>
            <w:bookmarkEnd w:id="739"/>
          </w:p>
        </w:tc>
      </w:tr>
      <w:tr>
        <w:trPr/>
        <w:tc>
          <w:tcPr>
            <w:tcW w:w="2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15,524,000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0" w:name="xdx_407_eus-gaap--GrossProfit_zEIZyufmAv"/>
            <w:bookmarkEnd w:id="740"/>
          </w:p>
        </w:tc>
      </w:tr>
      <w:tr>
        <w:trPr/>
        <w:tc>
          <w:tcPr>
            <w:tcW w:w="2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19,599,000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12,708,000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32,307,000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10,191,000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13,843,000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24,034,000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1" w:name="xdx_409_eus-gaap--OperatingExpensesAbstr"/>
            <w:bookmarkEnd w:id="741"/>
          </w:p>
        </w:tc>
      </w:tr>
      <w:tr>
        <w:trPr/>
        <w:tc>
          <w:tcPr>
            <w:tcW w:w="2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2" w:name="xdx_40D_eus-gaap--SellingGeneralAndAdmin"/>
            <w:bookmarkEnd w:id="742"/>
          </w:p>
        </w:tc>
      </w:tr>
      <w:tr>
        <w:trPr/>
        <w:tc>
          <w:tcPr>
            <w:tcW w:w="2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20,682,000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3" w:name="xdx_40B_eus-gaap--ResearchAndDevelopment"/>
            <w:bookmarkEnd w:id="743"/>
          </w:p>
        </w:tc>
      </w:tr>
      <w:tr>
        <w:trPr/>
        <w:tc>
          <w:tcPr>
            <w:tcW w:w="2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4" w:name="xdx_402_eus-gaap--OperatingExpenses_hsrt"/>
            <w:bookmarkEnd w:id="744"/>
          </w:p>
        </w:tc>
      </w:tr>
      <w:tr>
        <w:trPr/>
        <w:tc>
          <w:tcPr>
            <w:tcW w:w="2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contribution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(3,076,000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4,962,000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1,886,000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(2,273,000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7,567,000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5,294,000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5" w:name="xdx_98D_eus-gaap--OperatingExpenses_pp0p"/>
            <w:bookmarkEnd w:id="745"/>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12,309,000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6" w:name="xdx_986_eus-gaap--OperatingExpenses_pp0p"/>
            <w:bookmarkEnd w:id="746"/>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47" w:name="xdx_98F_eus-gaap--OperatingExpenses_pp0p"/>
            <w:bookmarkEnd w:id="747"/>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48" w:name="xdx_989_eus-gaap--OperatingExpenses_pp0p"/>
            <w:bookmarkEnd w:id="748"/>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9" w:name="xdx_408_eus-gaap--OperatingIncomeLoss_za"/>
            <w:bookmarkEnd w:id="749"/>
          </w:p>
        </w:tc>
      </w:tr>
      <w:tr>
        <w:trPr/>
        <w:tc>
          <w:tcPr>
            <w:tcW w:w="2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(11,232,000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(6,928,000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bookmarkStart w:id="750" w:name="xdx_8AF_ziPISeYDuwd"/>
      <w:bookmarkEnd w:id="7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revenue is attributable to the U.S. All long-lived assets at March 31, 2025 and December 31, 2024 were located in the 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1" w:name="xdx_89A_ecustom--ScheduleOfSegmentReport"/>
      <w:bookmarkEnd w:id="751"/>
      <w:r>
        <w:rPr>
          <w:rFonts w:ascii="Times New Roman;Times;Serif" w:hAnsi="Times New Roman;Times;Serif"/>
          <w:b w:val="false"/>
          <w:i w:val="false"/>
          <w:caps w:val="false"/>
          <w:smallCaps w:val="false"/>
          <w:sz w:val="20"/>
        </w:rPr>
        <w:t>Revenues by segment are further described as follows:</w:t>
      </w:r>
    </w:p>
    <w:p>
      <w:pPr>
        <w:pStyle w:val="TextBody"/>
        <w:bidi w:val="0"/>
        <w:spacing w:before="0" w:after="0"/>
        <w:ind w:left="0" w:right="0" w:hanging="0"/>
        <w:jc w:val="left"/>
        <w:rPr>
          <w:caps w:val="false"/>
          <w:smallCaps w:val="false"/>
        </w:rPr>
      </w:pPr>
      <w:r>
        <w:rPr>
          <w:caps w:val="false"/>
          <w:smallCaps w:val="false"/>
        </w:rPr>
        <w:t> </w:t>
      </w:r>
      <w:bookmarkStart w:id="752" w:name="xdx_8B0_zxCmpUjINEDf"/>
      <w:bookmarkEnd w:id="752"/>
      <w:r>
        <w:rPr>
          <w:rFonts w:ascii="Times New Roman;Times;Serif" w:hAnsi="Times New Roman;Times;Serif"/>
          <w:b w:val="false"/>
          <w:i w:val="false"/>
          <w:caps w:val="false"/>
          <w:smallCaps w:val="false"/>
          <w:sz w:val="20"/>
        </w:rPr>
        <w:t>SCHEDULE OF REVENUES BY SEGMENT</w:t>
      </w:r>
    </w:p>
    <w:tbl>
      <w:tblPr>
        <w:tblW w:w="6026" w:type="dxa"/>
        <w:jc w:val="left"/>
        <w:tblInd w:w="0" w:type="dxa"/>
        <w:tblLayout w:type="fixed"/>
        <w:tblCellMar>
          <w:top w:w="0" w:type="dxa"/>
          <w:left w:w="0" w:type="dxa"/>
          <w:bottom w:w="0" w:type="dxa"/>
          <w:right w:w="0" w:type="dxa"/>
        </w:tblCellMar>
      </w:tblPr>
      <w:tblGrid>
        <w:gridCol w:w="2030"/>
        <w:gridCol w:w="60"/>
        <w:gridCol w:w="134"/>
        <w:gridCol w:w="1025"/>
        <w:gridCol w:w="64"/>
        <w:gridCol w:w="64"/>
        <w:gridCol w:w="134"/>
        <w:gridCol w:w="1025"/>
        <w:gridCol w:w="60"/>
        <w:gridCol w:w="60"/>
        <w:gridCol w:w="125"/>
        <w:gridCol w:w="950"/>
        <w:gridCol w:w="29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3" w:name="xdx_988_eus-gaap--RevenueFromContractWit"/>
            <w:bookmarkEnd w:id="753"/>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5,222,000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4" w:name="xdx_98C_eus-gaap--RevenueFromContractWit"/>
            <w:bookmarkEnd w:id="754"/>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5" w:name="xdx_985_eus-gaap--IncreaseDecreaseInCont"/>
            <w:bookmarkEnd w:id="755"/>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2,901,000</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6" w:name="xdx_985_eus-gaap--RevenueFromContractWit"/>
            <w:bookmarkEnd w:id="756"/>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21,516,000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7" w:name="xdx_988_eus-gaap--RevenueFromContractWit"/>
            <w:bookmarkEnd w:id="757"/>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8" w:name="xdx_980_eus-gaap--IncreaseDecreaseInCont"/>
            <w:bookmarkEnd w:id="758"/>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18,919,000</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branded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9" w:name="xdx_98E_eus-gaap--RevenueFromContractWit"/>
            <w:bookmarkEnd w:id="759"/>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0" w:name="xdx_983_eus-gaap--RevenueFromContractWit"/>
            <w:bookmarkEnd w:id="760"/>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1" w:name="xdx_98B_eus-gaap--IncreaseDecreaseInCont"/>
            <w:bookmarkEnd w:id="761"/>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(7,916,000</w:t>
            </w:r>
          </w:p>
        </w:tc>
        <w:tc>
          <w:tcPr>
            <w:tcW w:w="295" w:type="dxa"/>
            <w:tcBorders/>
            <w:shd w:fill="CCEE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2" w:name="xdx_98C_eus-gaap--RevenueFromContractWit"/>
            <w:bookmarkEnd w:id="762"/>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3" w:name="xdx_98C_eus-gaap--RevenueFromContractWit"/>
            <w:bookmarkEnd w:id="763"/>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4" w:name="xdx_98E_eus-gaap--IncreaseDecreaseInCont"/>
            <w:bookmarkEnd w:id="764"/>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Branded revenue,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5" w:name="xdx_986_eus-gaap--RevenueFromContractWit"/>
            <w:bookmarkEnd w:id="765"/>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27,780,000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6" w:name="xdx_98A_eus-gaap--RevenueFromContractWit"/>
            <w:bookmarkEnd w:id="766"/>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7" w:name="xdx_984_eus-gaap--IncreaseDecreaseInCont"/>
            <w:bookmarkEnd w:id="767"/>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13,911,000</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ImprimisRx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8" w:name="xdx_986_eus-gaap--RevenueFromContractWit"/>
            <w:bookmarkEnd w:id="768"/>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20,051,000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9" w:name="xdx_980_eus-gaap--RevenueFromContractWit"/>
            <w:bookmarkEnd w:id="769"/>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70" w:name="xdx_981_eus-gaap--IncreaseDecreaseInCont"/>
            <w:bookmarkEnd w:id="770"/>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(667,000</w:t>
            </w:r>
          </w:p>
        </w:tc>
        <w:tc>
          <w:tcPr>
            <w:tcW w:w="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771" w:name="xdx_98B_eus-gaap--RevenueFromContractWit"/>
            <w:bookmarkEnd w:id="771"/>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47,831,000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772" w:name="xdx_988_eus-gaap--RevenueFromContractWit"/>
            <w:bookmarkEnd w:id="772"/>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34,587,000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773" w:name="xdx_983_eus-gaap--IncreaseDecreaseInCont"/>
            <w:bookmarkEnd w:id="773"/>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13,244,000</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774" w:name="xdx_8A4_zkkb3p41EODh"/>
      <w:bookmarkEnd w:id="77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IHEEZO and VEVYE, no other products accounted for more than 10% of total revenues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and Supplier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of the Company’s Branded sales are made to third-party distributors who sell the products to pharmacies and to the end-users. There were two customers who comprised more than </w:t>
      </w:r>
      <w:bookmarkStart w:id="775" w:name="xdx_90E_eus-gaap--ConcentrationRiskPerce"/>
      <w:bookmarkEnd w:id="775"/>
      <w:r>
        <w:rPr>
          <w:rFonts w:ascii="Times New Roman;Times;Serif" w:hAnsi="Times New Roman;Times;Serif"/>
          <w:b w:val="false"/>
          <w:i w:val="false"/>
          <w:caps w:val="false"/>
          <w:smallCaps w:val="false"/>
          <w:sz w:val="20"/>
        </w:rPr>
        <w:t xml:space="preserve">10% of the Company’s Branded revenues for the three months ended March 31, 2025 and one customer who comprised more than </w:t>
      </w:r>
      <w:bookmarkStart w:id="776" w:name="xdx_90B_eus-gaap--ConcentrationRiskPerce"/>
      <w:bookmarkEnd w:id="776"/>
      <w:r>
        <w:rPr>
          <w:rFonts w:ascii="Times New Roman;Times;Serif" w:hAnsi="Times New Roman;Times;Serif"/>
          <w:b w:val="false"/>
          <w:i w:val="false"/>
          <w:caps w:val="false"/>
          <w:smallCaps w:val="false"/>
          <w:sz w:val="20"/>
        </w:rPr>
        <w:t xml:space="preserve">10% of the Company’s Branded revenues for the three months ended March 31, 2024. There were no customers who comprised more than </w:t>
      </w:r>
      <w:bookmarkStart w:id="777" w:name="xdx_90C_eus-gaap--ConcentrationRiskPerce"/>
      <w:bookmarkStart w:id="778" w:name="xdx_906_eus-gaap--ConcentrationRiskPerce"/>
      <w:bookmarkEnd w:id="777"/>
      <w:bookmarkEnd w:id="778"/>
      <w:r>
        <w:rPr>
          <w:rFonts w:ascii="Times New Roman;Times;Serif" w:hAnsi="Times New Roman;Times;Serif"/>
          <w:b w:val="false"/>
          <w:i w:val="false"/>
          <w:caps w:val="false"/>
          <w:smallCaps w:val="false"/>
          <w:sz w:val="20"/>
        </w:rPr>
        <w:t xml:space="preserve">10% of ImprimisRx revenues for the three months ended March 31, 2025 and 2024. As of March 31, 2025 and December 31, 2024, accounts receivable from two customers accounted for </w:t>
      </w:r>
      <w:bookmarkStart w:id="779" w:name="xdx_90E_eus-gaap--ConcentrationRiskPerce"/>
      <w:bookmarkEnd w:id="779"/>
      <w:r>
        <w:rPr>
          <w:rFonts w:ascii="Times New Roman;Times;Serif" w:hAnsi="Times New Roman;Times;Serif"/>
          <w:b w:val="false"/>
          <w:i w:val="false"/>
          <w:caps w:val="false"/>
          <w:smallCaps w:val="false"/>
          <w:sz w:val="20"/>
        </w:rPr>
        <w:t>90% and</w:t>
      </w:r>
      <w:bookmarkStart w:id="780" w:name="xdx_903_eus-gaap--ConcentrationRiskPerce"/>
      <w:bookmarkEnd w:id="780"/>
      <w:r>
        <w:rPr>
          <w:rFonts w:ascii="Times New Roman;Times;Serif" w:hAnsi="Times New Roman;Times;Serif"/>
          <w:b w:val="false"/>
          <w:i w:val="false"/>
          <w:caps w:val="false"/>
          <w:smallCaps w:val="false"/>
          <w:sz w:val="20"/>
        </w:rPr>
        <w:t xml:space="preserve"> 94%, respectively, of total consolidated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its active pharmaceutical ingredients from three main suppliers during the three months ended March 31, 2025 and 2024, respectively. These suppliers collectively accounted for </w:t>
      </w:r>
      <w:bookmarkStart w:id="781" w:name="xdx_90F_eus-gaap--ConcentrationRiskPerce"/>
      <w:bookmarkEnd w:id="781"/>
      <w:r>
        <w:rPr>
          <w:rFonts w:ascii="Times New Roman;Times;Serif" w:hAnsi="Times New Roman;Times;Serif"/>
          <w:b w:val="false"/>
          <w:i w:val="false"/>
          <w:caps w:val="false"/>
          <w:smallCaps w:val="false"/>
          <w:sz w:val="20"/>
        </w:rPr>
        <w:t xml:space="preserve">67% and </w:t>
      </w:r>
      <w:bookmarkStart w:id="782" w:name="xdx_903_eus-gaap--ConcentrationRiskPerce"/>
      <w:bookmarkEnd w:id="782"/>
      <w:r>
        <w:rPr>
          <w:rFonts w:ascii="Times New Roman;Times;Serif" w:hAnsi="Times New Roman;Times;Serif"/>
          <w:b w:val="false"/>
          <w:i w:val="false"/>
          <w:caps w:val="false"/>
          <w:smallCaps w:val="false"/>
          <w:sz w:val="20"/>
        </w:rPr>
        <w:t>85% of active pharmaceutical ingredient purchases during the three months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3" w:name="xdx_807_eus-gaap--SubsequentEventsTextBl"/>
      <w:bookmarkEnd w:id="783"/>
      <w:r>
        <w:rPr>
          <w:rFonts w:ascii="Times New Roman;Times;Serif" w:hAnsi="Times New Roman;Times;Serif"/>
          <w:b/>
          <w:i w:val="false"/>
          <w:caps w:val="false"/>
          <w:smallCaps w:val="false"/>
          <w:sz w:val="20"/>
        </w:rPr>
        <w:t xml:space="preserve">NOTE 15. </w:t>
      </w:r>
      <w:bookmarkStart w:id="784" w:name="xdx_828_zmvKH37jmlO8"/>
      <w:bookmarkEnd w:id="78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March 31, 2025 through the filing date of this Quarterly Report on Form 10-Q. Based on its evaluation, no events other than those described below need to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issued </w:t>
      </w:r>
      <w:bookmarkStart w:id="785" w:name="xdx_900_eus-gaap--StockIssuedDuringPerio"/>
      <w:bookmarkEnd w:id="785"/>
      <w:r>
        <w:rPr>
          <w:rFonts w:ascii="Times New Roman;Times;Serif" w:hAnsi="Times New Roman;Times;Serif"/>
          <w:b w:val="false"/>
          <w:i w:val="false"/>
          <w:caps w:val="false"/>
          <w:smallCaps w:val="false"/>
          <w:sz w:val="20"/>
        </w:rPr>
        <w:t xml:space="preserve">9,670 shares of its common stock underlying RSUs held by employees of the Company, net of an aggregate of </w:t>
      </w:r>
      <w:bookmarkStart w:id="786" w:name="xdx_901_eus-gaap--ShareBasedCompensation"/>
      <w:bookmarkEnd w:id="786"/>
      <w:r>
        <w:rPr>
          <w:rFonts w:ascii="Times New Roman;Times;Serif" w:hAnsi="Times New Roman;Times;Serif"/>
          <w:b w:val="false"/>
          <w:i w:val="false"/>
          <w:caps w:val="false"/>
          <w:smallCaps w:val="false"/>
          <w:sz w:val="20"/>
        </w:rPr>
        <w:t>2,830 shares of the Company’s common stock were withheld from issuance by the Company for payroll tax obligations totaling $</w:t>
      </w:r>
      <w:bookmarkStart w:id="787" w:name="xdx_902_eus-gaap--PaymentsRelatedToTaxWi"/>
      <w:bookmarkEnd w:id="787"/>
      <w:r>
        <w:rPr>
          <w:rFonts w:ascii="Times New Roman;Times;Serif" w:hAnsi="Times New Roman;Times;Serif"/>
          <w:b w:val="false"/>
          <w:i w:val="false"/>
          <w:caps w:val="false"/>
          <w:smallCaps w:val="false"/>
          <w:sz w:val="20"/>
        </w:rPr>
        <w:t>65,000.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issued </w:t>
      </w:r>
      <w:bookmarkStart w:id="788" w:name="xdx_90F_eus-gaap--StockIssuedDuringPerio"/>
      <w:bookmarkEnd w:id="788"/>
      <w:r>
        <w:rPr>
          <w:rFonts w:ascii="Times New Roman;Times;Serif" w:hAnsi="Times New Roman;Times;Serif"/>
          <w:b w:val="false"/>
          <w:i w:val="false"/>
          <w:caps w:val="false"/>
          <w:smallCaps w:val="false"/>
          <w:sz w:val="20"/>
        </w:rPr>
        <w:t>14,382 shares of its common stock underlying RSUs held by consultants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settled </w:t>
      </w:r>
      <w:bookmarkStart w:id="789" w:name="xdx_906_eus-gaap--ShareBasedCompensation"/>
      <w:bookmarkEnd w:id="789"/>
      <w:r>
        <w:rPr>
          <w:rFonts w:ascii="Times New Roman;Times;Serif" w:hAnsi="Times New Roman;Times;Serif"/>
          <w:b w:val="false"/>
          <w:i w:val="false"/>
          <w:caps w:val="false"/>
          <w:smallCaps w:val="false"/>
          <w:sz w:val="20"/>
        </w:rPr>
        <w:t>1,567,913 outstanding PSUs as a result of the achievement of the total stock price targets (“TSP”) set forth in equity incentive awards (the “PSU Agreements”) previously issued to members of the Company’s management team in 2023 (the “2023 Awards”). The 2023 Awards were separated into four tranches and required that the Company achieve and maintain certain TSPs ranging from $</w:t>
      </w:r>
      <w:bookmarkStart w:id="790" w:name="xdx_909_ecustom--TotalStockPriceTargetSh"/>
      <w:bookmarkEnd w:id="790"/>
      <w:r>
        <w:rPr>
          <w:rFonts w:ascii="Times New Roman;Times;Serif" w:hAnsi="Times New Roman;Times;Serif"/>
          <w:b w:val="false"/>
          <w:i w:val="false"/>
          <w:caps w:val="false"/>
          <w:smallCaps w:val="false"/>
          <w:sz w:val="20"/>
        </w:rPr>
        <w:t>25 to $</w:t>
      </w:r>
      <w:bookmarkStart w:id="791" w:name="xdx_905_ecustom--TotalStockPriceTargetSh"/>
      <w:bookmarkEnd w:id="791"/>
      <w:r>
        <w:rPr>
          <w:rFonts w:ascii="Times New Roman;Times;Serif" w:hAnsi="Times New Roman;Times;Serif"/>
          <w:b w:val="false"/>
          <w:i w:val="false"/>
          <w:caps w:val="false"/>
          <w:smallCaps w:val="false"/>
          <w:sz w:val="20"/>
        </w:rPr>
        <w:t xml:space="preserve">50 per share during the five-year period following the grant date and a two-year minimum service period. In connection with the settlement of the 2023 Awards, an aggregate of </w:t>
      </w:r>
      <w:bookmarkStart w:id="792" w:name="xdx_90C_eus-gaap--StockIssuedDuringPerio"/>
      <w:bookmarkEnd w:id="792"/>
      <w:r>
        <w:rPr>
          <w:rFonts w:ascii="Times New Roman;Times;Serif" w:hAnsi="Times New Roman;Times;Serif"/>
          <w:b w:val="false"/>
          <w:i w:val="false"/>
          <w:caps w:val="false"/>
          <w:smallCaps w:val="false"/>
          <w:sz w:val="20"/>
        </w:rPr>
        <w:t>1,021,330 shares of the Company’s common stock were issued and an aggregate of </w:t>
      </w:r>
      <w:bookmarkStart w:id="793" w:name="xdx_90E_eus-gaap--SharesPaidForTaxWithho"/>
      <w:bookmarkEnd w:id="793"/>
      <w:r>
        <w:rPr>
          <w:rFonts w:ascii="Times New Roman;Times;Serif" w:hAnsi="Times New Roman;Times;Serif"/>
          <w:b w:val="false"/>
          <w:i w:val="false"/>
          <w:caps w:val="false"/>
          <w:smallCaps w:val="false"/>
          <w:sz w:val="20"/>
        </w:rPr>
        <w:t>546,583 shares of the Company’s common stock were withheld from issuance for payroll tax obligations totaling $</w:t>
      </w:r>
      <w:bookmarkStart w:id="794" w:name="xdx_906_eus-gaap--PaymentsRelatedToTaxWi"/>
      <w:bookmarkEnd w:id="794"/>
      <w:r>
        <w:rPr>
          <w:rFonts w:ascii="Times New Roman;Times;Serif" w:hAnsi="Times New Roman;Times;Serif"/>
          <w:b w:val="false"/>
          <w:i w:val="false"/>
          <w:caps w:val="false"/>
          <w:smallCaps w:val="false"/>
          <w:sz w:val="20"/>
        </w:rPr>
        <w:t>12,621,000.</w:t>
      </w:r>
    </w:p>
    <w:p>
      <w:pPr>
        <w:pStyle w:val="TextBody"/>
        <w:bidi w:val="0"/>
        <w:spacing w:before="0" w:after="0"/>
        <w:ind w:left="0" w:right="0" w:hanging="0"/>
        <w:jc w:val="both"/>
        <w:rPr>
          <w:caps w:val="false"/>
          <w:smallCaps w:val="false"/>
        </w:rPr>
      </w:pPr>
      <w:bookmarkStart w:id="795" w:name="xdx_813_z7B0H65xw68a"/>
      <w:bookmarkEnd w:id="795"/>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6" w:name="a_003"/>
      <w:bookmarkEnd w:id="79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2024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the ongoing communications with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a leading eyecare pharmaceutical company engaged in the discovery, development, and commercialization of innovative ophthalmic pharmaceutical products for the U.S. market. We help U.S. eyecare professionals preserve the gift of sight by making our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primary factors affecting our performance are our ability to increase revenues of our branded pharmaceutical products, proprietary compounded formulations and certain non-proprietary products, grow and gain operating efficiencies in our operations, avoid or mitigate any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may require significant costs and other resources, which we may not have or be able to obtain from operations or other sources. See “Liquidity and Capital Resources” below.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developments in 2025 to date that are important to understand our financial condition and results of operations. See the notes to our unaudited condensed consolidated financial statements included in this Quarterly Report for additional information about each of these developments.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VEVYE Access for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announced a patient access program called VEVYE Access for All.  The program is designed to increase patient access to VEVYE at an out-of-pocket cost of $59 or below and, in many cases, reduce the need for prior authorizations, step edits, and other treatment obstacles facing dry eye patients and their prescribers.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Beagle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we initiated a 360-degree review of opportunities to offer ImprimisRx customers a Harrow-owned FDA-approved product alternative to a compounded formulation. We call this initiative Project Beagle. In that vein, we began implementing a continuity of care program to transition approximately 25,000 ImprimisRx patients from our Klarity-C (0.1% cyclosporine) compounded formulation to VEVYE (0.1% cyclosporine), and we expect to discontinue compounding Klarity-C by June 30, 2025.  We are also discontinuing another related compounded formulation called Klarity PF. Klarity PF is primarily purchased by a concentrated group of customers who we anticipate will accept our FRESHKOTE product as an alternative. As we work through Project Beagle, we will continue to review opportunities to reduce the size of our compounded formulary, improve and simplify our compounding capabilities, and transition other ImprimisRx customers from compounded formulations to Harrow’s FDA-approved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months ended March 31, 2025 and 2024 are not necessarily indicative of results for any future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revenues for the three months ended March 31, 2025 and 2024:</w:t>
      </w:r>
    </w:p>
    <w:p>
      <w:pPr>
        <w:pStyle w:val="TextBody"/>
        <w:bidi w:val="0"/>
        <w:spacing w:before="0" w:after="0"/>
        <w:ind w:left="0" w:right="0" w:firstLine="720"/>
        <w:jc w:val="both"/>
        <w:rPr>
          <w:caps w:val="false"/>
          <w:smallCaps w:val="false"/>
        </w:rPr>
      </w:pPr>
      <w:r>
        <w:rPr>
          <w:caps w:val="false"/>
          <w:smallCaps w:val="false"/>
        </w:rPr>
        <w:t> </w:t>
      </w:r>
    </w:p>
    <w:tbl>
      <w:tblPr>
        <w:tblW w:w="6026" w:type="dxa"/>
        <w:jc w:val="left"/>
        <w:tblInd w:w="0" w:type="dxa"/>
        <w:tblLayout w:type="fixed"/>
        <w:tblCellMar>
          <w:top w:w="0" w:type="dxa"/>
          <w:left w:w="0" w:type="dxa"/>
          <w:bottom w:w="0" w:type="dxa"/>
          <w:right w:w="0" w:type="dxa"/>
        </w:tblCellMar>
      </w:tblPr>
      <w:tblGrid>
        <w:gridCol w:w="2030"/>
        <w:gridCol w:w="60"/>
        <w:gridCol w:w="134"/>
        <w:gridCol w:w="1025"/>
        <w:gridCol w:w="64"/>
        <w:gridCol w:w="64"/>
        <w:gridCol w:w="134"/>
        <w:gridCol w:w="1025"/>
        <w:gridCol w:w="60"/>
        <w:gridCol w:w="60"/>
        <w:gridCol w:w="125"/>
        <w:gridCol w:w="950"/>
        <w:gridCol w:w="29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295" w:type="dxa"/>
            <w:tcBorders/>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5,222,000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2,901,000</w:t>
            </w:r>
          </w:p>
        </w:tc>
        <w:tc>
          <w:tcPr>
            <w:tcW w:w="295" w:type="dxa"/>
            <w:tcBorders/>
            <w:shd w:fill="CCEE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21,516,000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18,919,000</w:t>
            </w:r>
          </w:p>
        </w:tc>
        <w:tc>
          <w:tcPr>
            <w:tcW w:w="295" w:type="dxa"/>
            <w:tcBorders/>
            <w:shd w:fill="FFFFFF" w:val="clear"/>
            <w:vAlign w:val="center"/>
          </w:tcPr>
          <w:p>
            <w:pPr>
              <w:pStyle w:val="TableContents"/>
              <w:bidi w:val="0"/>
              <w:spacing w:before="0" w:after="283"/>
              <w:ind w:left="0" w:right="0" w:firstLine="200"/>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branded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(7,916,000</w:t>
            </w:r>
          </w:p>
        </w:tc>
        <w:tc>
          <w:tcPr>
            <w:tcW w:w="295" w:type="dxa"/>
            <w:tcBorders/>
            <w:shd w:fill="CCEEFF" w:val="clear"/>
            <w:vAlign w:val="center"/>
          </w:tcPr>
          <w:p>
            <w:pPr>
              <w:pStyle w:val="TableContents"/>
              <w:bidi w:val="0"/>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Branded revenue,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27,780,000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13,911,000</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ImprimisRx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20,051,000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(667,000</w:t>
            </w:r>
          </w:p>
        </w:tc>
        <w:tc>
          <w:tcPr>
            <w:tcW w:w="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47,831,000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34,587,000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13,244,000</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between periods was related to an increase in sales of our branded ophthalmology products. During the three months ended March 31, 2025, revenues from branded products totaled $27,780,000, compared to $13,869,000 during the same period in the prior year.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 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Branded</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100"/>
        <w:gridCol w:w="60"/>
        <w:gridCol w:w="125"/>
        <w:gridCol w:w="950"/>
        <w:gridCol w:w="185"/>
        <w:gridCol w:w="60"/>
        <w:gridCol w:w="125"/>
        <w:gridCol w:w="950"/>
        <w:gridCol w:w="185"/>
        <w:gridCol w:w="60"/>
        <w:gridCol w:w="125"/>
        <w:gridCol w:w="845"/>
        <w:gridCol w:w="260"/>
      </w:tblGrid>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Variance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8,181,000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3,678,000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4,503,000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19,599,000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10,191,000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9,408,000</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cost of sales was primarily attributable to an increase in units sold during the three months ended March 31, 2025 compared to the prior year period and an increase in our fixed expenses. The decrease in Branded gross margin between the three months ended March 31, 2025 and 2024 was primarily attributable to an increase of our fixed expenses, in particular, acquired product NDA amortizations related to the launch of TRIESENCE and a related contingent milestone payment that was capitalized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ImprimisRx</w:t>
      </w:r>
    </w:p>
    <w:p>
      <w:pPr>
        <w:pStyle w:val="TextBody"/>
        <w:bidi w:val="0"/>
        <w:spacing w:before="0" w:after="0"/>
        <w:ind w:left="0" w:right="0" w:hanging="0"/>
        <w:jc w:val="both"/>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1100"/>
        <w:gridCol w:w="60"/>
        <w:gridCol w:w="125"/>
        <w:gridCol w:w="950"/>
        <w:gridCol w:w="185"/>
        <w:gridCol w:w="60"/>
        <w:gridCol w:w="125"/>
        <w:gridCol w:w="950"/>
        <w:gridCol w:w="185"/>
        <w:gridCol w:w="60"/>
        <w:gridCol w:w="125"/>
        <w:gridCol w:w="905"/>
        <w:gridCol w:w="260"/>
      </w:tblGrid>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Variance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7,343,000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468,000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12,708,000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13,843,000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(1,135,000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ImprimisRx costs of sales between the three months ended March 31, 2025 and 2024 was primarily attributable to an increase in units sold during the three months ended March 31, 2025 compared to the same period in 2024. However, due to product mix during the three months ended March 31, 2025 that included more sales of lower gross margin products and sales discounts, ImprimisRx gross margin decreased during the 2025 period compared to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selling, general and administrative expenses for the three months ended March 31, 2025 and 2024:</w:t>
      </w:r>
    </w:p>
    <w:p>
      <w:pPr>
        <w:pStyle w:val="TextBody"/>
        <w:bidi w:val="0"/>
        <w:spacing w:before="0" w:after="0"/>
        <w:ind w:left="0" w:right="0" w:firstLine="720"/>
        <w:jc w:val="both"/>
        <w:rPr>
          <w:caps w:val="false"/>
          <w:smallCaps w:val="false"/>
        </w:rPr>
      </w:pPr>
      <w:r>
        <w:rPr>
          <w:caps w:val="false"/>
          <w:smallCaps w:val="false"/>
        </w:rPr>
        <w:t> </w:t>
      </w:r>
    </w:p>
    <w:tbl>
      <w:tblPr>
        <w:tblW w:w="6781" w:type="dxa"/>
        <w:jc w:val="left"/>
        <w:tblInd w:w="0" w:type="dxa"/>
        <w:tblLayout w:type="fixed"/>
        <w:tblCellMar>
          <w:top w:w="0" w:type="dxa"/>
          <w:left w:w="0" w:type="dxa"/>
          <w:bottom w:w="0" w:type="dxa"/>
          <w:right w:w="0" w:type="dxa"/>
        </w:tblCellMar>
      </w:tblPr>
      <w:tblGrid>
        <w:gridCol w:w="3005"/>
        <w:gridCol w:w="60"/>
        <w:gridCol w:w="134"/>
        <w:gridCol w:w="1025"/>
        <w:gridCol w:w="64"/>
        <w:gridCol w:w="64"/>
        <w:gridCol w:w="134"/>
        <w:gridCol w:w="1025"/>
        <w:gridCol w:w="60"/>
        <w:gridCol w:w="60"/>
        <w:gridCol w:w="125"/>
        <w:gridCol w:w="950"/>
        <w:gridCol w:w="75"/>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40,513,000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selling, general and administrative expenses between periods was primarily attributable to an increase in certain seasonal expenses, such as increased costs associated with our annual audit and a special project that totaled $3,629,000 during the three months ended March 31, 2025. In addition, the increase in SG&amp;A expenses between periods was attributable to the addition of new employees in sales, marketing and other departments to support current and expected growth, which when combined contributed to a $11,700,000 increase in SG&amp;A between the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research and development expenses for the three months ended March 31, 2025 and 2024:</w:t>
      </w:r>
    </w:p>
    <w:p>
      <w:pPr>
        <w:pStyle w:val="TextBody"/>
        <w:bidi w:val="0"/>
        <w:spacing w:before="0" w:after="0"/>
        <w:ind w:left="0" w:right="0" w:firstLine="720"/>
        <w:jc w:val="left"/>
        <w:rPr>
          <w:caps w:val="false"/>
          <w:smallCaps w:val="false"/>
        </w:rPr>
      </w:pPr>
      <w:r>
        <w:rPr>
          <w:caps w:val="false"/>
          <w:smallCaps w:val="false"/>
        </w:rPr>
        <w:t> </w:t>
      </w:r>
    </w:p>
    <w:tbl>
      <w:tblPr>
        <w:tblW w:w="5821" w:type="dxa"/>
        <w:jc w:val="left"/>
        <w:tblInd w:w="0" w:type="dxa"/>
        <w:tblLayout w:type="fixed"/>
        <w:tblCellMar>
          <w:top w:w="0" w:type="dxa"/>
          <w:left w:w="0" w:type="dxa"/>
          <w:bottom w:w="0" w:type="dxa"/>
          <w:right w:w="0" w:type="dxa"/>
        </w:tblCellMar>
      </w:tblPr>
      <w:tblGrid>
        <w:gridCol w:w="2300"/>
        <w:gridCol w:w="60"/>
        <w:gridCol w:w="148"/>
        <w:gridCol w:w="1004"/>
        <w:gridCol w:w="71"/>
        <w:gridCol w:w="71"/>
        <w:gridCol w:w="148"/>
        <w:gridCol w:w="1004"/>
        <w:gridCol w:w="60"/>
        <w:gridCol w:w="60"/>
        <w:gridCol w:w="125"/>
        <w:gridCol w:w="695"/>
        <w:gridCol w:w="75"/>
      </w:tblGrid>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3,026,000</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periods was primarily attributable to increased activity related to our expanded branded product portfolio, product acquisitions, product development efforts, product launches, and clinical and medical support.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$6,548,000 for the three months ended March 31, 2025, compared to $5,415,000 for the same period in 2024. The increase during the period ended March 31, 2025 compared to the same period in 2024 was primarily the result of an increase in the outstanding principal amount of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Loss from Eton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we recorded a loss of $(1,248,000), related to the change in fair market value of Eton Pharmaceuticals, Inc’s common stock. In April 2024, we sold all of our shares of Eton.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March 31, 2025 was $66,726,000, compared to $47,247,000 at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believe that cash and cash equivalents of $66,726,000 at March 31, 2025 will be sufficient to sustain our planned level of operations and capital expenditures for at least the next 12 months. Management expects to refinance the Oaktree Loan (as defined in Note 10 of our unaudited condensed consolidated financial statements included in this Quarterly Report) during 2025 and the 2026 Notes (as defined in Note 10 of our unaudited condensed consolidated financial statements included in this Quarterly Report) at the same time or soon thereafter. Management believes it is probable that we will be able to refinance the Oaktree Loan and 2026 Notes; however, there can be no assurance that we will obtain the refinancing on terms acceptable to us, or at all - see the subheading </w:t>
      </w:r>
      <w:r>
        <w:rPr>
          <w:rFonts w:ascii="Times New Roman;Times;Serif" w:hAnsi="Times New Roman;Times;Serif"/>
          <w:b w:val="false"/>
          <w:i/>
          <w:caps w:val="false"/>
          <w:smallCaps w:val="false"/>
          <w:sz w:val="20"/>
        </w:rPr>
        <w:t>Sources of Capital</w:t>
      </w:r>
      <w:r>
        <w:rPr>
          <w:rFonts w:ascii="Times New Roman;Times;Serif" w:hAnsi="Times New Roman;Times;Serif"/>
          <w:b w:val="false"/>
          <w:i w:val="false"/>
          <w:caps w:val="false"/>
          <w:smallCaps w:val="false"/>
          <w:sz w:val="20"/>
        </w:rPr>
        <w:t> below for additional discussion regarding the Oaktree Loan, 2026 Notes and refinancing plans. In addition, we may consider the sale of certain assets including, but not limited to, part of, or all of, our investment in Melt Pharmaceuticals, Inc. (“Melt”) and any of our consolidated subsidiaries.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 for the three months ended March 31, 2025 and 2024:</w:t>
      </w:r>
    </w:p>
    <w:p>
      <w:pPr>
        <w:pStyle w:val="TextBody"/>
        <w:bidi w:val="0"/>
        <w:spacing w:before="0" w:after="0"/>
        <w:ind w:left="0" w:right="0" w:firstLine="720"/>
        <w:jc w:val="both"/>
        <w:rPr>
          <w:caps w:val="false"/>
          <w:smallCaps w:val="false"/>
        </w:rPr>
      </w:pPr>
      <w:r>
        <w:rPr>
          <w:caps w:val="false"/>
          <w:smallCaps w:val="false"/>
        </w:rPr>
        <w:t> </w:t>
      </w:r>
    </w:p>
    <w:tbl>
      <w:tblPr>
        <w:tblW w:w="6837" w:type="dxa"/>
        <w:jc w:val="left"/>
        <w:tblInd w:w="0" w:type="dxa"/>
        <w:tblLayout w:type="fixed"/>
        <w:tblCellMar>
          <w:top w:w="0" w:type="dxa"/>
          <w:left w:w="0" w:type="dxa"/>
          <w:bottom w:w="0" w:type="dxa"/>
          <w:right w:w="0" w:type="dxa"/>
        </w:tblCellMar>
      </w:tblPr>
      <w:tblGrid>
        <w:gridCol w:w="4340"/>
        <w:gridCol w:w="60"/>
        <w:gridCol w:w="128"/>
        <w:gridCol w:w="972"/>
        <w:gridCol w:w="81"/>
        <w:gridCol w:w="61"/>
        <w:gridCol w:w="128"/>
        <w:gridCol w:w="972"/>
        <w:gridCol w:w="95"/>
      </w:tblGrid>
      <w:tr>
        <w:trPr/>
        <w:tc>
          <w:tcPr>
            <w:tcW w:w="4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2"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19,668,000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(4,628,000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(212,000</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19,479,000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(5,547,000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47,247,000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74,085,000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66,726,000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68,538,000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during the three months ended March 31, 2025 was $19,668,000 compared to $(4,628,000) during the same period in the prior year. The increase in net cash provided by operating activities between the periods was mainly attributed to a decrease of $39,196,000 in accounts receivable due to collections during the three months ended March 31, 2025 compared to a decrease of $8,396,000 during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March 31, 2025 was $(212,000) compared to $(110,000) during the same period in the prior year. Cash used in investing activities in 2025 and 2024 was primarily related to equipment and software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 during the three months ended March 31, 2025 and 2024 was $23,000 and $(809,000), respectively. Cash provided by financing activities during the three months ended March 31, 2025 was related to proceeds received from the exercise of stock options. Cash used in financing activities during the three months ended March 31, 2024 was primarily related to payment of payroll taxes upon vesting of RSUs in exchange for shares withheld from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our principal sources of cash came from proceeds from our operating activities. We expect future cash needs to be provided by operating activities, but our forecasts may not be accurate, and our plans may change. We may also sell some of our assets, or all of our ownership interests in Melt or our other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Oaktree Loan matures and in April 2026, the 2026 Notes become due. As of March 31, 2025, there was $107,500,000 principal amount outstanding under the Oaktree Loan and $75,000,000 principal amount of the 2026 Notes were outstanding. The maturity of these debt obligations could raise substantial doubt about our ability to continue as a going concern. We are currently in discussions with our current senior secured lender, Oaktree, and other potential lenders about refinancing the Oaktree Loan and the 2026 Notes. Management expects to engage in more definitive discussions and negotiations with Oaktree and other potential lenders in the summer and fall of 2025. Management believes it is probable that we will be able to refinance the Oaktree Loan and the 2026 Notes based on our collateral strength and expected cash flows from operations; however, there can be no assurance that we will obtain the refinancing on terms acceptable to us, or at all. We believe that one of the other alternatives available to us is the sale of one or more of our assets. There can be no assurance that any sale could be completed on a timely basis or on terms acceptable to us. If we are unable to successfully refinance the Oaktree Loan and the 2026 Notes, we do not expect to have the ability to repay the Oaktree Loan and the 2026 Notes in full.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in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7" w:name="a_004"/>
      <w:bookmarkEnd w:id="79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related to changes in interest rates on our cash and cash equivalents and the Oaktree Loan. We do not utilize derivative financial instruments or other market risk-sensitive instruments to manage our exposure to interest rate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interest rate risk related to our cash and cash equivalents is not material as our risk is that interest rates fall. Based on the current interest rates, we do not have a significant downside risk of a drop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risk related to the Oaktree Loan is based on the Secured Overnight Financing Rate (“SOFR”) plus an interest rate spread of 6.5% per annum. A hypothetical increase of 100 basis points in SOFR would impact our interest expense by $1,075,000 per annum based on the outstanding balance under the Oaktree Loan as of March 31, 2025.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8" w:name="a_005"/>
      <w:bookmarkEnd w:id="79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2025. Based on this evaluation, our principal executive officer and principal financial officer have concluded that our disclosure controls and procedures were effective to achieve their stated purpose as of March 31, 2025, the end of the period covered by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March 31, 2025, that has materially affected, or is reasonably likely to materially affect, our internal control over financial reporting.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99" w:name="a_006"/>
      <w:bookmarkEnd w:id="799"/>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0" w:name="a_007"/>
      <w:bookmarkEnd w:id="800"/>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13 to our unaudited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1" w:name="a_008"/>
      <w:bookmarkEnd w:id="801"/>
      <w:r>
        <w:rPr>
          <w:rFonts w:ascii="Times New Roman;Times;Serif" w:hAnsi="Times New Roman;Times;Serif"/>
          <w:b/>
          <w:i w:val="false"/>
          <w:caps w:val="false"/>
          <w:smallCaps w:val="false"/>
          <w:sz w:val="20"/>
        </w:rPr>
        <w:t>Item 1A. Risk Factors</w:t>
      </w:r>
    </w:p>
    <w:p>
      <w:pPr>
        <w:pStyle w:val="TextBody"/>
        <w:bidi w:val="0"/>
        <w:spacing w:before="0" w:after="0"/>
        <w:ind w:left="0" w:right="0" w:hanging="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contained in this Quarterly Report you should consider the risk factors and the other information in our Annual Report on Form 10-K for the year ended December 31, 2024,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2" w:name="a_009"/>
      <w:bookmarkEnd w:id="802"/>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3" w:name="a_010"/>
      <w:bookmarkEnd w:id="803"/>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4" w:name="a_011"/>
      <w:bookmarkEnd w:id="804"/>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5" w:name="a_012"/>
      <w:bookmarkEnd w:id="805"/>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certain of our executive officers and directors may enter into, amend or terminate written trading arrangements pursuant to Rule 10b5-1 of the Exchange Act or otherwise. During the three months ended March 31, 2025, none of our directors or officers </w:t>
      </w:r>
      <w:bookmarkStart w:id="806" w:name="xdx_90C_eecd--NonRule10b51ArrAdoptedFlag"/>
      <w:bookmarkStart w:id="807" w:name="xdx_903_eecd--Rule10b51ArrAdoptedFlag_db"/>
      <w:bookmarkEnd w:id="806"/>
      <w:bookmarkEnd w:id="807"/>
      <w:r>
        <w:rPr>
          <w:rFonts w:ascii="Times New Roman;Times;Serif" w:hAnsi="Times New Roman;Times;Serif"/>
          <w:b w:val="false"/>
          <w:i w:val="false"/>
          <w:caps w:val="false"/>
          <w:smallCaps w:val="false"/>
          <w:sz w:val="20"/>
        </w:rPr>
        <w:t xml:space="preserve">adopted or </w:t>
      </w:r>
      <w:bookmarkStart w:id="808" w:name="xdx_90E_eecd--NonRule10b51ArrTrmntdFlag_"/>
      <w:bookmarkStart w:id="809" w:name="xdx_90B_eecd--Rule10b51ArrTrmntdFlag_dbF"/>
      <w:bookmarkEnd w:id="808"/>
      <w:bookmarkEnd w:id="809"/>
      <w:r>
        <w:rPr>
          <w:rFonts w:ascii="Times New Roman;Times;Serif" w:hAnsi="Times New Roman;Times;Serif"/>
          <w:b w:val="false"/>
          <w:i w:val="false"/>
          <w:caps w:val="false"/>
          <w:smallCaps w:val="false"/>
          <w:sz w:val="20"/>
        </w:rPr>
        <w:t>terminated any Rule 10b5-1 trading arrangement or non-Rule 10b5-1 trading arrangement (as such terms are defined in Item 408 of Regulation S-K).</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10" w:name="a_013"/>
      <w:bookmarkEnd w:id="81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bottom w:val="single" w:sz="8" w:space="0" w:color="000000"/>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(incorporated herein by reference to Exhibit 3.1 to the Current Report on Form 8-K of Harrow, Inc. filed with the Securities and Exchange Commission on September 29, 2023).</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Harrow, Inc. (incorporated herein by reference to Exhibit 3.2 to the Current Report on Form 8-K of Harrow, Inc. filed with the Securities and Exchange Commission on September 29, 2023).</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Mark L. Baum, principal executive officer, pursuant to Rule 13a-14(a) or 15d-14(a) of the Securities and Exchange Act of 1934, as adopted pursuant to Section 302 of the Sarbanes- Oxley Act of 2002.</w:t>
              </w:r>
            </w:hyperlink>
            <w:r>
              <w:rPr>
                <w:rFonts w:ascii="Times New Roman;Times;Serif" w:hAnsi="Times New Roman;Times;Serif"/>
                <w:b w:val="false"/>
                <w:i w:val="false"/>
                <w:caps w:val="false"/>
                <w:smallCaps w:val="false"/>
                <w:sz w:val="20"/>
              </w:rPr>
              <w:t xml:space="preserve"> </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 Oxley Act of 2002.</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March 31, 2025, has been formatted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1" w:name="a_014"/>
      <w:bookmarkEnd w:id="811"/>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1655"/>
        <w:gridCol w:w="320"/>
        <w:gridCol w:w="555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8,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12" w:name="ex31-1.htm"/>
      <w:bookmarkStart w:id="813" w:name="ksex311"/>
      <w:bookmarkEnd w:id="812"/>
      <w:bookmarkEnd w:id="81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UNDER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Mark L. Baum,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550"/>
        <w:gridCol w:w="2240"/>
      </w:tblGrid>
      <w:tr>
        <w:trPr/>
        <w:tc>
          <w:tcPr>
            <w:tcW w:w="155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2025</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Mark L. Baum</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14" w:name="ex31-2.htm"/>
      <w:bookmarkStart w:id="815" w:name="ksex312"/>
      <w:bookmarkEnd w:id="814"/>
      <w:bookmarkEnd w:id="8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Andrew R. Boll,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550"/>
        <w:gridCol w:w="3650"/>
      </w:tblGrid>
      <w:tr>
        <w:trPr/>
        <w:tc>
          <w:tcPr>
            <w:tcW w:w="1550"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2025</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Andrew R. Boll</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16" w:name="ex32-1.htm"/>
      <w:bookmarkStart w:id="817" w:name="ksex321"/>
      <w:bookmarkEnd w:id="816"/>
      <w:bookmarkEnd w:id="8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br/>
        <w:t>CERTIFICATION REQUIRED BY</w:t>
        <w:br/>
        <w:t>SECTION 1350 OF TITLE 18 OF THE UNITED STATES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March 31, 2025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firstLine="72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caps w:val="false"/>
                <w:smallCaps w:val="false"/>
                <w:sz w:val="20"/>
              </w:rPr>
              <w:t>/ 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0214/000149315223034832/ex3-1.htm" TargetMode="External"/><Relationship Id="rId3" Type="http://schemas.openxmlformats.org/officeDocument/2006/relationships/hyperlink" Target="https://www.sec.gov/Archives/edgar/data/1360214/000149315223034832/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18719</Words>
  <Characters>104936</Characters>
  <CharactersWithSpaces>125100</CharactersWithSpaces>
  <Paragraphs>5726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