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March 8,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00" w:space="720"/>
            <w:col w:w="298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1402715</wp:posOffset>
            </wp:positionH>
            <wp:positionV relativeFrom="paragraph">
              <wp:posOffset>17145</wp:posOffset>
            </wp:positionV>
            <wp:extent cx="44507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5071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March 8, 2018, Imprimis Pharmaceuticals, Inc. (the “Company”) issued a press release announcing its financial results for the quarter and year ended December 31, 2017.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17145</wp:posOffset>
            </wp:positionV>
            <wp:extent cx="61404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40450" cy="17145"/>
                    </a:xfrm>
                    <a:prstGeom prst="rect">
                      <a:avLst/>
                    </a:prstGeom>
                    <a:noFill/>
                  </pic:spPr>
                </pic:pic>
              </a:graphicData>
            </a:graphic>
          </wp:anchor>
        </w:drawing>
      </w:r>
    </w:p>
    <w:p>
      <w:pPr>
        <w:spacing w:after="0" w:line="20" w:lineRule="exact"/>
        <w:rPr>
          <w:sz w:val="20"/>
          <w:szCs w:val="20"/>
          <w:color w:val="auto"/>
        </w:rPr>
      </w:pPr>
    </w:p>
    <w:p>
      <w:pPr>
        <w:ind w:left="660"/>
        <w:spacing w:after="0"/>
        <w:tabs>
          <w:tab w:leader="none" w:pos="17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Imprimis Pharmaceuticals, Inc. on March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Dated: March 8, 2018</w:t>
            </w:r>
          </w:p>
        </w:tc>
        <w:tc>
          <w:tcPr>
            <w:tcW w:w="2620" w:type="dxa"/>
            <w:vAlign w:val="bottom"/>
          </w:tcPr>
          <w:p>
            <w:pPr>
              <w:ind w:left="20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60" w:type="dxa"/>
            <w:vAlign w:val="bottom"/>
          </w:tcPr>
          <w:p>
            <w:pPr>
              <w:spacing w:after="0"/>
              <w:rPr>
                <w:sz w:val="17"/>
                <w:szCs w:val="17"/>
                <w:color w:val="auto"/>
              </w:rPr>
            </w:pPr>
          </w:p>
        </w:tc>
        <w:tc>
          <w:tcPr>
            <w:tcW w:w="2620" w:type="dxa"/>
            <w:vAlign w:val="bottom"/>
          </w:tcPr>
          <w:p>
            <w:pPr>
              <w:ind w:left="206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60" w:type="dxa"/>
            <w:vAlign w:val="bottom"/>
          </w:tcPr>
          <w:p>
            <w:pPr>
              <w:spacing w:after="0"/>
              <w:rPr>
                <w:sz w:val="20"/>
                <w:szCs w:val="20"/>
                <w:color w:val="auto"/>
              </w:rPr>
            </w:pPr>
          </w:p>
        </w:tc>
        <w:tc>
          <w:tcPr>
            <w:tcW w:w="2620" w:type="dxa"/>
            <w:vAlign w:val="bottom"/>
          </w:tcPr>
          <w:p>
            <w:pPr>
              <w:ind w:left="20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612140</wp:posOffset>
            </wp:positionH>
            <wp:positionV relativeFrom="page">
              <wp:posOffset>226060</wp:posOffset>
            </wp:positionV>
            <wp:extent cx="1715135" cy="780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15135" cy="7804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Imprimis Pharmaceuticals Announces Fourth Quarter 2017 Results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San Diego, CA – March 8, 2018 — Imprimis Pharmaceuticals, Inc. (NASDAQ: IMMY), an ophthalmology-focused pharmaceutical company, today reported financial results for the fourth quarter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Notable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$7.3 million, up 27%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ophthalmology-related revenue of $5.8 million, up 64% year-over-year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Average 503B order exceeded $1,400 for the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of 53%, compared to 47% in Q4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 loss of $(794,000), a 67% improvement year-over-year, and 52% improvement quarter-over-quarter</w:t>
      </w:r>
    </w:p>
    <w:p>
      <w:pPr>
        <w:spacing w:after="0" w:line="9" w:lineRule="exact"/>
        <w:rPr>
          <w:rFonts w:ascii="Arial" w:cs="Arial" w:eastAsia="Arial" w:hAnsi="Arial"/>
          <w:sz w:val="18"/>
          <w:szCs w:val="18"/>
          <w:color w:val="auto"/>
        </w:rPr>
      </w:pPr>
    </w:p>
    <w:p>
      <w:pPr>
        <w:ind w:left="660" w:hanging="328"/>
        <w:spacing w:after="0" w:line="182"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There are 8 clinical studies and investigations underway or near completion on the MKO Melt</w:t>
      </w:r>
      <w:r>
        <w:rPr>
          <w:rFonts w:ascii="Arial" w:cs="Arial" w:eastAsia="Arial" w:hAnsi="Arial"/>
          <w:sz w:val="30"/>
          <w:szCs w:val="30"/>
          <w:color w:val="auto"/>
          <w:vertAlign w:val="superscript"/>
        </w:rPr>
        <w:t>®</w:t>
      </w:r>
      <w:r>
        <w:rPr>
          <w:rFonts w:ascii="Arial" w:cs="Arial" w:eastAsia="Arial" w:hAnsi="Arial"/>
          <w:sz w:val="18"/>
          <w:szCs w:val="18"/>
          <w:color w:val="auto"/>
        </w:rPr>
        <w:t>, Less Drops</w:t>
      </w:r>
      <w:r>
        <w:rPr>
          <w:rFonts w:ascii="Arial" w:cs="Arial" w:eastAsia="Arial" w:hAnsi="Arial"/>
          <w:sz w:val="30"/>
          <w:szCs w:val="30"/>
          <w:color w:val="auto"/>
          <w:vertAlign w:val="superscript"/>
        </w:rPr>
        <w:t>®</w:t>
      </w:r>
      <w:r>
        <w:rPr>
          <w:rFonts w:ascii="Arial" w:cs="Arial" w:eastAsia="Arial" w:hAnsi="Arial"/>
          <w:sz w:val="18"/>
          <w:szCs w:val="18"/>
          <w:color w:val="auto"/>
        </w:rPr>
        <w:t>, OmegaDoxy™, Simple Drops™ and Imprimis’s patent-pending cyclosporine formulations.</w:t>
      </w:r>
    </w:p>
    <w:p>
      <w:pPr>
        <w:spacing w:after="0" w:line="20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Mark L. Baum, CEO of Imprimis stated, “Record quarterly revenues for the fourth quarter of 2017 meant our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consecutive quarter of double digit or better year-over-year growth. We continued to narrow our Adjusted EBITDA loss, this time halving it on a quarter-over-quarter basis to $794,000. We limited cash used in operating activities to under $300,000 for the fourth quarter and we expect to further narrow our Adjusted EBITDA loss as we achieve our goal of profitability in the near future. We also ended the fourth quarter with more cash on hand than we had at the end the prior quarter”</w:t>
      </w:r>
    </w:p>
    <w:p>
      <w:pPr>
        <w:spacing w:after="0" w:line="20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Baum concluded, “The first quarter is historically strong, and we are seeing that play out currently with new accounts being opened and refill rates from chronic care patients exceeding our expectations. Eton Pharmaceuticals and Surface Pharmaceuticals, two companies we started last year that are seeking FDA-approval for several Imprimis-developed formulations, are performing well; and we continue to drive value from Imprimis as a pharmaceutical innovation platform. I continue to believe we are at the beginning of what I expect to be a longer-term growth and value-creation cycle.”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Commercialization and Corporate Developments</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network now exceeds 2,000 prescribers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Strengthened sales force by adding new contract-based and seasoned ophthalmic sales professionals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FDA-registered outsourcing facility in New Jersey issued a DEA Manufacturer Certificate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Nationwide dispensing of preservative-free dorzolamide and preservative-free dorzolamide/timolol due to a shortage of dorzolamide, a drug dispensed 4 million times in 2017 to treat glaucoma</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Launched national custom compounded ophthalmic formulation program to meet emergent needs of patients suffering from sight-threatening conditions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 new cGMP ophthalmic formulations expected to become available from Imprimis’ 503B outsourcing facility during Q1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Selected highlights regarding operating results for the three months and year ended December 31, 2017 and for the same periods in 2016 are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For the three months ended</w:t>
            </w:r>
          </w:p>
        </w:tc>
      </w:tr>
      <w:tr>
        <w:trPr>
          <w:trHeight w:val="241"/>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2016</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(3,457)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(3,071)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3,880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2,722</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(1,332)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(1,415)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(4,213)</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(3,507)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(620)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(2,595)</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(6,102)</w:t>
            </w:r>
          </w:p>
        </w:tc>
      </w:tr>
      <w:tr>
        <w:trPr>
          <w:trHeight w:val="414"/>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For the year ended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 the year ended</w:t>
            </w:r>
          </w:p>
        </w:tc>
      </w:tr>
      <w:tr>
        <w:trPr>
          <w:trHeight w:val="241"/>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December 31, 2017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December 31, 2016</w:t>
            </w:r>
          </w:p>
        </w:tc>
      </w:tr>
      <w:tr>
        <w:trPr>
          <w:trHeight w:val="216"/>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(13,505)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(9,831)</w:t>
            </w:r>
          </w:p>
        </w:tc>
      </w:tr>
      <w:tr>
        <w:trPr>
          <w:trHeight w:val="216"/>
        </w:trPr>
        <w:tc>
          <w:tcPr>
            <w:tcW w:w="55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13,269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10,111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(7,059)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(7,382)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(17,569)</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color w:val="auto"/>
              </w:rPr>
              <w:t>(739)</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long-lived assets</w:t>
            </w:r>
          </w:p>
        </w:tc>
        <w:tc>
          <w:tcPr>
            <w:tcW w:w="1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r>
      <w:tr>
        <w:trPr>
          <w:trHeight w:val="216"/>
        </w:trPr>
        <w:tc>
          <w:tcPr>
            <w:tcW w:w="550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Pr>
          <w:p>
            <w:pPr>
              <w:spacing w:after="0"/>
              <w:rPr>
                <w:sz w:val="18"/>
                <w:szCs w:val="18"/>
                <w:color w:val="auto"/>
              </w:rPr>
            </w:pPr>
          </w:p>
        </w:tc>
        <w:tc>
          <w:tcPr>
            <w:tcW w:w="2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(12,163)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(15,882)</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(3,205)</w:t>
            </w:r>
          </w:p>
        </w:tc>
      </w:tr>
      <w:tr>
        <w:trPr>
          <w:trHeight w:val="216"/>
        </w:trPr>
        <w:tc>
          <w:tcPr>
            <w:tcW w:w="55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(11,985)</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(19,087)</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Common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2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The company defines adjusted EBITDA as net income (loss) excluding the effects of interest, taxes, depreciation, amortization, stock-based compensation, other income (expense) and, if any and when specified, other non-recurring income or expense items. The company believes that the most directly comparable GAAP financial measure to adjusted EBITDA is net loss. Adjusted EBITDA has limitations and should not be considered as an alternative to gross profit or net loss as a measure of operating performance or to net cash provided by (used in) operating, investing or financing activities as a measure of ability to meet cash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adjusted EBITDA, a non-GAAP measure to the most comparable GAAP measure, net loss,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For the three months ended</w:t>
            </w:r>
          </w:p>
        </w:tc>
      </w:tr>
      <w:tr>
        <w:trPr>
          <w:trHeight w:val="241"/>
        </w:trPr>
        <w:tc>
          <w:tcPr>
            <w:tcW w:w="8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December 31, 2017</w:t>
            </w:r>
          </w:p>
        </w:tc>
      </w:tr>
      <w:tr>
        <w:trPr>
          <w:trHeight w:val="216"/>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8"/>
                <w:szCs w:val="18"/>
                <w:color w:val="auto"/>
              </w:rPr>
            </w:pPr>
          </w:p>
        </w:tc>
        <w:tc>
          <w:tcPr>
            <w:tcW w:w="264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Pr>
          <w:p>
            <w:pPr>
              <w:spacing w:after="0"/>
              <w:rPr>
                <w:sz w:val="18"/>
                <w:szCs w:val="18"/>
                <w:color w:val="auto"/>
              </w:rPr>
            </w:pP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r>
      <w:tr>
        <w:trPr>
          <w:trHeight w:val="216"/>
        </w:trPr>
        <w:tc>
          <w:tcPr>
            <w:tcW w:w="8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expenses/loss</w:t>
            </w:r>
          </w:p>
        </w:tc>
        <w:tc>
          <w:tcPr>
            <w:tcW w:w="1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040" w:type="dxa"/>
            <w:vAlign w:val="bottom"/>
          </w:tcPr>
          <w:p>
            <w:pPr>
              <w:ind w:left="180"/>
              <w:spacing w:after="0"/>
              <w:rPr>
                <w:sz w:val="20"/>
                <w:szCs w:val="20"/>
                <w:color w:val="auto"/>
              </w:rPr>
            </w:pPr>
            <w:r>
              <w:rPr>
                <w:rFonts w:ascii="Arial" w:cs="Arial" w:eastAsia="Arial" w:hAnsi="Arial"/>
                <w:sz w:val="18"/>
                <w:szCs w:val="18"/>
                <w:color w:val="auto"/>
              </w:rPr>
              <w:t>Investment loss from Eton Pharmaceuticals</w:t>
            </w:r>
          </w:p>
        </w:tc>
        <w:tc>
          <w:tcPr>
            <w:tcW w:w="160" w:type="dxa"/>
            <w:vAlign w:val="bottom"/>
          </w:tcPr>
          <w:p>
            <w:pPr>
              <w:spacing w:after="0"/>
              <w:rPr>
                <w:sz w:val="18"/>
                <w:szCs w:val="18"/>
                <w:color w:val="auto"/>
              </w:rPr>
            </w:pPr>
          </w:p>
        </w:tc>
        <w:tc>
          <w:tcPr>
            <w:tcW w:w="2640" w:type="dxa"/>
            <w:vAlign w:val="bottom"/>
            <w:gridSpan w:val="2"/>
          </w:tcPr>
          <w:p>
            <w:pPr>
              <w:jc w:val="right"/>
              <w:ind w:right="100"/>
              <w:spacing w:after="0"/>
              <w:rPr>
                <w:sz w:val="20"/>
                <w:szCs w:val="20"/>
                <w:color w:val="auto"/>
              </w:rPr>
            </w:pPr>
            <w:r>
              <w:rPr>
                <w:rFonts w:ascii="Arial" w:cs="Arial" w:eastAsia="Arial" w:hAnsi="Arial"/>
                <w:sz w:val="18"/>
                <w:szCs w:val="18"/>
                <w:color w:val="auto"/>
              </w:rPr>
              <w:t>765</w:t>
            </w:r>
          </w:p>
        </w:tc>
      </w:tr>
      <w:tr>
        <w:trPr>
          <w:trHeight w:val="257"/>
        </w:trPr>
        <w:tc>
          <w:tcPr>
            <w:tcW w:w="80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Non-recurring expenses, net</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34"/>
        </w:trPr>
        <w:tc>
          <w:tcPr>
            <w:tcW w:w="8040" w:type="dxa"/>
            <w:vAlign w:val="bottom"/>
          </w:tcPr>
          <w:p>
            <w:pPr>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26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(794)</w:t>
            </w:r>
          </w:p>
        </w:tc>
      </w:tr>
    </w:tbl>
    <w:p>
      <w:pPr>
        <w:spacing w:after="0" w:line="183" w:lineRule="exact"/>
        <w:rPr>
          <w:sz w:val="20"/>
          <w:szCs w:val="20"/>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Non-recurring expenses includes one-time costs related to litigation settlements and income from settlements associated with accrued expenses and trade payable disputes.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team will host a conference call and audio-only webcast today at 4:30 p.m. EST (1:30 p.m. PST) to discuss the financial results and recent developments. To participate in the call, dial (877) 407-8035 for domestic callers or (201) 689-8035 for international callers. To listen to the webcast, please click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or visit the investor relations section of the Imprimis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 A dial in replay of the call will be available until April 8, 2018. To access the replay, dial (877) 481-4010 domestically or (919) 882-2331 internationally and reference Replay ID: 25720. The webcast replay will be available until June 8,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Imprimis Pharmaceuticals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Imprimis Pharmaceuticals, Inc. (NASDAQ: IMMY) is dedicated to making high quality innovative medications accessible and affordable in all 50 states. The company’s flexible business model allows a drug to be compounded or developed as an FDA-approved product through one of its subsidiaries or spin-out companies. For more information about Imprimis, please visit the corporate website at </w:t>
      </w:r>
      <w:r>
        <w:rPr>
          <w:rFonts w:ascii="Arial" w:cs="Arial" w:eastAsia="Arial" w:hAnsi="Arial"/>
          <w:sz w:val="18"/>
          <w:szCs w:val="18"/>
          <w:u w:val="single" w:color="auto"/>
          <w:color w:val="auto"/>
        </w:rPr>
        <w:t>www.ImprimisRx.com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 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our ability to make commercially available our compounded formulations and technologies in a timely manner or at all; physician interest in prescribing our formulations; risks related to our compounding pharmacy operations; our ability to enter into other strategic alliances, including arrangements with pharmacies, physicians and healthcare organizations for the development and distribution of our formulations;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formulations;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Imprimis’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 looking statements, which speak only as of the date they are made. Except as required by law, Imprimis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No Imprimis compounded formulation is FDA-approved. Other than drugs compounded at a registered outsourcing facility, all Imprimis compounded formulations require a prescription for an individually identified patient consistent with federal and state laws.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Imprimis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Jon Patton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jpatton@imprimispharma.com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858.704.4587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Deb Holliday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Holliday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deb@hollidaycommunications.net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412.877.4519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2020-01-14T15:40:48Z</dcterms:created>
  <dcterms:modified xsi:type="dcterms:W3CDTF">2020-01-14T15:40:48Z</dcterms:modified>
</cp:coreProperties>
</file>