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294640</wp:posOffset>
            </wp:positionV>
            <wp:extent cx="72466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346075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May 12, 2015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IMPRIMIS PHARMACEUTICALS,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400"/>
          </w:cols>
          <w:pgMar w:left="240" w:top="747" w:right="259" w:bottom="1440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001-35814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45-0567010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00" w:space="720"/>
            <w:col w:w="2980" w:space="720"/>
            <w:col w:w="2480"/>
          </w:cols>
          <w:pgMar w:left="240" w:top="747" w:right="25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12264 El Camino Real, Suite 350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San Diego, CA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2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92130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00" w:space="720"/>
            <w:col w:w="3180"/>
          </w:cols>
          <w:pgMar w:left="240" w:top="747" w:right="2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(858) 704-4040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1823085</wp:posOffset>
            </wp:positionH>
            <wp:positionV relativeFrom="paragraph">
              <wp:posOffset>26035</wp:posOffset>
            </wp:positionV>
            <wp:extent cx="361886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 if changed since last report.)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60" w:hanging="15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186690</wp:posOffset>
            </wp:positionV>
            <wp:extent cx="7246620" cy="43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503555</wp:posOffset>
            </wp:positionV>
            <wp:extent cx="72466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747" w:right="2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 Submission of Matters to a Vote of Security Holders.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May 12, 2015, Imprimis Pharmaceuticals, Inc. held its 2015 Annual Meeting of Stockholders (the “Annual Meeting”) at the offices of Morrison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firstLine="8"/>
        <w:spacing w:after="0" w:line="261" w:lineRule="auto"/>
        <w:tabs>
          <w:tab w:leader="none" w:pos="198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Foerster LLP, 12531 High Bluff Drive, Suite 100, San Diego, California 92130. The final voting results on the matters presented at the Annual Meeting were as follows: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Proposal 1: </w:t>
      </w:r>
      <w:r>
        <w:rPr>
          <w:rFonts w:ascii="Arial" w:cs="Arial" w:eastAsia="Arial" w:hAnsi="Arial"/>
          <w:sz w:val="18"/>
          <w:szCs w:val="18"/>
          <w:color w:val="auto"/>
        </w:rPr>
        <w:t>To elect to the Board of Directors the five (5) director nominees named in the proxy statement for the Annual Meeting, each to serve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until the 2016 annual meeting of stockholders and until their successors are duly elected and qualified.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8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Directors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Withheld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</w:t>
            </w:r>
          </w:p>
        </w:tc>
      </w:tr>
      <w:tr>
        <w:trPr>
          <w:trHeight w:val="216"/>
        </w:trPr>
        <w:tc>
          <w:tcPr>
            <w:tcW w:w="59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Stephen G. Austin</w:t>
            </w:r>
          </w:p>
        </w:tc>
        <w:tc>
          <w:tcPr>
            <w:tcW w:w="2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4,776,301</w:t>
            </w:r>
          </w:p>
        </w:tc>
        <w:tc>
          <w:tcPr>
            <w:tcW w:w="36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67,524</w:t>
            </w:r>
          </w:p>
        </w:tc>
        <w:tc>
          <w:tcPr>
            <w:tcW w:w="3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618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Mark L. Baum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4,824,105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19,720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6180" w:type="dxa"/>
            <w:vAlign w:val="bottom"/>
            <w:gridSpan w:val="2"/>
            <w:shd w:val="clear" w:color="auto" w:fill="CCEEFF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Richard L. Lindstrom</w:t>
            </w:r>
          </w:p>
        </w:tc>
        <w:tc>
          <w:tcPr>
            <w:tcW w:w="1500" w:type="dxa"/>
            <w:vAlign w:val="bottom"/>
            <w:shd w:val="clear" w:color="auto" w:fill="CCEEFF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4,796,021</w:t>
            </w:r>
          </w:p>
        </w:tc>
        <w:tc>
          <w:tcPr>
            <w:tcW w:w="3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47,804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618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Robert J. Kammer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4,748,156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95,669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6180" w:type="dxa"/>
            <w:vAlign w:val="bottom"/>
            <w:gridSpan w:val="2"/>
            <w:shd w:val="clear" w:color="auto" w:fill="CCEEFF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William H. Nelson</w:t>
            </w:r>
          </w:p>
        </w:tc>
        <w:tc>
          <w:tcPr>
            <w:tcW w:w="1500" w:type="dxa"/>
            <w:vAlign w:val="bottom"/>
            <w:shd w:val="clear" w:color="auto" w:fill="CCEEFF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4,776,301</w:t>
            </w:r>
          </w:p>
        </w:tc>
        <w:tc>
          <w:tcPr>
            <w:tcW w:w="3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67,524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CCEEFF"/>
          </w:tcPr>
          <w:p>
            <w:pPr>
              <w:jc w:val="right"/>
              <w:ind w:righ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Proposal 2: </w:t>
      </w:r>
      <w:r>
        <w:rPr>
          <w:rFonts w:ascii="Arial" w:cs="Arial" w:eastAsia="Arial" w:hAnsi="Arial"/>
          <w:sz w:val="18"/>
          <w:szCs w:val="18"/>
          <w:color w:val="auto"/>
        </w:rPr>
        <w:t>To ratify the selection of KMJ Corbin and Company, LLP as the Company’s independent registered public accounting firm for the fiscal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year ending December 31, 2015.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78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For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Against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Abstain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Broker Non-Vote</w:t>
            </w:r>
          </w:p>
        </w:tc>
      </w:tr>
      <w:tr>
        <w:trPr>
          <w:trHeight w:val="216"/>
        </w:trPr>
        <w:tc>
          <w:tcPr>
            <w:tcW w:w="344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1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4,843,825</w:t>
            </w:r>
          </w:p>
        </w:tc>
        <w:tc>
          <w:tcPr>
            <w:tcW w:w="3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9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36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9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3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ind w:right="9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-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66"/>
        </w:trPr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661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0" w:type="dxa"/>
            <w:vAlign w:val="bottom"/>
            <w:gridSpan w:val="2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IMPRIMIS PHARMACEUTICALS, INC.</w:t>
            </w:r>
          </w:p>
        </w:tc>
      </w:tr>
      <w:tr>
        <w:trPr>
          <w:trHeight w:val="439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May 15, 2015</w:t>
            </w:r>
          </w:p>
        </w:tc>
        <w:tc>
          <w:tcPr>
            <w:tcW w:w="266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/s/ Andrew R. Boll</w:t>
            </w:r>
          </w:p>
        </w:tc>
      </w:tr>
      <w:tr>
        <w:trPr>
          <w:trHeight w:val="202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2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14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Andrew R. Boll</w:t>
            </w:r>
          </w:p>
        </w:tc>
      </w:tr>
      <w:tr>
        <w:trPr>
          <w:trHeight w:val="230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439"/>
        </w:trPr>
        <w:tc>
          <w:tcPr>
            <w:tcW w:w="3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661" w:right="23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&amp;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2020-01-23T14:52:21Z</dcterms:created>
  <dcterms:modified xsi:type="dcterms:W3CDTF">2020-01-23T14:52:21Z</dcterms:modified>
</cp:coreProperties>
</file>