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180" w:space="63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85000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5.3126</w:t>
            </w:r>
            <w:r>
              <w:rPr>
                <w:rFonts w:ascii="Times New Roman" w:cs="Times New Roman" w:eastAsia="Times New Roman" w:hAnsi="Times New Roman"/>
                <w:sz w:val="22"/>
                <w:szCs w:val="22"/>
                <w:color w:val="008000"/>
                <w:vertAlign w:val="superscript"/>
              </w:rPr>
              <w:t>(1)</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12/18/2020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2,862,100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5.3126</w:t>
            </w:r>
            <w:r>
              <w:rPr>
                <w:rFonts w:ascii="Times New Roman" w:cs="Times New Roman" w:eastAsia="Times New Roman" w:hAnsi="Times New Roman"/>
                <w:sz w:val="22"/>
                <w:szCs w:val="22"/>
                <w:color w:val="008000"/>
                <w:vertAlign w:val="superscript"/>
              </w:rPr>
              <w:t>(1)</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12/18/2020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133,300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5.2394</w:t>
            </w:r>
            <w:r>
              <w:rPr>
                <w:rFonts w:ascii="Times New Roman" w:cs="Times New Roman" w:eastAsia="Times New Roman" w:hAnsi="Times New Roman"/>
                <w:sz w:val="22"/>
                <w:szCs w:val="22"/>
                <w:color w:val="008000"/>
                <w:vertAlign w:val="superscript"/>
              </w:rPr>
              <w:t>(4)</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12/21/2020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51,400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2,913,500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5.2394</w:t>
            </w:r>
            <w:r>
              <w:rPr>
                <w:rFonts w:ascii="Times New Roman" w:cs="Times New Roman" w:eastAsia="Times New Roman" w:hAnsi="Times New Roman"/>
                <w:sz w:val="22"/>
                <w:szCs w:val="22"/>
                <w:color w:val="008000"/>
                <w:vertAlign w:val="superscript"/>
              </w:rPr>
              <w:t>(4)</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12/21/2020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2,059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135,359</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5.1948</w:t>
            </w:r>
            <w:r>
              <w:rPr>
                <w:rFonts w:ascii="Times New Roman" w:cs="Times New Roman" w:eastAsia="Times New Roman" w:hAnsi="Times New Roman"/>
                <w:sz w:val="22"/>
                <w:szCs w:val="22"/>
                <w:color w:val="008000"/>
                <w:vertAlign w:val="superscript"/>
              </w:rPr>
              <w:t>(5)</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12/22/2020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2,929,400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5.1948</w:t>
            </w:r>
            <w:r>
              <w:rPr>
                <w:rFonts w:ascii="Times New Roman" w:cs="Times New Roman" w:eastAsia="Times New Roman" w:hAnsi="Times New Roman"/>
                <w:sz w:val="22"/>
                <w:szCs w:val="22"/>
                <w:color w:val="008000"/>
                <w:vertAlign w:val="superscript"/>
              </w:rPr>
              <w:t>(5)</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12/22/2020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continue"/>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136,016</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60" w:type="dxa"/>
            <w:vAlign w:val="bottom"/>
            <w:gridSpan w:val="11"/>
          </w:tcPr>
          <w:p>
            <w:pPr>
              <w:jc w:val="center"/>
              <w:ind w:lef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 weighted average purchase price of $5.3126. The range of purchase prices on the transaction date was $5.25 to $5.35 per share. The reporting person undertakes to provide, upon request by the SEC staff, the issuer, or a security holder of the issuer, full information regarding the number of shares purchased at each price.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 weighted average purchase price of $5.2394. The range of purchase prices on the transaction date was $5.16 to $5.25 per share. The reporting person undertakes to provide, upon request by the SEC staff, the issuer, or a security holder of the issuer, full information regarding the number of shares purchased at each price.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 weighted average purchase price of $5.1948. The range of purchase prices on the transaction date was $5.16 to $5.21 per share. The reporting person undertakes to provide, upon request by the SEC staff, the issuer, or a security holder of the issuer, full information regarding the number of shares purchased at each price.</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12/22/2020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2020-12-22T17:10:54Z</dcterms:created>
  <dcterms:modified xsi:type="dcterms:W3CDTF">2020-12-22T17:10:54Z</dcterms:modified>
</cp:coreProperties>
</file>