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filed with the Securities and Exchange Commission on May 26, 2017</w:t>
      </w:r>
    </w:p>
    <w:p>
      <w:pPr>
        <w:spacing w:after="0" w:line="221" w:lineRule="exact"/>
        <w:rPr>
          <w:sz w:val="24"/>
          <w:szCs w:val="24"/>
          <w:color w:val="auto"/>
        </w:rPr>
      </w:pPr>
    </w:p>
    <w:p>
      <w:pPr>
        <w:ind w:left="9160"/>
        <w:spacing w:after="0"/>
        <w:rPr>
          <w:sz w:val="20"/>
          <w:szCs w:val="20"/>
          <w:color w:val="auto"/>
        </w:rPr>
      </w:pPr>
      <w:r>
        <w:rPr>
          <w:rFonts w:ascii="Arial" w:cs="Arial" w:eastAsia="Arial" w:hAnsi="Arial"/>
          <w:sz w:val="16"/>
          <w:szCs w:val="16"/>
          <w:b w:val="1"/>
          <w:bCs w:val="1"/>
          <w:color w:val="auto"/>
        </w:rPr>
        <w:t>Registration No. 333-_______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S-3</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420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1930"/>
              <w:spacing w:after="0"/>
              <w:rPr>
                <w:sz w:val="20"/>
                <w:szCs w:val="20"/>
                <w:color w:val="auto"/>
              </w:rPr>
            </w:pPr>
            <w:r>
              <w:rPr>
                <w:rFonts w:ascii="Arial" w:cs="Arial" w:eastAsia="Arial" w:hAnsi="Arial"/>
                <w:sz w:val="18"/>
                <w:szCs w:val="18"/>
                <w:b w:val="1"/>
                <w:bCs w:val="1"/>
                <w:color w:val="auto"/>
                <w:w w:val="91"/>
              </w:rPr>
              <w:t>45-0567010</w:t>
            </w:r>
          </w:p>
        </w:tc>
      </w:tr>
      <w:tr>
        <w:trPr>
          <w:trHeight w:val="220"/>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(State or other jurisdiction of</w:t>
            </w:r>
          </w:p>
        </w:tc>
        <w:tc>
          <w:tcPr>
            <w:tcW w:w="3380" w:type="dxa"/>
            <w:vAlign w:val="bottom"/>
          </w:tcPr>
          <w:p>
            <w:pPr>
              <w:jc w:val="center"/>
              <w:ind w:left="1930"/>
              <w:spacing w:after="0"/>
              <w:rPr>
                <w:sz w:val="20"/>
                <w:szCs w:val="20"/>
                <w:color w:val="auto"/>
              </w:rPr>
            </w:pPr>
            <w:r>
              <w:rPr>
                <w:rFonts w:ascii="Arial" w:cs="Arial" w:eastAsia="Arial" w:hAnsi="Arial"/>
                <w:sz w:val="18"/>
                <w:szCs w:val="18"/>
                <w:b w:val="1"/>
                <w:bCs w:val="1"/>
                <w:color w:val="auto"/>
                <w:w w:val="93"/>
              </w:rPr>
              <w:t>(</w:t>
            </w:r>
            <w:r>
              <w:rPr>
                <w:rFonts w:ascii="Arial" w:cs="Arial" w:eastAsia="Arial" w:hAnsi="Arial"/>
                <w:sz w:val="18"/>
                <w:szCs w:val="18"/>
                <w:color w:val="auto"/>
                <w:w w:val="93"/>
              </w:rPr>
              <w:t>I.R.S. Employer</w:t>
            </w:r>
          </w:p>
        </w:tc>
      </w:tr>
      <w:tr>
        <w:trPr>
          <w:trHeight w:val="230"/>
        </w:trPr>
        <w:tc>
          <w:tcPr>
            <w:tcW w:w="4200" w:type="dxa"/>
            <w:vAlign w:val="bottom"/>
          </w:tcPr>
          <w:p>
            <w:pPr>
              <w:jc w:val="center"/>
              <w:ind w:right="1930"/>
              <w:spacing w:after="0"/>
              <w:rPr>
                <w:sz w:val="20"/>
                <w:szCs w:val="20"/>
                <w:color w:val="auto"/>
              </w:rPr>
            </w:pPr>
            <w:r>
              <w:rPr>
                <w:rFonts w:ascii="Arial" w:cs="Arial" w:eastAsia="Arial" w:hAnsi="Arial"/>
                <w:sz w:val="18"/>
                <w:szCs w:val="18"/>
                <w:color w:val="auto"/>
                <w:w w:val="93"/>
              </w:rPr>
              <w:t>incorporation or organization)</w:t>
            </w:r>
          </w:p>
        </w:tc>
        <w:tc>
          <w:tcPr>
            <w:tcW w:w="3380" w:type="dxa"/>
            <w:vAlign w:val="bottom"/>
          </w:tcPr>
          <w:p>
            <w:pPr>
              <w:jc w:val="center"/>
              <w:ind w:left="19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12264 El Camino Real, Suite 350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California 92130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704-4040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Copy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 D. Hudders,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Golenbock Eiseman Assor Bell &amp; Peskoe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711 Third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907-7300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the effective date of this registration statement.</w:t>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 [ ]</w:t>
      </w:r>
    </w:p>
    <w:p>
      <w:pPr>
        <w:spacing w:after="0" w:line="24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 ]</w:t>
      </w:r>
    </w:p>
    <w:p>
      <w:pPr>
        <w:spacing w:after="0" w:line="170" w:lineRule="exact"/>
        <w:rPr>
          <w:sz w:val="24"/>
          <w:szCs w:val="24"/>
          <w:color w:val="auto"/>
        </w:rPr>
      </w:pPr>
    </w:p>
    <w:p>
      <w:pPr>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7" w:lineRule="exact"/>
        <w:rPr>
          <w:sz w:val="24"/>
          <w:szCs w:val="24"/>
          <w:color w:val="auto"/>
        </w:rPr>
      </w:pPr>
    </w:p>
    <w:p>
      <w:pPr>
        <w:spacing w:after="0"/>
        <w:tabs>
          <w:tab w:leader="none" w:pos="7300" w:val="left"/>
        </w:tabs>
        <w:rPr>
          <w:sz w:val="20"/>
          <w:szCs w:val="20"/>
          <w:color w:val="auto"/>
        </w:rPr>
      </w:pPr>
      <w:r>
        <w:rPr>
          <w:rFonts w:ascii="Arial" w:cs="Arial" w:eastAsia="Arial" w:hAnsi="Arial"/>
          <w:sz w:val="18"/>
          <w:szCs w:val="18"/>
          <w:color w:val="auto"/>
        </w:rPr>
        <w:t>Large accelerated filer [ ]</w:t>
      </w:r>
      <w:r>
        <w:rPr>
          <w:sz w:val="20"/>
          <w:szCs w:val="20"/>
          <w:color w:val="auto"/>
        </w:rPr>
        <w:tab/>
      </w:r>
      <w:r>
        <w:rPr>
          <w:rFonts w:ascii="Arial" w:cs="Arial" w:eastAsia="Arial" w:hAnsi="Arial"/>
          <w:sz w:val="17"/>
          <w:szCs w:val="17"/>
          <w:color w:val="auto"/>
        </w:rPr>
        <w:t>Accelerated filer [ ]</w:t>
      </w:r>
    </w:p>
    <w:p>
      <w:pPr>
        <w:sectPr>
          <w:pgSz w:w="11900" w:h="16847" w:orient="portrait"/>
          <w:cols w:equalWidth="0" w:num="1">
            <w:col w:w="11420"/>
          </w:cols>
          <w:pgMar w:left="240" w:top="449"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320" w:type="dxa"/>
            <w:vAlign w:val="bottom"/>
            <w:gridSpan w:val="4"/>
          </w:tcPr>
          <w:p>
            <w:pPr>
              <w:spacing w:after="0"/>
              <w:rPr>
                <w:sz w:val="20"/>
                <w:szCs w:val="20"/>
                <w:color w:val="auto"/>
              </w:rPr>
            </w:pPr>
            <w:r>
              <w:rPr>
                <w:rFonts w:ascii="Arial" w:cs="Arial" w:eastAsia="Arial" w:hAnsi="Arial"/>
                <w:sz w:val="18"/>
                <w:szCs w:val="18"/>
                <w:color w:val="auto"/>
                <w:w w:val="95"/>
              </w:rPr>
              <w:t>Non-accelerated filer [ ] (Do not check if a smaller reporting company)</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4"/>
          </w:tcPr>
          <w:p>
            <w:pPr>
              <w:ind w:left="160"/>
              <w:spacing w:after="0"/>
              <w:rPr>
                <w:sz w:val="20"/>
                <w:szCs w:val="20"/>
                <w:color w:val="auto"/>
              </w:rPr>
            </w:pPr>
            <w:r>
              <w:rPr>
                <w:rFonts w:ascii="Arial" w:cs="Arial" w:eastAsia="Arial" w:hAnsi="Arial"/>
                <w:sz w:val="18"/>
                <w:szCs w:val="18"/>
                <w:color w:val="auto"/>
                <w:w w:val="97"/>
              </w:rPr>
              <w:t>Smaller Reporting Company [X]</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4"/>
          </w:tcPr>
          <w:p>
            <w:pPr>
              <w:ind w:left="160"/>
              <w:spacing w:after="0"/>
              <w:rPr>
                <w:sz w:val="20"/>
                <w:szCs w:val="20"/>
                <w:color w:val="auto"/>
              </w:rPr>
            </w:pPr>
            <w:r>
              <w:rPr>
                <w:rFonts w:ascii="Arial" w:cs="Arial" w:eastAsia="Arial" w:hAnsi="Arial"/>
                <w:sz w:val="18"/>
                <w:szCs w:val="18"/>
                <w:color w:val="auto"/>
              </w:rPr>
              <w:t>Emerging Growth Company [ ]</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2"/>
          </w:tcPr>
          <w:p>
            <w:pPr>
              <w:spacing w:after="0"/>
              <w:rPr>
                <w:sz w:val="19"/>
                <w:szCs w:val="19"/>
                <w:color w:val="auto"/>
              </w:rPr>
            </w:pPr>
          </w:p>
        </w:tc>
        <w:tc>
          <w:tcPr>
            <w:tcW w:w="2400" w:type="dxa"/>
            <w:vAlign w:val="bottom"/>
            <w:tcBorders>
              <w:bottom w:val="single" w:sz="8" w:color="auto"/>
            </w:tcBorders>
            <w:gridSpan w:val="3"/>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r>
      <w:tr>
        <w:trPr>
          <w:trHeight w:val="432"/>
        </w:trPr>
        <w:tc>
          <w:tcPr>
            <w:tcW w:w="3660" w:type="dxa"/>
            <w:vAlign w:val="bottom"/>
          </w:tcPr>
          <w:p>
            <w:pPr>
              <w:spacing w:after="0"/>
              <w:rPr>
                <w:sz w:val="24"/>
                <w:szCs w:val="24"/>
                <w:color w:val="auto"/>
              </w:rPr>
            </w:pPr>
          </w:p>
        </w:tc>
        <w:tc>
          <w:tcPr>
            <w:tcW w:w="5720" w:type="dxa"/>
            <w:vAlign w:val="bottom"/>
            <w:gridSpan w:val="8"/>
          </w:tcPr>
          <w:p>
            <w:pPr>
              <w:ind w:left="320"/>
              <w:spacing w:after="0"/>
              <w:rPr>
                <w:sz w:val="20"/>
                <w:szCs w:val="20"/>
                <w:color w:val="auto"/>
              </w:rPr>
            </w:pPr>
            <w:r>
              <w:rPr>
                <w:rFonts w:ascii="Arial" w:cs="Arial" w:eastAsia="Arial" w:hAnsi="Arial"/>
                <w:sz w:val="18"/>
                <w:szCs w:val="18"/>
                <w:b w:val="1"/>
                <w:bCs w:val="1"/>
                <w:color w:val="auto"/>
              </w:rPr>
              <w:t>CALCULATION OF REGISTRATION FEE</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Proposed</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660" w:type="dxa"/>
            <w:vAlign w:val="bottom"/>
          </w:tcPr>
          <w:p>
            <w:pPr>
              <w:ind w:left="1400"/>
              <w:spacing w:after="0"/>
              <w:rPr>
                <w:sz w:val="20"/>
                <w:szCs w:val="20"/>
                <w:color w:val="auto"/>
              </w:rPr>
            </w:pPr>
            <w:r>
              <w:rPr>
                <w:rFonts w:ascii="Arial" w:cs="Arial" w:eastAsia="Arial" w:hAnsi="Arial"/>
                <w:sz w:val="18"/>
                <w:szCs w:val="18"/>
                <w:b w:val="1"/>
                <w:bCs w:val="1"/>
                <w:color w:val="auto"/>
              </w:rPr>
              <w:t>Title of Each Class of</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 to be Registered</w:t>
            </w:r>
          </w:p>
        </w:tc>
        <w:tc>
          <w:tcPr>
            <w:tcW w:w="160" w:type="dxa"/>
            <w:vAlign w:val="bottom"/>
          </w:tcPr>
          <w:p>
            <w:pPr>
              <w:spacing w:after="0"/>
              <w:rPr>
                <w:sz w:val="18"/>
                <w:szCs w:val="18"/>
                <w:color w:val="auto"/>
              </w:rPr>
            </w:pPr>
          </w:p>
        </w:tc>
        <w:tc>
          <w:tcPr>
            <w:tcW w:w="2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Maximum Aggregate</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1"/>
              </w:rPr>
              <w:t>Amount of</w:t>
            </w:r>
          </w:p>
        </w:tc>
      </w:tr>
      <w:tr>
        <w:trPr>
          <w:trHeight w:val="241"/>
        </w:trPr>
        <w:tc>
          <w:tcPr>
            <w:tcW w:w="3660" w:type="dxa"/>
            <w:vAlign w:val="bottom"/>
          </w:tcPr>
          <w:p>
            <w:pPr>
              <w:ind w:left="1220"/>
              <w:spacing w:after="0"/>
              <w:rPr>
                <w:sz w:val="20"/>
                <w:szCs w:val="20"/>
                <w:color w:val="auto"/>
              </w:rPr>
            </w:pPr>
            <w:r>
              <w:rPr>
                <w:rFonts w:ascii="Arial" w:cs="Arial" w:eastAsia="Arial" w:hAnsi="Arial"/>
                <w:sz w:val="18"/>
                <w:szCs w:val="18"/>
                <w:b w:val="1"/>
                <w:bCs w:val="1"/>
                <w:color w:val="auto"/>
              </w:rPr>
              <w:t>Securities to be Registered</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jc w:val="right"/>
              <w:ind w:right="690"/>
              <w:spacing w:after="0"/>
              <w:rPr>
                <w:sz w:val="20"/>
                <w:szCs w:val="20"/>
                <w:color w:val="auto"/>
              </w:rPr>
            </w:pPr>
            <w:r>
              <w:rPr>
                <w:rFonts w:ascii="Arial" w:cs="Arial" w:eastAsia="Arial" w:hAnsi="Arial"/>
                <w:sz w:val="18"/>
                <w:szCs w:val="18"/>
                <w:b w:val="1"/>
                <w:bCs w:val="1"/>
                <w:color w:val="auto"/>
              </w:rPr>
              <w:t>(1)(2)</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Offering Price (1)(2)</w:t>
            </w:r>
          </w:p>
        </w:tc>
        <w:tc>
          <w:tcPr>
            <w:tcW w:w="20" w:type="dxa"/>
            <w:vAlign w:val="bottom"/>
          </w:tcPr>
          <w:p>
            <w:pPr>
              <w:spacing w:after="0"/>
              <w:rPr>
                <w:sz w:val="20"/>
                <w:szCs w:val="20"/>
                <w:color w:val="auto"/>
              </w:rPr>
            </w:pPr>
          </w:p>
        </w:tc>
        <w:tc>
          <w:tcPr>
            <w:tcW w:w="20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Registration Fee (6)</w:t>
            </w:r>
          </w:p>
        </w:tc>
      </w:tr>
      <w:tr>
        <w:trPr>
          <w:trHeight w:val="216"/>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Common Stock, par value $0.001 per share(3)</w:t>
            </w: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w w:val="97"/>
              </w:rPr>
              <w:t>Preferred Stock, par value $0.001 per share(3)</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Depository Shares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Warrants(4)</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8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36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Total(5)</w:t>
            </w:r>
          </w:p>
        </w:tc>
        <w:tc>
          <w:tcPr>
            <w:tcW w:w="8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75,000,000</w:t>
            </w:r>
          </w:p>
        </w:tc>
        <w:tc>
          <w:tcPr>
            <w:tcW w:w="3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75,000,000</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8,692.50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55"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are being registered hereunder such indeterminate number of shares of common stock and preferred stock, such indeterminate number of depositary shares, such indeterminate number of warrants to purchase common stock, preferred stock and/or debt securities, and such indeterminate principal amount of debt securities as may be sold by the registrant from time to time, which together shall have an aggregate initial offering price not to exceed $75,000,000; or (i) if any debt securities are issued at an original issue discount, such greater principal amount at maturity as shall result in an aggregate initial offering price equal to the amount to be registered or (ii) if any securities are issued in an amount denominated in a foreign currency, foreign currency units or composite currency, then such amount as shall result in an aggregate initial offering price equivalent thereto in United States dollars at the time of initial offering.</w:t>
      </w:r>
    </w:p>
    <w:p>
      <w:pPr>
        <w:spacing w:after="0" w:line="189"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have estimated the amount to be registered and the proposed maximum offering price solely for the purpose of calculating the registration fee pursuant to Rule 457(o). The amount and price are exclusive of accrued interest, if any, on the debt securities. The amount to be registered and proposed maximum aggregate offering price are not specified as to each class of security pursuant to General Instruction II.D. of Form S-3 under the Securities Act.</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any securities that may be registered hereunder, we are also registering an indeterminate number of shares of common stock or preferred stock as may be issued upon conversion, exercise or exchange of the securities issued directly hereunder.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warrants to purchase common stock, warrants to purchase preferred stock and warrants to purchase debt securities.</w:t>
      </w:r>
    </w:p>
    <w:p>
      <w:pPr>
        <w:spacing w:after="0" w:line="22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securities registered hereunder may be sold separately, or as units with other securities registered hereby. The proposed maximum offering price per unit will be determined by us in connection with the issuance of the securities. In no event will the aggregate offering price of all securities issued from time to time pursuant to this Registration Statement exceed $75,000,000 or the equivalent thereof in one or more foreign currencies, foreign currency units or composite currencies.</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May 26,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this prospectus, we may offer, from time to time:</w:t>
      </w:r>
    </w:p>
    <w:p>
      <w:pPr>
        <w:spacing w:after="0" w:line="229" w:lineRule="exact"/>
        <w:rPr>
          <w:sz w:val="20"/>
          <w:szCs w:val="20"/>
          <w:color w:val="auto"/>
        </w:rPr>
      </w:pPr>
    </w:p>
    <w:p>
      <w:pPr>
        <w:ind w:left="3920" w:hanging="144"/>
        <w:spacing w:after="0"/>
        <w:tabs>
          <w:tab w:leader="none" w:pos="3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 w:lineRule="exact"/>
        <w:rPr>
          <w:rFonts w:ascii="Arial" w:cs="Arial" w:eastAsia="Arial" w:hAnsi="Arial"/>
          <w:sz w:val="18"/>
          <w:szCs w:val="18"/>
          <w:color w:val="auto"/>
        </w:rPr>
      </w:pPr>
    </w:p>
    <w:p>
      <w:pPr>
        <w:ind w:left="3920" w:hanging="144"/>
        <w:spacing w:after="0"/>
        <w:tabs>
          <w:tab w:leader="none" w:pos="3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9" w:lineRule="exact"/>
        <w:rPr>
          <w:rFonts w:ascii="Arial" w:cs="Arial" w:eastAsia="Arial" w:hAnsi="Arial"/>
          <w:sz w:val="18"/>
          <w:szCs w:val="18"/>
          <w:color w:val="auto"/>
        </w:rPr>
      </w:pPr>
    </w:p>
    <w:p>
      <w:pPr>
        <w:ind w:left="3920" w:hanging="144"/>
        <w:spacing w:after="0"/>
        <w:tabs>
          <w:tab w:leader="none" w:pos="3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Depositary shares</w:t>
      </w:r>
    </w:p>
    <w:p>
      <w:pPr>
        <w:spacing w:after="0" w:line="9" w:lineRule="exact"/>
        <w:rPr>
          <w:rFonts w:ascii="Arial" w:cs="Arial" w:eastAsia="Arial" w:hAnsi="Arial"/>
          <w:sz w:val="18"/>
          <w:szCs w:val="18"/>
          <w:color w:val="auto"/>
        </w:rPr>
      </w:pPr>
    </w:p>
    <w:p>
      <w:pPr>
        <w:ind w:left="3920" w:hanging="144"/>
        <w:spacing w:after="0"/>
        <w:tabs>
          <w:tab w:leader="none" w:pos="3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Warrants</w:t>
      </w:r>
    </w:p>
    <w:p>
      <w:pPr>
        <w:spacing w:after="0" w:line="9" w:lineRule="exact"/>
        <w:rPr>
          <w:rFonts w:ascii="Arial" w:cs="Arial" w:eastAsia="Arial" w:hAnsi="Arial"/>
          <w:sz w:val="18"/>
          <w:szCs w:val="18"/>
          <w:color w:val="auto"/>
        </w:rPr>
      </w:pPr>
    </w:p>
    <w:p>
      <w:pPr>
        <w:ind w:left="3920" w:hanging="144"/>
        <w:spacing w:after="0"/>
        <w:tabs>
          <w:tab w:leader="none" w:pos="3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securities listed above may be sold separately or as units with other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may not be used to sell securities unless accompanied by a prospectus supplement, which will describe the method and the terms of the offering. We will provide you with specific amount, price and terms of the applicable offered securities in one or more supplements to this prospectus. You should read this prospectus and any supplement carefully before you purchase any of our securities.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common stock is listed on the Nasdaq Capital Market (“NASDAQCM”) under the symbol “IMMY.” On May 25, 2017, the closing price of our common stock on the NASDAQCM was $3.40 per share.</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Investing in our securities involves risk. Please carefully read the information under “Risk Factors” beginning on page 4 for information you should consider before investing in our securities.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In addition, the underwriters may overallot a portion of the securities. For additional information regarding the methods of sale of our securities, you should refer to the section entitled “Plan of Distribution” in this prospectus.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prospectus is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920" w:type="dxa"/>
            <w:vAlign w:val="bottom"/>
            <w:gridSpan w:val="2"/>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80" w:type="dxa"/>
            <w:vAlign w:val="bottom"/>
            <w:tcBorders>
              <w:top w:val="single" w:sz="8" w:color="CCEEFF"/>
              <w:bottom w:val="single" w:sz="8" w:color="0000EE"/>
            </w:tcBorders>
            <w:gridSpan w:val="7"/>
            <w:shd w:val="clear" w:color="auto" w:fill="CCEEFF"/>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PROSPECTUS SUMMARY</w:t>
              </w:r>
            </w:hyperlink>
          </w:p>
        </w:tc>
        <w:tc>
          <w:tcPr>
            <w:tcW w:w="864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680" w:type="dxa"/>
            <w:vAlign w:val="bottom"/>
            <w:tcBorders>
              <w:top w:val="single" w:sz="8" w:color="auto"/>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14"/>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2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FORWARD-LOOKING STATEMENTS</w:t>
              </w:r>
            </w:hyperlink>
          </w:p>
        </w:tc>
        <w:tc>
          <w:tcPr>
            <w:tcW w:w="7800" w:type="dxa"/>
            <w:vAlign w:val="bottom"/>
            <w:tcBorders>
              <w:bottom w:val="single" w:sz="8" w:color="CCEEFF"/>
            </w:tcBorders>
            <w:gridSpan w:val="5"/>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14"/>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DILUTION</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14"/>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14"/>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DIVIDEND POLICY</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4"/>
              </w:rPr>
            </w:pPr>
            <w:hyperlink w:anchor="page10">
              <w:r>
                <w:rPr>
                  <w:rFonts w:ascii="Arial" w:cs="Arial" w:eastAsia="Arial" w:hAnsi="Arial"/>
                  <w:sz w:val="18"/>
                  <w:szCs w:val="18"/>
                  <w:color w:val="0000EE"/>
                  <w:w w:val="94"/>
                </w:rPr>
                <w:t>DESCRIPTION OF CAPITAL STOCK</w:t>
              </w:r>
            </w:hyperlink>
          </w:p>
        </w:tc>
        <w:tc>
          <w:tcPr>
            <w:tcW w:w="7860" w:type="dxa"/>
            <w:vAlign w:val="bottom"/>
            <w:tcBorders>
              <w:bottom w:val="single" w:sz="8" w:color="CCEEFF"/>
            </w:tcBorders>
            <w:gridSpan w:val="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14"/>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THE DEPOSITARY SHARES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14"/>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DESCRIPTION OF THE WARRANTS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14"/>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DESCRIPTION OF THE DEBT SECURITIES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6"/>
              </w:rPr>
            </w:pPr>
            <w:hyperlink w:anchor="page26">
              <w:r>
                <w:rPr>
                  <w:rFonts w:ascii="Arial" w:cs="Arial" w:eastAsia="Arial" w:hAnsi="Arial"/>
                  <w:sz w:val="18"/>
                  <w:szCs w:val="18"/>
                  <w:color w:val="0000EE"/>
                  <w:w w:val="96"/>
                </w:rPr>
                <w:t>PLAN OF DISTRIBUTION</w:t>
              </w:r>
            </w:hyperlink>
          </w:p>
        </w:tc>
        <w:tc>
          <w:tcPr>
            <w:tcW w:w="8680" w:type="dxa"/>
            <w:vAlign w:val="bottom"/>
            <w:tcBorders>
              <w:bottom w:val="single" w:sz="8" w:color="CCEEFF"/>
            </w:tcBorders>
            <w:gridSpan w:val="8"/>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14"/>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LEGAL MATTERS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EXPERTS</w:t>
              </w:r>
            </w:hyperlink>
          </w:p>
        </w:tc>
        <w:tc>
          <w:tcPr>
            <w:tcW w:w="9960" w:type="dxa"/>
            <w:vAlign w:val="bottom"/>
            <w:tcBorders>
              <w:bottom w:val="single" w:sz="8" w:color="CCEEFF"/>
            </w:tcBorders>
            <w:gridSpan w:val="1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720" w:type="dxa"/>
            <w:vAlign w:val="bottom"/>
            <w:gridSpan w:val="14"/>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INCORPORATION OF CERTAIN DOCUMENTS BY REFERENCE</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14"/>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WHERE YOU CAN FIND MORE INFORMATION</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prospectus is part of a registration statement on Form S-3 that we filed with the Securities and Exchange Commission, or the SEC, using a “shelf” registration process. Under this shelf process, we may, from time to time, offer or sell any combination of the securities described in this prospectus in one or more offerings up to a total dollar amount of $75,000,000.</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provides you with a general description of the securities offered by us.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 securities.</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 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following summary highlights information contained in this prospectus or incorporated by reference. While we have included what we believe to be the most important information about the company and this offering, the following summary may not contain all the information that may be important to you. You should read this entire prospectus carefully, including the risks of investing discussed under “Risk Factors” beginning on page 4, the information to which we refer you and the information incorporated into this prospectus by reference, for a complete understanding of our business and this offering. References in this prospectus to “our company,” “we,” “our,” “Imprimis” and “us” refer to Imprimis Pharmaceuticals, Inc.</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an ophthalmology-focused pharmaceutical company specialized in the development, production and sale of innovative medications that offer unique competitive advantages and serve unmet needs in the marketplace. We are committed to our company’s mission, vision and values to deliver high-quality novel medications to physicians and patients at affordable prices.</w:t>
      </w:r>
    </w:p>
    <w:p>
      <w:pPr>
        <w:spacing w:after="0" w:line="185" w:lineRule="exact"/>
        <w:rPr>
          <w:sz w:val="20"/>
          <w:szCs w:val="20"/>
          <w:color w:val="auto"/>
        </w:rPr>
      </w:pPr>
    </w:p>
    <w:p>
      <w:pPr>
        <w:jc w:val="both"/>
        <w:ind w:firstLine="648"/>
        <w:spacing w:after="0"/>
        <w:rPr>
          <w:sz w:val="20"/>
          <w:szCs w:val="20"/>
          <w:color w:val="auto"/>
        </w:rPr>
      </w:pPr>
      <w:r>
        <w:rPr>
          <w:rFonts w:ascii="Arial" w:cs="Arial" w:eastAsia="Arial" w:hAnsi="Arial"/>
          <w:sz w:val="16"/>
          <w:szCs w:val="16"/>
          <w:color w:val="auto"/>
        </w:rPr>
        <w:t>The cornerstone of our ophthalmology program consists of our proprietary Dropless Therapy</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injectable and LessDrops</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topical formulations that compete in the multi-billion dollar U.S. eye drop market. These formulations have been uniquely designed to address patient compliance issues and provide</w:t>
      </w:r>
    </w:p>
    <w:p>
      <w:pPr>
        <w:jc w:val="both"/>
        <w:spacing w:after="0" w:line="259" w:lineRule="auto"/>
        <w:rPr>
          <w:sz w:val="20"/>
          <w:szCs w:val="20"/>
          <w:color w:val="auto"/>
        </w:rPr>
      </w:pPr>
      <w:r>
        <w:rPr>
          <w:rFonts w:ascii="Arial" w:cs="Arial" w:eastAsia="Arial" w:hAnsi="Arial"/>
          <w:sz w:val="16"/>
          <w:szCs w:val="16"/>
          <w:color w:val="auto"/>
        </w:rPr>
        <w:t>other compelling medical and economic benefits. We also offer a conscious sedation medication, the IV Free MKO Melt</w:t>
      </w:r>
      <w:r>
        <w:rPr>
          <w:rFonts w:ascii="Arial" w:cs="Arial" w:eastAsia="Arial" w:hAnsi="Arial"/>
          <w:sz w:val="26"/>
          <w:szCs w:val="26"/>
          <w:color w:val="auto"/>
          <w:vertAlign w:val="superscript"/>
        </w:rPr>
        <w:t>™</w:t>
      </w:r>
      <w:r>
        <w:rPr>
          <w:rFonts w:ascii="Arial" w:cs="Arial" w:eastAsia="Arial" w:hAnsi="Arial"/>
          <w:sz w:val="16"/>
          <w:szCs w:val="16"/>
          <w:color w:val="auto"/>
        </w:rPr>
        <w:t>, a proprietary alternative to intravenous sedation. The MKO Melt is administered sublingually to sedate patients undergoing ocular and other surgeries. We plan to expand our ophthalmology program and introduce additional innovative medications for glaucoma, wet age-related macular degeneration (wet AMD), diabetic macular edema (DME) and chronic dry eye disease (DED). Our integrative medicine business includes medications used in several therapeutic areas including oncology, autoimmunity, chronic infectious diseases, and endocrine and metabolic diseases. Our urology business includes a series of injectable erectile</w:t>
      </w:r>
    </w:p>
    <w:p>
      <w:pPr>
        <w:spacing w:after="0" w:line="4" w:lineRule="exact"/>
        <w:rPr>
          <w:sz w:val="20"/>
          <w:szCs w:val="20"/>
          <w:color w:val="auto"/>
        </w:rPr>
      </w:pPr>
    </w:p>
    <w:p>
      <w:pPr>
        <w:jc w:val="both"/>
        <w:spacing w:after="0" w:line="206" w:lineRule="auto"/>
        <w:rPr>
          <w:sz w:val="20"/>
          <w:szCs w:val="20"/>
          <w:color w:val="auto"/>
        </w:rPr>
      </w:pPr>
      <w:r>
        <w:rPr>
          <w:rFonts w:ascii="Arial" w:cs="Arial" w:eastAsia="Arial" w:hAnsi="Arial"/>
          <w:sz w:val="16"/>
          <w:szCs w:val="16"/>
          <w:color w:val="auto"/>
        </w:rPr>
        <w:t>dysfunction formulations for patients that are refractory to or are otherwise unable to take phosphodiesterase type 5 inhibitors such as sildenafil (Viagra</w:t>
      </w:r>
      <w:r>
        <w:rPr>
          <w:rFonts w:ascii="Arial" w:cs="Arial" w:eastAsia="Arial" w:hAnsi="Arial"/>
          <w:sz w:val="26"/>
          <w:szCs w:val="26"/>
          <w:color w:val="auto"/>
          <w:vertAlign w:val="superscript"/>
        </w:rPr>
        <w:t>®</w:t>
      </w:r>
      <w:r>
        <w:rPr>
          <w:rFonts w:ascii="Arial" w:cs="Arial" w:eastAsia="Arial" w:hAnsi="Arial"/>
          <w:sz w:val="16"/>
          <w:szCs w:val="16"/>
          <w:color w:val="auto"/>
        </w:rPr>
        <w:t>), tadalafil (Cialis</w:t>
      </w:r>
      <w:r>
        <w:rPr>
          <w:rFonts w:ascii="Arial" w:cs="Arial" w:eastAsia="Arial" w:hAnsi="Arial"/>
          <w:sz w:val="26"/>
          <w:szCs w:val="26"/>
          <w:color w:val="auto"/>
          <w:vertAlign w:val="superscript"/>
        </w:rPr>
        <w:t>®</w:t>
      </w:r>
      <w:r>
        <w:rPr>
          <w:rFonts w:ascii="Arial" w:cs="Arial" w:eastAsia="Arial" w:hAnsi="Arial"/>
          <w:sz w:val="16"/>
          <w:szCs w:val="16"/>
          <w:color w:val="auto"/>
        </w:rPr>
        <w:t>), and vardenafil (Levitra</w:t>
      </w:r>
      <w:r>
        <w:rPr>
          <w:rFonts w:ascii="Arial" w:cs="Arial" w:eastAsia="Arial" w:hAnsi="Arial"/>
          <w:sz w:val="26"/>
          <w:szCs w:val="26"/>
          <w:color w:val="auto"/>
          <w:vertAlign w:val="superscript"/>
        </w:rPr>
        <w:t>®</w:t>
      </w:r>
      <w:r>
        <w:rPr>
          <w:rFonts w:ascii="Arial" w:cs="Arial" w:eastAsia="Arial" w:hAnsi="Arial"/>
          <w:sz w:val="16"/>
          <w:szCs w:val="16"/>
          <w:color w:val="auto"/>
        </w:rPr>
        <w:t>). We also make PPS-DR</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(pentosan polysulfate sodium delayed-release) formulations as lower-cost alternatives</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to Elmiron</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patients diagnosed with interstitial cystitis. We also make and sell low-cost therapeutic alternatives to Daraprim</w:t>
      </w:r>
      <w:r>
        <w:rPr>
          <w:rFonts w:ascii="Arial" w:cs="Arial" w:eastAsia="Arial" w:hAnsi="Arial"/>
          <w:sz w:val="30"/>
          <w:szCs w:val="30"/>
          <w:color w:val="auto"/>
          <w:vertAlign w:val="superscript"/>
        </w:rPr>
        <w:t>®</w:t>
      </w:r>
      <w:r>
        <w:rPr>
          <w:rFonts w:ascii="Arial" w:cs="Arial" w:eastAsia="Arial" w:hAnsi="Arial"/>
          <w:sz w:val="18"/>
          <w:szCs w:val="18"/>
          <w:color w:val="auto"/>
        </w:rPr>
        <w:t>, Thiola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Calcium Disodium Versenate, all FDA-approved drugs that have experienced significant price increases.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produce and dispense our medications directly to customers through our ImprimisRx facilities located in Ledgewood, New Jersey, Irvine, California and Folcroft, Pennsylvania. Our New Jersey facility is comprised of two separate facilities, with one facility registered with the FDA as an outsourcing facility under Section 503B of the Federal Food, Drug &amp; Cosmetic Act (FDCA). The other New Jersey facility, and our California and Pennsylvania facilities, are all licensed pharmacies operating under Sections 503A of the FDCA. All products that we sell, produce and dispense are made in the United States.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proprietary drug formulations are born from the clinical experience of a network of inventors, including physician prescribers, clinical researchers and pharmacist formulators, who develop and prescribe personalized medicines for individual patient needs. We work collaboratively with these inventors to identify and evaluate intellectual property related to potential candidates, assess relevant markets, and seek to validate the clinical experience with the objective of investing in commercialization activities. Although our business is focused on a pharmaceutical compounding commercialization strategy, we may also consider other commercialization pathways, including pursuing FDA approval to market and sell a drug formulation or technology.</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$81.9 million at March 31, 2017. Beginning on April 1, 2014, when we acquired our first ImprimisRx compounding pharmacy, we began generating revenue from sales of certain of our proprietary drug formulations and other non-proprietary formulations; however, we expect to incur further losses as we integrate and develop our pharmacy operations, evaluate other programs and continue the development of our formulations.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executive offices are located at 12264 El Camino Real, Suite 350, San Diego, California 92130 and our telephone number at such office is (858) 704-4040. Our website address is imprimispharma.com. Information contained on our website is not deemed part of this prospectus supplement.</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offer up to $75.0 million of common stock, preferred stock, depositary shares, warrants and debt securities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shares of our common stock, par value $0.001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Currently, we do not pay a dividend. Each holder of common stock is entitled to one vote per share. The holders of common stock have no preemptive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Depositary Shares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issue preferred stock in one or more series. Our board of directors or a committee designated by the board will determine the dividend, voting and conversion rights and other provisions at the time of sale. Each series of preferred stock will be more fully described in the particular prospectus supplement that will accompany this prospectus, including redemption provisions, rights in the event of liquidation, dissolution or the winding up of Imprimis Pharmaceuticals, Inc., voting rights and rights to convert into common stock. We may also issue fractional shares of preferred stock that will be represented by depositary shares and depositary receipts. Each particular series of depositary shares will be more fully described in the prospectus supplement that will accompany this prospectus.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issue warrants for the purchase of common stock, preferred stock or debt securities. We may issue warrants independently or together with other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offer secured or unsecured obligations in the form of one or more series of senior or subordinated debt. The senior debt securities and the subordinated debt securities are together referred to in this prospectus as the “debt securities.” The senior debt securities will have the same rank as all of our other unsubordinated debt but we may be subject to the terms of other debt to which the senior debt is otherwise subordinate.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debt securities will be issued under separate indentures between us and a trustee. We have summarized the general features of the debt securities to be governed by the indentures. These indentures have been filed as exhibits to the registration statement of which this prospectus forms a part. We encourage you to read these indentures. Instructions on how you can get copies of these documents are provided under the heading “Where You Can Find More Information.”</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Each of the referenced risks and uncertainties could adversely affect our business, operating results and financial condition, as well as adversely affect the value of an investment in our securities.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This prospectus and the registration statement of which it forms a part, any prospectus supplement, any related issuer free writing prospectus and the documents incorporated by reference into these documents contain forward-looking statements within the meaning of Section 27A of the Securities Act of 1933 and Section 21E of the Securities Exchange Act of 1934. Forward-looking statements deal with our current plans, intentions, beliefs and expectations and statements of future economic performance. Statements containing terms such as “believe,” “do not believe,” “plan,” “expect,” “intend,” “estimate,” “anticipate” and other phrases of similar meaning are considered to contain uncertainty and are forward-looking statements. In addition, from time to time we or our representatives have made or will make forward-looking statements orally or in writing. Furthermore, such forward-looking statements may be included in various filings that we make with the SEC, or press releases or oral statements made by or with the approval of one of our authorized executive officers. These forward-looking statements are subject to certain known and unknown risks and uncertainties, as well as assumptions that could cause actual results to differ materially from those reflected in these forward-looking statements. Factors that might cause actual results to differ include, but are not limited to, those set forth under Item 1A, “Risk Factors,” and Item 7, “Management’s Discussion and Analysis of Financial Condition and Results of Operations,” in our most recent Annual Report on Form 10-K and in our future filings made with the SEC. Readers are cautioned not to place undue reliance on any forward-looking statements contained in this prospectus, any prospectus supplement or any related issuer free writing prospectus, which reflect management’s opinions only as of their respective dates. Except as required by law, we undertake no obligation to revise or publicly release the results of any revisions to any forward-looking statements. You are advised, however, to consult any additional disclosures we have made or will make in our reports to the SEC on Forms 10-K, 10-Q and 8-K. All subsequent written and oral forward-looking statements attributable to us or persons acting on our behalf are expressly qualified in their entirety by the cautionary statements contained in this prospectus, any prospectus supplement or any related issuer free writing prospectus.</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will set forth in a prospectus supplement the following information regarding any material dilution to the purchasers of equity interests which they purchase in an offering under this prospectus:</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net tangible book value per share before and after the offering;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amount of the increase in such net tangible book value per share attributable to the cash payments made by purchasers in the offering;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the purchasers.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Unless otherwise indicated in the prospectus supplement, the net proceeds from the sale of securities offered by this prospectus will be used for general corporate purposes and working capital requirements, which may include, among other things, the repayment or repurchase of debt obligations and other capital expenditures. We may also use a portion of the net proceeds for licensing or acquiring intellectual property or technologies to incorporate into our products and product candidates or our research and development programs, capital expenditures, to fund possible investments in and acquisitions of complementary businesses or partnerships. We have not determined the amounts we plan to spend on the areas listed above or the timing of these expenditures, and we have no current plans with respect to acquisitions as of the date of this prospectus. As a result, unless otherwise indicated in the prospectus supplement, our management will have broad discretion to allocate the net proceeds of the offerings. Pending their ultimate use, we intend to invest the net proceeds in a variety of securities, including commercial paper, government and non-government debt securities and/or money market funds that invest in such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equity securities. Moreover, we do not anticipate paying periodic cash dividends for the foreseeable future. We intend to use all available cash and liquid assets in the operation and growth of our business. Any future determination about the payment of dividends will be made at the discretion of our board of directors and will depend upon our earnings, if any, capital requirements, operating and financial conditions and on such other factors as our board of directors deems relevant.</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summary of the rights of our common and preferred stock and of certain provisions of our Amended and Restated Certificate of Incorporation and Bylaws. For more detailed information, please see our Amended and Restated Certificate of Incorporation and Bylaws, which are filed as exhibits to the registration statement of which this prospectus forms a part.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authorized capital stock consists of 95,000,000 shares, 90,000,000 of which are designated as common stock, par value $0.001 per share, and 5,000,000 of which are designated as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 Issued and Outstanding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15, 2017 there were approximately 261 stockholders of record (excluding an indeterminable number of stockholders whose shares are held in street or “nominee” name) of our common stock. In addition, as of March 31, 2017, there are outstanding (i) options to acquire 2,230,510 shares of our common stock with a weighted average exercise price of $5.69 per share, (ii) warrants to purchase 5,748,829 shares of common stock with a weighted average exercise price of $1.91 per share, and (iii) 1,280,188 restricted stock units.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authorized to issue 90,000,000 shares of common stock, par value $0.001 per share. The holders of our common stock are entitled to one vote per share on all matters submitted to a vote of the stockholders, including the election of directors. Our Amended and Restated Certificate of Incorporation does not provide for cumulative voting in the election of directors. Subject to any preferential rights of any outstanding series of preferred stock created by our Board of Directors from time to time the holders of our common stock will be entitled to cash dividends as may be declared, if any, by our Board of Directors from funds available. Subject to any preferential rights of any outstanding series of preferred stock that we may issue, upon liquidation, dissolution or winding up of our company, the holders of our common stock will be entitled to receive pro rata all assets available for distribution to the holders.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5,000,000 shares of preferred stock, par value $0.001 per share, in one or more series. Our Board of Directors may designate the rights, preferences, privileges and restrictions of the preferred stock, including dividend rights, conversion rights, voting rights, terms of redemption, liquidation preference, sinking fund terms, and number of shares constituting any series and the designation of any series. The issuance of preferred stock could have the effect of restricting dividends on our common stock, diluting the voting power of our common stock, impairing the liquidation rights of our common stock, or delaying or preventing a change in control. The ability to issue preferred stock could delay or impede a change in control. As of the date of this prospectus and following the completion of this offering, no shares of preferred stock are outstanding and we currently have no plan to issue any shares of preferred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the provisions of Section 203 of the Delaware General Corporation Law, or DGCL, an anti-takeover law. In general, Section 203 prohibits a publicly held Delaware corporation from engaging in a “business combination’’ with an “interested stockholder’’ for a period of three years after the date of the transaction in which such stockholder became an interested stockholder, unless the business combination is approved in a prescribed manner. For purposes of Section 203, a “business combination’’ includes a merger, asset sale or other transaction resulting in a financial benefit to the interested stockholder, and an “interested stockholder’’ is a stockholder who, together with affiliates and associates, owns, or within three years prior, did own, 15% or more of the voting stock.</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Liability and Indemnification of Directors and Officers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Section 145 of the DGCL provides, in general, that a corporation incorporated under the laws of the State of Delaware, such as us, may indemnify any person who was or is a party or is threatened to be made a party to any threatened, pending or completed action, suit or proceeding (other than a derivative action by or in the right of the corporation) by reason of the fact that such person is or was a director, officer, employee or agent of the corporation, or is or was serving at the request of the corporation as a director, officer, employee or agent of another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In the case of a derivative action, a Delaware corporation may indemnify any such person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will be made in respect of any claim, issue or matter as to which such person will have been adjudged to be liable to the corporation unless and only to the extent that the Court of Chancery of the State of Delaware or any other court in which such action was brought determines such person is fairly and reasonably entitled to indemnity for such expenses.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we will indemnify our directors, officers, employees and agents to the extent and in the manner permitted by the provisions of the DGCL, as amended from time to time, subject to any permissible expansion or limitation of such indemnification, as may be set forth in any stockholders’ or directors’ resolution or by contract.</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also have director and officer indemnification agreements with each of our executive officers and directors that provide, among other things, for the indemnification to the fullest extent permitted or required by Delaware law, provided that such indemnitee shall not be entitled to indemnification in connection with any proceedings or claims initiated or brought voluntarily by the indemnitee and not by way of defense, unless (i) such indemnification is expressly required to be made by law, (ii) the proceeding was authorized by our Board of Directors, (iii) indemnification is provided by us, in our sole discretion, pursuant to powers vested in us under the DGCL, or (iv) the proceeding is brought to establish or enforce a right to indemnification under the indemnification agreement or any other statute or law or otherwise as required under Section 145 of the DGCL. We are not required to indemnify the indemnitee for any amounts paid in settlement of a proceeding unless we consent to such settlement.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repeal or modification of these provisions approved by our stockholders shall be prospective only, and shall not adversely affect any limitation on the liability of a director or officer existing as of the time of such repeal or modification.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purchased and intend to maintain insurance on our behalf and on behalf of any person who is or was a director or officer against any loss arising from any claim asserted against him or her and incurred by him or her in that capacity, subject to certain exclusions and limits of the amount of coverage.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Agent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transfer agent and registrar for our common stock is Action Stock Transfer Corporation, 2469 E. Fort Union Blvd., Suite 214, Salt Lake City, UT 84121.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our option, we may elect to offer fractional shares of preferred stock, rather than full shares of preferred stock. If we do elect to offer fractional shares of preferred stock, we will issue receipts for depositary shares and each of these will represent a fraction of a share of a particular series of preferred stock, as specified in the applicable prospectus supplement. Each owner of a depositary share will be entitled, in proportion to the applicable fractional interest in shares of preferred stock underlying that depositary share, to all rights and preferences of the preferred stock underlying that depositary share. These rights may include dividend, voting, redemption and liquidation rights.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by and among us, the depositary and the holders of the depositary receipts. The depositary will be the transfer agent, registrar and dividend disbursing agent for the depositary shares.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summary of terms of the depositary shares contained in this prospectus is not complete, and is subject to modification in any prospectus supplement for any issuance of depositary shares. You should refer to the forms of the deposit agreement, our amended and restated certificate of incorporation and the certificate of designation that are, or will be, filed with the SEC for the applicable series of preferred stock.</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depositary will distribute cash dividends or other cash distributions, if any, received in respect of the series of preferred stock underlying the depositary shares to the record holders of depositary receipts in proportion to the number of depositary shares owned by those holders on the relevant record date. The relevant record date for depositary shares will be the same date as the record date for the preferred stock.</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event of a distribution other than in cash, the depositary will distribute property received by it to the record holders of depositary receipts that are entitled to receive the distribution, unless the depositary determines that it is not feasible to make the distribution. If this occurs, the depositary, with our approval, may adopt another method for the distribution, including selling the property and distributing the net proceeds to the 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series of preferred stock underlying the depositary shares has a liquidation preference, in the event of our voluntary or involuntary liquidation, dissolution or winding up, holders of depositary shares will be entitled to receive the fraction of the liquidation preference accorded each share of the applicable series of preferred stock, as set forth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series of preferred stock underlying the depositary shares is subject to redemption, the depositary shares will be redeemed from the proceeds received by the depositary resulting from the redemption, in whole or in part, of the preferred stock held by the depositary. Whenever we redeem any preferred stock held by the depositary, the depositary will redeem, as of the same redemption date, the number of depositary shares representing the preferred stock so redeemed. The depositary will mail the notice of redemption to the record holders of the depositary receipts promptly upon receiving the notice from us and not fewer than 20 or more than 60 days, unless otherwise provided in the applicable prospectus supplement, prior to the date fixed for redemption of the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Upon receipt of notice of any meeting at which the holders of preferred stock are entitled to vote, the depositary will mail the information contained in the notice of meeting to the record holders of the depositary receipts underlying the preferred stock. Each record holder of those depositary receipts on the record date will be entitled to instruct the depositary as to the exercise of the voting rights pertaining to the amount of preferred stock underlying that holder’s depositary shares. The record date for the depositary will be the same date as the record date for the preferred stock. The depositary will, to the extent practicable, vote the preferred stock underlying the depositary shares in accordance with these instructions. We will agree to take all action that may be deemed necessary by the depositary in order to enable the depositary to vote the preferred stock in accordance with these instructions. The depositary will not vote the preferred stock to the extent that it does not receive specific instructions from the holders of depositary receipts.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 of depositary shares will be entitled to receive upon surrender of depositary receipts at the principal office of the depositary and payment of any unpaid amount due to the depositary, the number of whole shares of preferred stock underlying their depositary shares.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Partial shares of preferred stock will not be issued. Holders of preferred stock will not be entitled to deposit the shares under the deposit agreement or to receive depositary receipts evidencing depositary shares for the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the depositary and us. However, any amendment which materially and adversely alters the rights of the holders of depositary shares, other than fee changes, will not be effective unless the amendment has been approved by at least a majority of the outstanding depositary shares. The deposit agreement may be terminated by the depositary or us only if:</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2" w:name="page13"/>
    <w:bookmarkEnd w:id="12"/>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We will also pay charges of the depositary in connection with:</w:t>
      </w:r>
    </w:p>
    <w:p>
      <w:pPr>
        <w:spacing w:after="0" w:line="17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deposit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initial issuance of the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redemption of the preferred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withdrawals of preferred stock by owners of depositary shares.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Holders of depositary receipts will pay transfer, income and other taxes and governmental charges and other specified charges as provided in the deposit agreement for their accounts. If these charges have not been paid, the depositary may:</w:t>
      </w:r>
    </w:p>
    <w:p>
      <w:pPr>
        <w:spacing w:after="0" w:line="170"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refuse to transfer depositary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withhold dividends and distributions;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the depositary shares evidenced by the depositary receipt.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will forward to the holders of depositary receipts all reports and communications we deliver to the depositary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Neither the depositary nor we will be liable if either the depositary or we are prevented or delayed by law or any circumstance beyond the control of either the depositary or us in performing our respective obligations under the deposit agreement. Our obligations and the depositary’s obligations will be limited to the performance in good faith of our or the depositary’s respective duties under the deposit agreement. Neither the depositary nor we will be obligated to prosecute or defend any legal proceeding in respect of any depositary shares or preferred stock unless satisfactory indemnity is furnished. The depositary and we may rely on:</w:t>
      </w:r>
    </w:p>
    <w:p>
      <w:pPr>
        <w:spacing w:after="0" w:line="188"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written advice of counsel or accountants;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information provided by holders of depositary receipts or other persons believed in good faith to be competent to give such information;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documents believed to be genuine and to have been signed or presented by the proper party or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depositary may resign at any time by delivering a notice to us. We may remove the depositary at any time. Any such resignation or removal will take effect upon the appointment of a successor depositary and its acceptance of such appointment. The successor depositary must be appointed within 60 days after delivery of the notice for resignation or removal. The successor depositary must be a bank and trust company having its principal office in the United States of America and having a combined capital and surplus of at least $50,000,000.</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Owners of the depositary shares will be treated for U.S. federal income tax purposes as if they were owners of the preferred stock underlying the depositary shares. As a result, owners will be entitled to take into account for U.S. federal income tax purposes and deductions to which they would be entitled if they were holders of such preferred stock. No gain or loss will be recognized for U.S. federal income tax purposes upon the withdrawal of preferred stock in exchange for depositary shares. The tax basis of each share of preferred stock to an exchanging owner of depositary shares will, upon such exchange, be the same as the aggregate tax basis of the depositary shares exchanged. The holding period for preferred stock in the hands of an exchanging owner of depositary shares will include the period during which such person owned such depositary shares.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The warrant agent will not have any obligation or relationship of agency or trust for or with any holders or beneficial owners of warrants. This summary of certain provisions of the warrants is not complete. For the terms of a particular series of warrants, you should refer to the prospectus supplement for that series of warrants and the warrant agreement for that particular series.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warrants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prospectus supplement relating to a particular issue of warrants to purchase debt securities will describe the terms of the debt warrants, including the following:</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title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offering price for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number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designation and terms of the debt securities, including any conversion rights, purchasable upon exercise of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applicable, the date from and after which the debt warrants and any debt securities issued with them will be separately transferable;</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dates on which the right to exercise the debt warrants will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debt warrants that may be exercised at any one time;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whether the debt warrants represented by the debt warrant certificates or debt securities that may be issued upon exercise of the debt warrants will be issued in registered or bearer form;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the currency or currency units in which the offering price, if any, and the exercise price are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antidilution provisions of the debt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debt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additional terms of the debt warrants, including procedures, and limitations relating to the exchange, exercise and settlement of the debt warrants.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 w:name="page15"/>
    <w:bookmarkEnd w:id="14"/>
    <w:p>
      <w:pPr>
        <w:jc w:val="both"/>
        <w:ind w:firstLine="648"/>
        <w:spacing w:after="0" w:line="259" w:lineRule="auto"/>
        <w:rPr>
          <w:sz w:val="20"/>
          <w:szCs w:val="20"/>
          <w:color w:val="auto"/>
        </w:rPr>
      </w:pPr>
      <w:r>
        <w:rPr>
          <w:rFonts w:ascii="Arial" w:cs="Arial" w:eastAsia="Arial" w:hAnsi="Arial"/>
          <w:sz w:val="18"/>
          <w:szCs w:val="18"/>
          <w:color w:val="auto"/>
        </w:rPr>
        <w:t>Debt warrant certificates will be exchangeable for new debt warrant certificates of different denominations. Debt warrants may be exercised at the corporate trust office of the warrant agent or any other office indicated in the prospectus supplement. 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warrants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prospectus supplement relating to a particular series of warrants to purchase our common stock or preferred stock will describe the terms of the warrants, including the following:</w:t>
      </w:r>
    </w:p>
    <w:p>
      <w:pPr>
        <w:spacing w:after="0" w:line="17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designation and terms of the common stock or preferred stock that may be purchased upon exercise of the warrants;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security;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that may be purchased upon exercise of a warrant and the exercise price for the warrants;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shall commence and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or call provisions, if any, applicable to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provisions with respect to the holder’s right to require us to repurchase the warrants upon a change in control or similar event; and</w:t>
      </w:r>
    </w:p>
    <w:p>
      <w:pPr>
        <w:spacing w:after="0" w:line="236" w:lineRule="exact"/>
        <w:rPr>
          <w:rFonts w:ascii="Arial" w:cs="Arial" w:eastAsia="Arial" w:hAnsi="Arial"/>
          <w:sz w:val="17"/>
          <w:szCs w:val="17"/>
          <w:color w:val="auto"/>
        </w:rPr>
      </w:pPr>
    </w:p>
    <w:p>
      <w:pPr>
        <w:ind w:left="660" w:right="360" w:hanging="4"/>
        <w:spacing w:after="0" w:line="501" w:lineRule="auto"/>
        <w:tabs>
          <w:tab w:leader="none" w:pos="98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additional terms of the warrants, including procedures, and limitations relating to the exchange, exercise and settlement of the warrants. Holders of equity warrants will not be entitled:</w:t>
      </w: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exercise any rights as stockholders of us.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DESCRIPTION OF THE DEBT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debt securities may be either secured or unsecured and may be characterized as senior debt securities or subordinated debt securities. The debt securities will be issued under one or more separate indentures between us and a trustee to be specified in an accompanying prospectus supplement. Senior debt securities will be issued under a senior indenture and subordinated debt securities will be issued under a subordinated indenture. Together, the senior indenture and the subordinated indenture are called indentures in this description. This prospectus, together with the applicable prospectus supplement, will describe the terms of a particular series of debt securities.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is a summary of selected provisions and definitions of the indentures and debt securities to which any prospectus supplement may relate. The summary of selected provisions of the indentures and the debt securities appearing below is not complete and is subject to, and qualified entirely by reference to, all of the provisions of the applicable indenture and certificates evidencing the applicable debt securities. For additional information, you should look at the applicable indenture and the certificate evidencing the applicable debt security that is filed as an exhibit to the registration statement that includes the prospectus. In this description of the debt securities, the words “Imprimis,” “we,” “us,” or “our” refer only to Imprimis Pharmaceuticals, Inc. and not to any of our subsidiaries, unless we expressly state or the context otherwise requires.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description sets forth selected general terms and provisions of the applicable indenture and debt securities to which any prospectus supplement may relate. Other specific terms of the applicable indenture and debt securities will be described in the applicable prospectus supplement. If any particular terms of the indenture or debt securities described in a prospectus supplement differ from any of the terms described below, then the terms described below will be deemed to have been superseded by that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Debt securities may be issued in separate series without limitation as to aggregate principal amount. We may specify a maximum aggregate principal amount for the debt securities of any series.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not limited as to the amount of debt securities we may issue under the indentures. Unless otherwise provided in a prospectus supplement, a series of debt securities may be reopened to issue additional debt securities of such series.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prospectus supplement relating to a particular series of debt securities will set forth:</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title;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limit on the aggregate principal amount;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person who shall be entitled to receive interest, if other than the record holder on the record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or dates the principal will be payable;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interest rate or rates, which may be fixed or variable, if any, the date from which interest will accrue, the interest payment dates and the regular record dates, or the method for calculating the dates and rates;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place where payments may be made;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mandatory or optional redemption provisions or sinking fund provisions and any applicable redemption or purchase prices associated with these provisions;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issued other than in denominations of U.S. $1,000 or any multiple of U.S. $1,000, the denominations in which the debt securities shall be issuable;</w:t>
      </w:r>
    </w:p>
    <w:p>
      <w:pPr>
        <w:spacing w:after="0" w:line="170" w:lineRule="exact"/>
        <w:rPr>
          <w:rFonts w:ascii="Arial" w:cs="Arial" w:eastAsia="Arial" w:hAnsi="Arial"/>
          <w:sz w:val="18"/>
          <w:szCs w:val="18"/>
          <w:color w:val="auto"/>
        </w:rPr>
      </w:pPr>
    </w:p>
    <w:p>
      <w:pPr>
        <w:ind w:left="5600" w:right="180" w:hanging="4944"/>
        <w:spacing w:after="0" w:line="528"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applicable, the method for determining how the principal, premium, if any, or interest will be calculated by reference to an index or formula;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other than U.S. currency, the currency or currency units in which principal, premium, if any, or interest will be payable and whether we or a holder may elect payment to be made in a different currency;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upon acceleration of maturity, if other than the entire principal amount;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principal amount payable at stated maturity will not be determinable as of any date prior to stated maturity, the amount or method for determining the amount which will be deemed to be the principal amount;</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applicable, whether the debt securities shall be subject to the defeasance provisions described below under “Satisfaction and discharge; defeasance” or such other defeasance provisions specified in the applicable prospectus supplement for the debt securities;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securities will be issuable in the form of a global certificate;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subordination provisions applicable to the subordinated debt securities if different from those described below under “Subordinated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paying agents, authenticating agents, security registrars or other agents for the debt securities, if other than the trustee;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deletions of, or changes or additions to, the events of default, acceleration provisions or covenants;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provisions relating to guaranties for the securities and any circumstances under which there may be additional obligors;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specific terms of such debt securities.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Unless otherwise specified in the prospectus supplement, the debt securities will be registered debt securities. Debt securities may be sold at a substantial discount below their stated principal amount, bearing no interest or interest at a rate which at time of issuance is below market rates. The U.S. federal income tax considerations applicable to debt securities sold at a discount will be described in the applicable prospectus supplement.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and transfer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Debt securities may be transferred or exchanged at the office of the security registrar or at the office of any transfer agent designated by us.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not impose a service charge for any transfer or exchange, but we may require holders to pay any tax or other governmental charges associated with any transfer or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of any partial redemption of debt securities of any series, we will not be required to:</w:t>
      </w:r>
    </w:p>
    <w:p>
      <w:pPr>
        <w:spacing w:after="0" w:line="225" w:lineRule="exact"/>
        <w:rPr>
          <w:sz w:val="20"/>
          <w:szCs w:val="20"/>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of that series during a period beginning at the opening of business 15 days before the day of mailing of a notice of redemption and ending at the close of business on the day of the mailing; or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of that series selected for redemption, in whole or in part, except the unredeemed portion being redeemed in part.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appoint the trustee as the initial security registrar. Any transfer agent, in addition to the security registrar initially designated by us, will be named in the prospectus supplement. We may designate additional transfer agents or change transfer agents or change the office of the transfer agent. However, we will be required to maintain a transfer agent in each place of payment for the debt securities of each series.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Global certificates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debt securities of any series may be represented, in whole or in part, by one or more global certificates. Each global certificate will:</w:t>
      </w:r>
    </w:p>
    <w:p>
      <w:pPr>
        <w:spacing w:after="0" w:line="225"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registered in the name of a depositary, or its nominee, that we will identify in a prospectus supplement;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deposited with the depositary or nominee or custodian;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bear any required legends.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global certificate may be exchanged in whole or in part for debt securities registered in the name of any person other than the depositary or any nominee unless:</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depositary has notified us that it is unwilling or unable to continue as depositary or has ceased to be qualified to act as depositary;</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event of default is continuing with respect to the debt securities of the applicable series;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other circumstance described in a prospectus supplement has occurred permitting or requiring the issuance of any such security.</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long as the depositary, or its nominee, is the registered owner of a global certificate, the depositary or nominee will be considered the sole owner and holder of the debt securities represented by the global certificate for all purposes under the indentures. Except in the above limited circumstances, owners of beneficial interests in a global certificate will not be:</w:t>
      </w:r>
    </w:p>
    <w:p>
      <w:pPr>
        <w:spacing w:after="0" w:line="18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entitled to have the debt securities registered in their names;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entitled to physical delivery of certificated debt securities;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considered to be holders of those debt securities under the indenture.</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Payments on a global certificate will be made to the depositary or its nominee as the holder of the global certificate. Some jurisdictions have laws that require that certain purchasers of securities take physical delivery of such securities in definitive form. These laws may impair the ability to transfer beneficial interests in a global certificate.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Institutions that have accounts with the depositary or its nominee are referred to as “participants.” Ownership of beneficial interests in a global certificate will be limited to participants and to persons that may hold beneficial interests through participants. The depositary will credit, on its book-entry registration and transfer system, the respective principal amounts of debt securities represented by the global certificate to the accounts of its participants.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Ownership of beneficial interests in a global certificate will be shown on and effected through records maintained by the depositary, with respect to participants’ interests, or any participant, with respect to interests of persons held by participants on their behalf.</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Payments, transfers and exchanges relating to beneficial interests in a global certificate will be subject to policies and procedures of the depositary. The depositary policies and procedures may change from time to time. Neither any trustee nor we will have any responsibility or liability for the depositary’s or any participant’s records with respect to beneficial interests in a global certificate.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Unless otherwise indicated in a prospectus supplement, the provisions described in this paragraph will apply to the debt securities.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However, at our option, we may pay interest by mailing a check to the record holder. The trustee will be designated as our initial paying agent.</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ind w:firstLine="648"/>
        <w:spacing w:after="0" w:line="342" w:lineRule="auto"/>
        <w:rPr>
          <w:sz w:val="20"/>
          <w:szCs w:val="20"/>
          <w:color w:val="auto"/>
        </w:rPr>
      </w:pPr>
      <w:r>
        <w:rPr>
          <w:rFonts w:ascii="Arial" w:cs="Arial" w:eastAsia="Arial" w:hAnsi="Arial"/>
          <w:sz w:val="16"/>
          <w:szCs w:val="16"/>
          <w:color w:val="auto"/>
        </w:rPr>
        <w:t>We may also name any other paying agents in a prospectus supplement. We may designate additional paying agents, change paying agents or change the office of any paying agent. However, we will be required to maintain a paying agent in each place of payment for the debt securities of a particular series.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moneys paid by us to a paying agent for payment on any debt security that remain unclaimed for a period ending the earlier of:</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10 business days prior to the date the money would be turned over to the applicable state;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 the end of two years after such payment was due,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 be repaid to us thereafter. The holder may look only to us for such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provisions that may afford holders of the debt securities protection in the event we have a change in control or in the event of a highly leveraged transaction, whether or not such transaction results in a change in control.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otherwise indicated in a prospectus supplement with respect to a particular series of debt securities, the debt securities will not contain any financial or restrictive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with respect to a particular series of debt securities, we may not consolidate with or merge into any other person (other than a subsidiary of us), in a transaction in which we are not the surviving corporation, or convey, transfer or lease our properties and assets substantially as an entirety to, any person (other than a subsidiary of us), unless:</w:t>
      </w:r>
    </w:p>
    <w:p>
      <w:pPr>
        <w:spacing w:after="0" w:line="18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trust or other business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debt securities and under the indentures;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other conditions specified in the indenture are met.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we indicate otherwise in a prospectus supplement, the following will be events of default for any series of debt securities under the indentures:</w:t>
      </w:r>
    </w:p>
    <w:p>
      <w:pPr>
        <w:spacing w:after="0" w:line="17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pay principal of or any premium on any debt security of that series when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pay any interest on any debt security of that series for 60 days after it becomes due;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deposit any sinking fund payment when due;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fail to perform any other covenant in the indenture and such failure continues for 90 days after we are given the notice required in the indentures;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events involving our bankruptcy, insolvency or reorganization.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9" w:name="page20"/>
    <w:bookmarkEnd w:id="19"/>
    <w:p>
      <w:pPr>
        <w:jc w:val="both"/>
        <w:ind w:firstLine="648"/>
        <w:spacing w:after="0" w:line="277" w:lineRule="auto"/>
        <w:rPr>
          <w:sz w:val="20"/>
          <w:szCs w:val="20"/>
          <w:color w:val="auto"/>
        </w:rPr>
      </w:pPr>
      <w:r>
        <w:rPr>
          <w:rFonts w:ascii="Arial" w:cs="Arial" w:eastAsia="Arial" w:hAnsi="Arial"/>
          <w:sz w:val="18"/>
          <w:szCs w:val="18"/>
          <w:color w:val="auto"/>
        </w:rPr>
        <w:t>Additional or different events of default applicable to a series of debt securities may be described in a prospectus supplement. An event of default of one series of debt securities is not necessarily an event of default for any other series of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trustee may withhold notice to the holders of any default, except defaults in the payment of principal, premium, if any, interest, any sinking fund installment on, or with respect to any conversion right of, the debt securities of such series. However, the trustee must consider it to be in the interest of the holders of the debt securities of such series to withhold this notice.</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Unless we indicate otherwise in a prospectus supplement, if an event of default, other than an event of default described in clause (5) above, shall occur and be continuing with respect to any series of debt securities, either the trustee or the holders of at least a 25 percent in aggregate principal amount of the outstanding securities of that series may declare the principal amount and premium, if any, of the debt securities of that series, or if any debt securities of that series are original issue discount securities, such other amount as may be specified in the applicable prospectus supplement, in each case together with accrued and unpaid interest, if any, thereon, to be due and payable immediately.</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Unless we indicate otherwise in a prospectus supplement, if an event of default described in clause (5) above shall occur, the principal amount and premium, if any, of all the debt securities of that series, or if any debt securities of that series are original issue discount securities, such other amount as may be specified in the applicable prospectus supplement, in each case together with accrued and unpaid interest, if any, thereon, will automatically become immediately due and payable. Any payment by us on the subordinated debt securities following any such acceleration will be subject to the subordination provisions described below under “Subordinated debt securities.”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foregoing, each indenture will provide that we may, at our option, elect that the sole remedy for an event of default relating to our failure to comply with our obligations described under the section entitled “Reports” below or our failure to comply with the requirements of Section 314(a)(1) of the Trust Indenture Act will for the first 180 days after the occurrence of such an event of default consist exclusively of the right to receive additional interest on the relevant series of debt securities at an annual rate equal to (i) 0.25% of the principal amount of such series of debt securities for the first 90 days after the occurrence of such event of default and (ii) 0.50% of the principal amount of such series of debt securities from the 91st day to, and including, the 180th day after the occurrence of such event of default, which we call “additional interest.” If we so elect, the additional interest will accrue on all outstanding debt securities from and including the date on which such event of default first occurs until such violation is cured or waived and shall be payable on each relevant interest payment date to holders of record on the regular record date immediately preceding the interest payment date. On the 181st day after such event of default (if such violation is not cured or waived prior to such 181st day), the debt securities will be subject to acceleration as provided above. In the event we do not elect to pay additional interest upon any such event of default in accordance with this paragraph, the debt securities will be subject to acceleration as provided above.</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order to elect to pay the additional interest as the sole remedy during the first 180 days after the occurrence of any event of default relating to the failure to comply with the reporting obligations in accordance with the preceding paragraph, we must notify all holders of debt securities and the trustee and paying agent of such election prior to the close of business on the first business day following the date on which such event of default occurs. Upon our failure to timely give such notice or pay the additional interest, the debt securities will be immediately subject to acceleration as provided above.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acceleration, the holders of a majority in aggregate principal amount of the outstanding securities of that series may, under certain circumstances, rescind and annul such acceleration if all events of default, other than the non-payment of accelerated principal, or other specified amounts or interest, have been cured or waived.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the duty to act with the required care during an event of default, the trustee will not be obligated to exercise any of its rights or powers at the request of the holders unless the holders shall have offered to the trustee reasonable indemnity. Generally,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holder of debt securities of any series will not have any right to institute any proceeding under the indentures, or for the appointment of a receiver or a trustee, or for any other remedy under the indentures, unless:</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holder has previously given to the trustee written notice of a continuing event of default with respect to the debt securities of that series;</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at least 25 percent in aggregate principal amount of the outstanding debt securities of that series have made a written request and have offered reasonable indemnity to the trustee to institute the proceeding; and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p>
      <w:pPr>
        <w:ind w:left="980" w:hanging="324"/>
        <w:spacing w:after="0" w:line="30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trustee has failed to institute the proceeding and has not received direction inconsistent with the original request from the holders of a majority in aggregate principal amount of the outstanding debt securities of that series within 60 days after the original request.</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Holders may, however, sue to enforce the payment of principal, premium or interest on any debt security on or after the due date or to enforce the right, if any, to convert any debt security (if the debt security is convertible) without following the procedures listed in (1) through (3) above.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furnish the trustee an annual statement from our officers as to whether or not we are in default in the performance of the conditions and covenants under the indenture and, if so, specifying all known defaults.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we indicate otherwise in a prospectus supplement, the applicable trustee and we may make modifications and amendments to an indenture with the consent of the holders of a majority in aggregate principal amount of the outstanding securities of each series affected by the modification or amendment.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also make modifications and amendments to the indentures for the benefit of holders without their consent, for certain purposes including, but not limited to:</w:t>
      </w:r>
    </w:p>
    <w:p>
      <w:pPr>
        <w:spacing w:after="0" w:line="17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for our successor to assume the covenants under the indenture;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adding covenants or events of default;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certain changes to facilitate the issuance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securing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for a successor trustee or additional trustees;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curing any ambiguities or inconsistencies;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providing for guaranties of, or additional obligors on,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permitting or facilitating the defeasance and discharge of the securities;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changes specified in the indenture.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However, neither the trustee nor we may make any modification or amendment without the consent of the holder of each outstanding security of that series affected by the modification or amendment if such modification or amendment would:</w:t>
      </w:r>
    </w:p>
    <w:p>
      <w:pPr>
        <w:spacing w:after="0" w:line="170"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stated maturity of any debt security;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principal, premium, if any, or interest on any debt security or any amount payable upon redemption or repurchase, whether at our option or the option of any holder, or reduce the amount of any sinking fund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principal of an original issue discount security or any other debt security payable 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place of payment or the currency in which any debt security is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the right to enforce any payment after the stated maturity or redemption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subordinated debt securities, modify the subordination provisions in a materially adverse manner to the 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adversely affect the right to convert any debt security if the debt security is a convertible debt security; or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1" w:name="page22"/>
    <w:bookmarkEnd w:id="21"/>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the provisions in the indenture that relate to modifying or amending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be discharged from our obligations on the debt securities, subject to limited exceptions, of any series that have matured or will mature or be redeemed within one year if we deposit enough money with the trustee to pay all the principal, interest and any premium due to the stated maturity date or redemption date of the debt securities.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indenture contains a provision that permits us to elect either or both of the following:</w:t>
      </w:r>
    </w:p>
    <w:p>
      <w:pPr>
        <w:spacing w:after="0" w:line="225" w:lineRule="exact"/>
        <w:rPr>
          <w:sz w:val="20"/>
          <w:szCs w:val="20"/>
          <w:color w:val="auto"/>
        </w:rPr>
      </w:pPr>
    </w:p>
    <w:p>
      <w:pPr>
        <w:jc w:val="both"/>
        <w:ind w:left="980" w:hanging="324"/>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elect to be discharged from all of our obligations, subject to limited exceptions, with respect to any series of debt securities then outstanding. If we make this election, the holders of the debt securities of the series will not be entitled to the benefits of the indenture, except for the rights of holders to receive payments on debt securities or the registration of transfer and exchange of debt securities and replacement of lost, stolen or mutilated debt securities.</w:t>
      </w:r>
    </w:p>
    <w:p>
      <w:pPr>
        <w:spacing w:after="0" w:line="186"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elect to be released from our obligations under some or all of any financial or restrictive covenants applicable to the series of debt securities to which the election relates and from the consequences of an event of default resulting from a breach of those covenants.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make either of the above elections, we must irrevocably deposit in trust with the trustee enough money to pay in full the principal, interest and premium on the debt securities. This amount may be made in cash and/or U.S. government obligations or, in the case of debt securities denominated in a currency other than U.S. dollars, cash in the currency in which such series of securities is denominated and/or foreign government obligations. As a condition to either of the above elections, for debt securities denominated in U.S. dollars we must deliver to the trustee an opinion of counsel that the holders of the debt securities will not recognize income, gain or loss for U.S. federal income tax purposes as a result of the action.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debt securities of any series that are denominated in a currency other than United States dollars, “foreign government obligations”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11" w:lineRule="exact"/>
        <w:rPr>
          <w:sz w:val="20"/>
          <w:szCs w:val="20"/>
          <w:color w:val="auto"/>
        </w:rPr>
      </w:pPr>
    </w:p>
    <w:p>
      <w:pPr>
        <w:jc w:val="both"/>
        <w:ind w:left="980" w:hanging="324"/>
        <w:spacing w:after="0" w:line="279"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direct obligations of the government that issued or caused to be issued the currency in which such securities are denominated and for the payment of which obligations its full faith and credit is pledged, or, with respect to debt securities of any series which are denominated in Euros, direct obligations of certain members of the European Union for the payment of which obligations the full faith and credit of such members is pledged, which in each case are not callable or redeemable at the option of the issuer thereof; or</w:t>
      </w:r>
    </w:p>
    <w:p>
      <w:pPr>
        <w:spacing w:after="0" w:line="171"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or acting as an agency or instrumentality of a government described in the bullet above the timely payment of which is unconditionally guaranteed as a full faith and credit obligation by such government, which are not callable or redeemable at the option of the issuer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indentures provide that any reports or documents that we file with the SEC pursuant to Section 13 or 15(d) of the Exchange Act will be filed with the trustee within 15 days after the same is filed with the SEC. Documents filed by us with the SEC via the EDGAR system will be deemed filed with the trustee as of the time such documents are filed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Notices to holders will be given by mail to the addresses of the holders in the security register.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under, the laws of the State of Delaware, except to the extent that the Trust Indenture Act of 1939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No incorporator, stockholder, employee, agent, officer, director or subsidiary of ours will have any liability for any obligations of ours, or because of the creation of any indebtedness under the debt securities, the indentures or supplemental indentures. The indentures provide that all such liability is expressly waived and released as a condition of, and as a consideration for, the execution of such indentures and the issuance of the debt securities.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Regarding the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indentures limit the right of the trustee, should it become our creditor, to obtain payment of claims or secure its claims.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will be permitted to engage in certain other transactions with us. However, if the trustee acquires any conflicting interest, and there is a default under the debt securities of any series for which it is trustee, the trustee must eliminate the conflict or resign.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Subordinated debt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provisions will be applicable with respect to each series of subordinated debt securities, unless otherwise stated in the prospectus supplement relating to that series of subordinated debt securities.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indebtedness evidenced by the subordinated debt securities of any series is subordinated, to the extent provided in the subordinated indenture and the applicable prospectus supplement, to the prior payment in full, in cash or other payment satisfactory to the holders of senior debt, of all senior debt, including any senior debt securities.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Upon any distribution of our assets upon any dissolution, winding up, liquidation or reorganization, whether voluntary or involuntary, marshalling of assets, assignment for the benefit of creditors, or in bankruptcy, insolvency, receivership or other similar proceedings, payments on the subordinated debt securities will be subordinated in right of payment to the prior payment in full in cash or other payment satisfactory to holders of senior debt of all senior debt.</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any acceleration of the subordinated debt securities of any series because of an event of default with respect to the subordinated debt securities of that series, holders of any senior debt would be entitled to payment in full in cash or other payment satisfactory to holders of senior debt of all senior debt before the holders of subordinated debt securities are entitled to receive any payment or distribution.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the subordinated debt securities will be structurally subordinated to all indebtedness and other liabilities of our subsidiaries, including trade payables and lease obligations. This occurs because our right to receive any assets of our subsidiaries upon their liquidation or reorganization, and your right to participate in those assets, will be effectively subordinated to the claims of that subsidiary’s creditors, including trade creditors, except to the extent that we are recognized as a creditor of such subsidiary. If we are recognized as a creditor of that subsidiary, our claims would still be subordinate to any security interest in the assets of the subsidiary and any indebtedness of the subsidiary senior to us.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required to promptly notify holders of senior debt or their representatives under the subordinated indenture if payment of the subordinated debt securities is accelerated because of an event of default.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subordinated indenture, we may also not make payment on the subordinated debt securities if:</w:t>
      </w:r>
    </w:p>
    <w:p>
      <w:pPr>
        <w:spacing w:after="0" w:line="225" w:lineRule="exact"/>
        <w:rPr>
          <w:sz w:val="20"/>
          <w:szCs w:val="20"/>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default in our obligations to pay principal, premium, if any, interest or other amounts on our senior debt occurs and the default continues beyond any applicable grace period, which we refer to as a payment default; or</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default occurs and is continuing with respect to designated senior debt that permits holders of designated senior debt to accelerate its maturity, which we refer to as a non-payment default, and the trustee receives a payment blockage notice from us or some other person permitted to give the notice under the subordinated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resume payments on the subordinated debt securities:</w:t>
      </w:r>
    </w:p>
    <w:p>
      <w:pPr>
        <w:spacing w:after="0" w:line="22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case of a payment default, when the default is cured or waived or ceases to exist,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case of a nonpayment default, the earlier of when the default is cured or waived or ceases to exist or 179 days after the receipt of the payment blockage notice.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new payment blockage period may commence on the basis of a nonpayment default unless 365 days have elapsed from the effectiveness of the immediately prior payment blockage notice. No nonpayment default that existed or was continuing on the date of delivery of any payment blockage notice to the trustee shall be the basis for a subsequent payment blockage notice.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3" w:name="page24"/>
    <w:bookmarkEnd w:id="23"/>
    <w:p>
      <w:pPr>
        <w:jc w:val="both"/>
        <w:ind w:firstLine="648"/>
        <w:spacing w:after="0" w:line="264" w:lineRule="auto"/>
        <w:rPr>
          <w:sz w:val="20"/>
          <w:szCs w:val="20"/>
          <w:color w:val="auto"/>
        </w:rPr>
      </w:pPr>
      <w:r>
        <w:rPr>
          <w:rFonts w:ascii="Arial" w:cs="Arial" w:eastAsia="Arial" w:hAnsi="Arial"/>
          <w:sz w:val="18"/>
          <w:szCs w:val="18"/>
          <w:color w:val="auto"/>
        </w:rPr>
        <w:t>As a result of these subordination provisions, in the event of our bankruptcy, dissolution or reorganization, holders of senior debt may receive more, ratably, and holders of the subordinated debt securities may receive less, ratably, than our other creditors. The subordination provisions will not prevent the occurrence of any event of default under the subordinated indenture.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subordination provisions will not apply to payments from money or government obligations held in trust by the trustee for the payment of principal, interest and premium, if any, on subordinated debt securities pursuant to the provisions described under the section entitled “Satisfaction and discharge; defeasance,” if the subordination provisions were not violated at the time the money or government obligations were deposited into trust.</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If the trustee or any holder receives any payment that should not have been made to them in contravention of subordination provisions before all senior debt is paid in full in cash or other payment satisfactory to holders of senior debt, then such payment will be held in trust for the holders of senior debt.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Senior debt securities will constitute senior debt under the subordinated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Additional or different subordination provisions may be described in a prospectus supplement relating to a particular series of debt securities.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“Designated senior debt” means our obligations under any particular senior debt in which the instrument creating or evidencing the same or the assumption or guarantee thereof, or related agreements or documents to which we are a party, expressly provides that such indebtedness shall be designated senior debt for purposes of the subordinated indenture. The instrument, agreement or other document evidencing any designated senior debt may place limitations and conditions on the right of such senior debt to exercise the rights of designated senior debt.</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“Indebtedness” means the following, whether absolute or contingent, secured or unsecured, due or to become due, outstanding on the date of the indenture for such series of securities or thereafter created, incurred or assumed:</w:t>
      </w:r>
    </w:p>
    <w:p>
      <w:pPr>
        <w:spacing w:after="0" w:line="170"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indebtedness evidenced by a credit or loan agreement, note, bond, debenture or other written obligation;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our obligations for money borrowed;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our obligations evidenced by a note or similar instrument given in connection with the acquisition of any businesses, properties or assets of any kind,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obligations: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as lessee under leases required to be capitalized on the balance sheet of the lessee under generally accepted accounting principles, or</w:t>
      </w:r>
    </w:p>
    <w:p>
      <w:pPr>
        <w:spacing w:after="0" w:line="248" w:lineRule="exact"/>
        <w:rPr>
          <w:rFonts w:ascii="Arial" w:cs="Arial" w:eastAsia="Arial" w:hAnsi="Arial"/>
          <w:sz w:val="16"/>
          <w:szCs w:val="16"/>
          <w:color w:val="auto"/>
        </w:rPr>
      </w:pPr>
    </w:p>
    <w:p>
      <w:pPr>
        <w:ind w:left="1300" w:hanging="320"/>
        <w:spacing w:after="0" w:line="277"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as lessee under leases for facilities, capital equipment or related assets, whether or not capitalized, entered into or leased for financing purposes;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our obligations under interest rate and currency swaps, caps, floors, collars, hedge agreements, forward contracts or similar agreements or arrangements;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our obligations with respect to letters of credit, bankers’ acceptances and similar facilities, including reimbursement obligations with respect to the foregoing;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obligations of the type referred to in the above clauses of another person, the payment of which, in either case, we have assumed or guaranteed, for which we are responsible or liable, directly or indirectly, jointly or severally, as obligor, guarantor or otherwise, or which are secured by a lien on our property; and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renewals, extensions, modifications, replacements, restatements and refundings of, or any indebtedness or obligation issued in exchange for, any such indebtedness or obligation described in the above clauses of this definition.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“Senior debt” means the principal of, premium, if any, and interest, including all interest accruing subsequent to the commencement of any bankruptcy or similar proceeding, whether or not a claim for post-petition interest is allowable as a claim in any such proceeding, and rent payable on or in connection with, and all fees and other amounts payable in connection with, our indebtedness. However, senior debt shall not include:</w:t>
      </w:r>
    </w:p>
    <w:p>
      <w:pPr>
        <w:spacing w:after="0" w:line="166" w:lineRule="exact"/>
        <w:rPr>
          <w:sz w:val="20"/>
          <w:szCs w:val="20"/>
          <w:color w:val="auto"/>
        </w:rPr>
      </w:pPr>
    </w:p>
    <w:p>
      <w:pPr>
        <w:jc w:val="both"/>
        <w:ind w:left="980" w:hanging="324"/>
        <w:spacing w:after="0" w:line="264"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debt or obligation if its terms or the terms of the instrument under which or pursuant to which it is issued expressly provide that it shall not be senior in right of payment to the subordinated debt securities or expressly provide that such indebtedness is on the same basis or “junior” to the subordinated debt securities; or</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to any of our subsidiaries, a majority of the voting stock of which is owned, directly or indirectly, by us.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“Subsidiary” means a corporation more than 50% of the outstanding voting stock of which is owned, directly or indirectly, by us or by one or more or our other subsidiaries or by a combination of us and our other subsidiaries. For purposes of this definition, “voting stock” means stock or other similar interests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(1) to or through underwriters or dealers, (2) directly to purchasers, including our affiliates, (3) through agents, or (4)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7"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of the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names of any underwriters or agents;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 or names of any managing underwriter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purchase price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net proceeds from the sale of the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underwriting discounts, commissions and other items constituting underwriters’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initial public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commissions paid to agents.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7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Underwriter, dealer or agent discounts and commissions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Underwriters, dealers or agents may receive compensation in the form of discounts, concessions or commissions from us or our purchasers as their agents in connection with the sale of securities. These underwriters, dealers or agents may be considered to be underwriters under the Securities Act. As a result, discounts, commissions, or profits on resale received by the underwriters, dealers or agents may be treated as underwriting discounts and commissions. Each prospectus supplement will identify any such underwriter, dealer or agent, and describe any compensation received by them from us. Any initial public offering price and any discounts or concessions allowed or reallowed or paid to dealers may be changed from time to time. The maximum commission or discount to be received by any underwriter, dealer or agent will not be greater than eight percent (8%) of the maximum gross proceeds of the securities that may be sold under this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Unless the applicable prospectus supplement states otherwise, each series of offered securities will be a new issue and will have no established trading market. We may elect to list any series of offered securities on an exchange.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 and hedging</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the underwriters or other agents may engage in derivative transactions involving the securities. These derivatives may consist of short sale transactions and other hedging activities. The underwriters or agents may acquire a long or short position in the securities, hold or resell securities acquired and purchase options or futures on the securities and other derivative instruments with returns linked to or related to changes in the price of the securities. In order to facilitate these derivative transactions, we may enter into security lending or repurchase agreements with the underwriters or agents. The underwriters or agents may effect the derivative transactions through sales of the securities to the public, including short sales, or by lending the securities in order to facilitate short sale transactions by others. The underwriters or agents may also use the securities purchased or borrowed from us or others (or, in the case of derivatives, securities received from us in settlement of those derivatives) to directly or indirectly settle sales of the securities or close out any related open borrowings of the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auctions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also make sales through the Internet or through other electronic means. Since we may from time to time elect to offer securities directly to the public, with or without the involvement of agents, underwriters or dealers, utilizing the Internet or other forms of electronic bidding or ordering systems for the pricing and allocation of such securities, you should pay particular attention to the description of that system we will provide in a prospectus supplement.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Such electronic system may allow bidders to directly participate, through electronic access to an auction site, by submitting conditional offers to buy that are subject to acceptance by us, and which may directly affect the price or other terms and conditions at which such securities are sold. These bidding or ordering systems may present to each bidder, on a so-called “real-time” basis, relevant information to assist in making a bid, such as the clearing spread at which the offering would be sold, based on the bids submitted, and whether a bidder’s individual bids would be accepted, prorated or rejected. For example, in the case of a debt security, the clearing spread could be indicated as a number of “basis points” above an index treasury note. Of course, many pricing methods can and may also be used.</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7" w:name="page28"/>
    <w:bookmarkEnd w:id="27"/>
    <w:p>
      <w:pPr>
        <w:jc w:val="both"/>
        <w:ind w:firstLine="648"/>
        <w:spacing w:after="0" w:line="264" w:lineRule="auto"/>
        <w:rPr>
          <w:sz w:val="20"/>
          <w:szCs w:val="20"/>
          <w:color w:val="auto"/>
        </w:rPr>
      </w:pPr>
      <w:r>
        <w:rPr>
          <w:rFonts w:ascii="Arial" w:cs="Arial" w:eastAsia="Arial" w:hAnsi="Arial"/>
          <w:sz w:val="18"/>
          <w:szCs w:val="18"/>
          <w:color w:val="auto"/>
        </w:rPr>
        <w:t>Upon completion of such an electronic auction process, securities will be allocated based on prices bid, terms of bid or other factors. The final offering price at which securities would be sold and the allocation of securities among bidders would be based in whole or in part on the results of the Internet or other electronic bidding process or auction.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Agents, underwriters, and dealers may be entitled, under agreements entered into with us, to indemnification by us against certain liabilities, including liabilities under the Securities Act.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The validity of the securities being offered hereby has been passed upon by Golenbock Eiseman Assor Bell &amp; Peskoe LLP, New York, New York.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Imprimis Pharmaceuticals, Inc. appearing in the Company’s Annual Report on Form 10-K for the fiscal year ended December 31, 2016, filed with the SEC on March 21, 2017, have been audited by KMJ Corbin &amp; Company LLP, an independent registered public accounting firm, as stated in its report appearing therein, and are incorporated by reference. Such audited consolidated financial statements are incorporated hereby by reference in reliance upon the report of such firm given upon its authority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This means that we can disclose important information to you in this prospectus by referring you to those documents. These incorporated documents contain important business and financial information about us that is not included in or delivered with this prospectus. The information incorporated by reference is considered to be part of this prospectus, and later information filed with the SEC will update and supersede this information.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incorporate by reference the documents listed below as well as any future filings made with the SEC under Sections 13(a), 13(c), 14 or 15(d) of the Exchange Act from the date of the initial registration statement and prior to the effectiveness of this registration statement, and any filings made after the date of this prospectus until we sell all of the securities under this prospectus, except that we do not incorporate any document or portion of a document that is “furnished” to the SEC, but not deemed “filed.” The following documents filed with the SEC are incorporated by reference in this prospectus:</w:t>
      </w:r>
    </w:p>
    <w:p>
      <w:pPr>
        <w:spacing w:after="0" w:line="154"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 filed with the SEC on March 21, 2017;</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2017, filed with the SEC on May 10, 2017;</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17, 2017, March 22, 2017, April 6, 2017, April 17, 2017, May 2, 2017 and May 16, 2017;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and any amendments or reports filed for the purpose of updating such description.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such exhibits are specifically incorporated by reference into those documents. Such written requests should be addressed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Investor Relations.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also make such requests by contacting us at (858) 704-4040.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file annual, quarterly and current reports and proxy statements and other information with the SEC. You may read and copy any document that we file at the SEC’s Public Reference Room at 100 F Street, N.E., Washington, D.C. 20549. Please call the SEC at 1-800-SEC-0330 for further information on the Public Reference Room. Our SEC filings are also available on the SEC’s web site at http://www.sec.gov. Copies of certain information filed by us with the SEC are also available on our web site at http://www.imprimispharma.com. We have not incorporated by reference into this prospectus the information on our website, and you should not consider it to be a part of this document.</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aggregate estimated (other than the registration fee) expenses payable by the Company in connection with a distribution of securities registered hereby are as follows: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400" w:type="dxa"/>
            <w:vAlign w:val="bottom"/>
            <w:gridSpan w:val="2"/>
            <w:shd w:val="clear" w:color="auto" w:fill="CCEEFF"/>
          </w:tcPr>
          <w:p>
            <w:pPr>
              <w:jc w:val="right"/>
              <w:ind w:right="50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Printing expenses</w:t>
            </w:r>
          </w:p>
        </w:tc>
        <w:tc>
          <w:tcPr>
            <w:tcW w:w="1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Fees and Expenses</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Miscellaneous</w:t>
            </w:r>
          </w:p>
        </w:tc>
        <w:tc>
          <w:tcPr>
            <w:tcW w:w="17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46,193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amended and restated certificate of incorporation contains provisions that eliminate, to the maximum extent permitted by the General Corporation Law of the State of Delaware, the personal liability of directors and executive officers for monetary damages for breach of their fiduciary duties as a director or officer. Our amended and restated certificate of incorporation and bylaws provide that we shall indemnify our directors and executive officers and may indemnify our employees and other agents to the fullest extent permitted by the General Corporation Law of the State of Delaware.</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Sections 145 and 102(b)(7) of the General Corporation Law of the State of Delaware provide that a corporation may indemnify any person made a party to an action by reason of the fact that he or she was a director, executive officer, employee or agent of the corporation or is or was serving at the request of the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indemnification provisions contained in the Company’s charter documents, the Company generally enters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have purchased and intend to maintain insurance on behalf of any person who is or was a director or officer of our company against any loss arising from any claim asserted against him or her and incurred by him or her in any such capacity, subject to certain exclusions.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also the undertakings set out in our response to Item 17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herewith or incorporated by reference 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w:t>
            </w:r>
          </w:p>
        </w:tc>
        <w:tc>
          <w:tcPr>
            <w:tcW w:w="10520" w:type="dxa"/>
            <w:vAlign w:val="bottom"/>
          </w:tcPr>
          <w:p>
            <w:pPr>
              <w:spacing w:after="0"/>
              <w:rPr>
                <w:sz w:val="18"/>
                <w:szCs w:val="18"/>
                <w:color w:val="auto"/>
              </w:rPr>
            </w:pPr>
          </w:p>
        </w:tc>
      </w:tr>
      <w:tr>
        <w:trPr>
          <w:trHeight w:val="241"/>
        </w:trPr>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10520" w:type="dxa"/>
            <w:vAlign w:val="bottom"/>
          </w:tcPr>
          <w:p>
            <w:pPr>
              <w:ind w:left="4780"/>
              <w:spacing w:after="0"/>
              <w:rPr>
                <w:sz w:val="20"/>
                <w:szCs w:val="20"/>
                <w:color w:val="auto"/>
              </w:rPr>
            </w:pPr>
            <w:r>
              <w:rPr>
                <w:rFonts w:ascii="Arial" w:cs="Arial" w:eastAsia="Arial" w:hAnsi="Arial"/>
                <w:sz w:val="18"/>
                <w:szCs w:val="18"/>
                <w:b w:val="1"/>
                <w:bCs w:val="1"/>
                <w:color w:val="auto"/>
              </w:rPr>
              <w:t>Exhibit Title</w:t>
            </w:r>
          </w:p>
        </w:tc>
      </w:tr>
      <w:tr>
        <w:trPr>
          <w:trHeight w:val="432"/>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10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Underwriting Agreement*</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Senior Indenture</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Subordinated Indenture</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Senior Debt Security (included in Exhibit 4.1)</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Subordinated Debt Security (included in Exhibit 4.2)</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Certificate of Designation*</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Preferred Stock Certificate*</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Deposit Agreement*</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Depositary Receipt (included in Exhibit 4.8)*</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Warrant Agreement*</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of Warrant Certificate*</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Opinion of Golenbock Eiseman Assor Bell &amp; Peskoe LLP</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Consent of KMJ Corbin and Company LLP</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Consent of Golenbock Eiseman Assor Bell &amp; Peskoe LLP (included in Exhibit 5.1)</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Power of Attorney</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r>
      <w:tr>
        <w:trPr>
          <w:trHeight w:val="432"/>
        </w:trPr>
        <w:tc>
          <w:tcPr>
            <w:tcW w:w="720" w:type="dxa"/>
            <w:vAlign w:val="bottom"/>
          </w:tcPr>
          <w:p>
            <w:pPr>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24"/>
                <w:szCs w:val="24"/>
                <w:color w:val="auto"/>
              </w:rPr>
            </w:pPr>
          </w:p>
        </w:tc>
        <w:tc>
          <w:tcPr>
            <w:tcW w:w="10520" w:type="dxa"/>
            <w:vAlign w:val="bottom"/>
          </w:tcPr>
          <w:p>
            <w:pPr>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r>
    </w:tbl>
    <w:p>
      <w:pPr>
        <w:spacing w:after="0" w:line="202" w:lineRule="exact"/>
        <w:rPr>
          <w:sz w:val="20"/>
          <w:szCs w:val="20"/>
          <w:color w:val="auto"/>
        </w:rPr>
      </w:pPr>
    </w:p>
    <w:p>
      <w:pPr>
        <w:ind w:left="720" w:right="20" w:hanging="712"/>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be filed by amendment or as an exhibit to a report pursuant to Section 13(a) or 15(d) of the Securities Exchange Act of 1934, as amended, and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300" w:right="20" w:hanging="1292"/>
        <w:spacing w:after="0" w:line="264"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(1)That,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225" w:lineRule="exact"/>
        <w:rPr>
          <w:rFonts w:ascii="Arial" w:cs="Arial" w:eastAsia="Arial" w:hAnsi="Arial"/>
          <w:sz w:val="18"/>
          <w:szCs w:val="18"/>
          <w:color w:val="auto"/>
        </w:rPr>
      </w:pPr>
    </w:p>
    <w:p>
      <w:pPr>
        <w:ind w:left="2600" w:hanging="647"/>
        <w:spacing w:after="0" w:line="308" w:lineRule="auto"/>
        <w:tabs>
          <w:tab w:leader="none" w:pos="2600" w:val="left"/>
        </w:tabs>
        <w:numPr>
          <w:ilvl w:val="3"/>
          <w:numId w:val="34"/>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46" w:lineRule="exact"/>
        <w:rPr>
          <w:rFonts w:ascii="Arial" w:cs="Arial" w:eastAsia="Arial" w:hAnsi="Arial"/>
          <w:sz w:val="17"/>
          <w:szCs w:val="17"/>
          <w:color w:val="auto"/>
        </w:rPr>
      </w:pPr>
    </w:p>
    <w:p>
      <w:pPr>
        <w:jc w:val="both"/>
        <w:ind w:left="2600" w:hanging="647"/>
        <w:spacing w:after="0" w:line="286" w:lineRule="auto"/>
        <w:tabs>
          <w:tab w:leader="none" w:pos="2600" w:val="left"/>
        </w:tabs>
        <w:numPr>
          <w:ilvl w:val="3"/>
          <w:numId w:val="34"/>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w:t>
      </w:r>
      <w:r>
        <w:rPr>
          <w:rFonts w:ascii="Arial" w:cs="Arial" w:eastAsia="Arial" w:hAnsi="Arial"/>
          <w:sz w:val="16"/>
          <w:szCs w:val="16"/>
          <w:i w:val="1"/>
          <w:iCs w:val="1"/>
          <w:color w:val="auto"/>
        </w:rPr>
        <w:t xml:space="preserve"> </w:t>
      </w:r>
      <w:r>
        <w:rPr>
          <w:rFonts w:ascii="Arial" w:cs="Arial" w:eastAsia="Arial" w:hAnsi="Arial"/>
          <w:sz w:val="16"/>
          <w:szCs w:val="16"/>
          <w:color w:val="auto"/>
        </w:rPr>
        <w:t>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the effective date; or</w:t>
      </w:r>
    </w:p>
    <w:p>
      <w:pPr>
        <w:spacing w:after="0" w:line="174" w:lineRule="exact"/>
        <w:rPr>
          <w:rFonts w:ascii="Arial" w:cs="Arial" w:eastAsia="Arial" w:hAnsi="Arial"/>
          <w:sz w:val="16"/>
          <w:szCs w:val="16"/>
          <w:color w:val="auto"/>
        </w:rPr>
      </w:pPr>
    </w:p>
    <w:p>
      <w:pPr>
        <w:jc w:val="both"/>
        <w:ind w:left="1960" w:hanging="655"/>
        <w:spacing w:after="0" w:line="271" w:lineRule="auto"/>
        <w:tabs>
          <w:tab w:leader="none" w:pos="1960" w:val="left"/>
        </w:tabs>
        <w:numPr>
          <w:ilvl w:val="2"/>
          <w:numId w:val="34"/>
        </w:numPr>
        <w:rPr>
          <w:rFonts w:ascii="Arial" w:cs="Arial" w:eastAsia="Arial" w:hAnsi="Arial"/>
          <w:sz w:val="17"/>
          <w:szCs w:val="17"/>
          <w:color w:val="auto"/>
        </w:rPr>
      </w:pPr>
      <w:r>
        <w:rPr>
          <w:rFonts w:ascii="Arial" w:cs="Arial" w:eastAsia="Arial" w:hAnsi="Arial"/>
          <w:sz w:val="17"/>
          <w:szCs w:val="17"/>
          <w:color w:val="auto"/>
        </w:rPr>
        <w:t xml:space="preserve">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8" w:lineRule="exact"/>
        <w:rPr>
          <w:rFonts w:ascii="Arial" w:cs="Arial" w:eastAsia="Arial" w:hAnsi="Arial"/>
          <w:sz w:val="17"/>
          <w:szCs w:val="17"/>
          <w:color w:val="auto"/>
        </w:rPr>
      </w:pPr>
    </w:p>
    <w:p>
      <w:pPr>
        <w:jc w:val="both"/>
        <w:ind w:left="1300" w:hanging="644"/>
        <w:spacing w:after="0" w:line="276" w:lineRule="auto"/>
        <w:tabs>
          <w:tab w:leader="none" w:pos="1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and sell such securities to such purchaser: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2" w:name="page33"/>
    <w:bookmarkEnd w:id="32"/>
    <w:p>
      <w:pPr>
        <w:ind w:left="1960" w:hanging="655"/>
        <w:spacing w:after="0" w:line="277" w:lineRule="auto"/>
        <w:tabs>
          <w:tab w:leader="none" w:pos="19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jc w:val="both"/>
        <w:ind w:left="660" w:hanging="652"/>
        <w:spacing w:after="0" w:line="290"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66" w:lineRule="exact"/>
        <w:rPr>
          <w:rFonts w:ascii="Arial" w:cs="Arial" w:eastAsia="Arial" w:hAnsi="Arial"/>
          <w:sz w:val="16"/>
          <w:szCs w:val="16"/>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46" w:lineRule="exact"/>
        <w:rPr>
          <w:rFonts w:ascii="Arial" w:cs="Arial" w:eastAsia="Arial" w:hAnsi="Arial"/>
          <w:sz w:val="16"/>
          <w:szCs w:val="16"/>
          <w:color w:val="auto"/>
        </w:rPr>
      </w:pPr>
    </w:p>
    <w:p>
      <w:pPr>
        <w:ind w:left="660" w:right="20"/>
        <w:spacing w:after="0" w:line="261" w:lineRule="auto"/>
        <w:rPr>
          <w:rFonts w:ascii="Arial" w:cs="Arial" w:eastAsia="Arial" w:hAnsi="Arial"/>
          <w:sz w:val="16"/>
          <w:szCs w:val="16"/>
          <w:color w:val="auto"/>
        </w:rPr>
      </w:pPr>
      <w:r>
        <w:rPr>
          <w:rFonts w:ascii="Arial" w:cs="Arial" w:eastAsia="Arial" w:hAnsi="Arial"/>
          <w:sz w:val="18"/>
          <w:szCs w:val="18"/>
          <w:color w:val="auto"/>
        </w:rPr>
        <w:t>(a) of Section 310 of the Trust Indenture Act in accordance with the rules and regulations prescribed by the SEC under Section 305(b)(2) of the Trust Indenture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San Diego, State of California, on May 26, 2017.</w:t>
      </w:r>
    </w:p>
    <w:p>
      <w:pPr>
        <w:spacing w:after="0" w:line="1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KNOW ALL PERSONS BY THESE PRESENTS that each individual whose signature appears below constitutes and appoints Mark L. Baum and Andrew R. Boll, and each of them, his true and lawful attorneys-in-fact and agents with full power of substitution, for him and in his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and all post-effective amendments thereto,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or their substitute or substitutes, may lawfully do or cause to be done or by virtue hereof.</w:t>
      </w:r>
    </w:p>
    <w:p>
      <w:pPr>
        <w:spacing w:after="0" w:line="19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stated.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2"/>
                <w:szCs w:val="22"/>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2"/>
                <w:szCs w:val="22"/>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53"/>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L. Baum</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3640" w:type="dxa"/>
            <w:vAlign w:val="bottom"/>
          </w:tcPr>
          <w:p>
            <w:pPr>
              <w:spacing w:after="0"/>
              <w:rPr>
                <w:sz w:val="20"/>
                <w:szCs w:val="20"/>
                <w:color w:val="auto"/>
              </w:rPr>
            </w:pPr>
            <w:r>
              <w:rPr>
                <w:rFonts w:ascii="Arial" w:cs="Arial" w:eastAsia="Arial" w:hAnsi="Arial"/>
                <w:sz w:val="18"/>
                <w:szCs w:val="18"/>
                <w:color w:val="auto"/>
              </w:rPr>
              <w:t>May 26, 2017</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Mark L. Baum</w:t>
            </w:r>
          </w:p>
        </w:tc>
        <w:tc>
          <w:tcPr>
            <w:tcW w:w="240" w:type="dxa"/>
            <w:vAlign w:val="bottom"/>
          </w:tcPr>
          <w:p>
            <w:pPr>
              <w:spacing w:after="0"/>
              <w:rPr>
                <w:sz w:val="20"/>
                <w:szCs w:val="20"/>
                <w:color w:val="auto"/>
              </w:rPr>
            </w:pPr>
          </w:p>
        </w:tc>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(Principal Executive Officer)</w:t>
            </w:r>
          </w:p>
        </w:tc>
        <w:tc>
          <w:tcPr>
            <w:tcW w:w="3640" w:type="dxa"/>
            <w:vAlign w:val="bottom"/>
          </w:tcPr>
          <w:p>
            <w:pPr>
              <w:spacing w:after="0"/>
              <w:rPr>
                <w:sz w:val="20"/>
                <w:szCs w:val="20"/>
                <w:color w:val="auto"/>
              </w:rPr>
            </w:pPr>
          </w:p>
        </w:tc>
      </w:tr>
      <w:tr>
        <w:trPr>
          <w:trHeight w:val="43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640" w:type="dxa"/>
            <w:vAlign w:val="bottom"/>
          </w:tcPr>
          <w:p>
            <w:pPr>
              <w:spacing w:after="0"/>
              <w:rPr>
                <w:sz w:val="20"/>
                <w:szCs w:val="20"/>
                <w:color w:val="auto"/>
              </w:rPr>
            </w:pPr>
            <w:r>
              <w:rPr>
                <w:rFonts w:ascii="Arial" w:cs="Arial" w:eastAsia="Arial" w:hAnsi="Arial"/>
                <w:sz w:val="18"/>
                <w:szCs w:val="18"/>
                <w:color w:val="auto"/>
              </w:rPr>
              <w:t>May 26, 2017</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Andrew R. Boll</w:t>
            </w:r>
          </w:p>
        </w:tc>
        <w:tc>
          <w:tcPr>
            <w:tcW w:w="240" w:type="dxa"/>
            <w:vAlign w:val="bottom"/>
          </w:tcPr>
          <w:p>
            <w:pPr>
              <w:spacing w:after="0"/>
              <w:rPr>
                <w:sz w:val="20"/>
                <w:szCs w:val="20"/>
                <w:color w:val="auto"/>
              </w:rPr>
            </w:pPr>
          </w:p>
        </w:tc>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(Principal Financial and Accounting Officer)</w:t>
            </w:r>
          </w:p>
        </w:tc>
        <w:tc>
          <w:tcPr>
            <w:tcW w:w="3640" w:type="dxa"/>
            <w:vAlign w:val="bottom"/>
          </w:tcPr>
          <w:p>
            <w:pPr>
              <w:spacing w:after="0"/>
              <w:rPr>
                <w:sz w:val="20"/>
                <w:szCs w:val="20"/>
                <w:color w:val="auto"/>
              </w:rPr>
            </w:pPr>
          </w:p>
        </w:tc>
      </w:tr>
      <w:tr>
        <w:trPr>
          <w:trHeight w:val="43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Stephen G. Austin</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May 26, 2017</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Stephen G. Austin</w:t>
            </w:r>
          </w:p>
        </w:tc>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J. Kammer</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3640" w:type="dxa"/>
            <w:vAlign w:val="bottom"/>
          </w:tcPr>
          <w:p>
            <w:pPr>
              <w:spacing w:after="0"/>
              <w:rPr>
                <w:sz w:val="20"/>
                <w:szCs w:val="20"/>
                <w:color w:val="auto"/>
              </w:rPr>
            </w:pPr>
            <w:r>
              <w:rPr>
                <w:rFonts w:ascii="Arial" w:cs="Arial" w:eastAsia="Arial" w:hAnsi="Arial"/>
                <w:sz w:val="18"/>
                <w:szCs w:val="18"/>
                <w:color w:val="auto"/>
              </w:rPr>
              <w:t>May 26, 2017</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Robert J. Kammer</w:t>
            </w:r>
          </w:p>
        </w:tc>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Richard L. Lindstrom</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May 26, 2017</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Richard L. Lindstrom</w:t>
            </w:r>
          </w:p>
        </w:tc>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8"/>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Anthony J. Principi</w:t>
            </w:r>
          </w:p>
        </w:tc>
        <w:tc>
          <w:tcPr>
            <w:tcW w:w="2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May 26, 2017</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Anthony J. Principi</w:t>
            </w:r>
          </w:p>
        </w:tc>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25"/>
        </w:trPr>
        <w:tc>
          <w:tcPr>
            <w:tcW w:w="3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4" w:name="page35"/>
    <w:bookmarkEnd w:id="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4.1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IMPRIMIS PHARMACEUTICALS, INC.</w:t>
      </w:r>
    </w:p>
    <w:p>
      <w:pPr>
        <w:spacing w:after="0" w:line="2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152400</wp:posOffset>
            </wp:positionV>
            <wp:extent cx="18097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200"/>
        <w:spacing w:after="0"/>
        <w:tabs>
          <w:tab w:leader="none" w:pos="160" w:val="left"/>
        </w:tabs>
        <w:rPr>
          <w:sz w:val="20"/>
          <w:szCs w:val="20"/>
          <w:color w:val="auto"/>
        </w:rPr>
      </w:pPr>
      <w:r>
        <w:rPr>
          <w:rFonts w:ascii="Arial" w:cs="Arial" w:eastAsia="Arial" w:hAnsi="Arial"/>
          <w:sz w:val="18"/>
          <w:szCs w:val="18"/>
          <w:color w:val="auto"/>
        </w:rPr>
        <w:t>DATED AS OF</w:t>
      </w:r>
      <w:r>
        <w:rPr>
          <w:sz w:val="20"/>
          <w:szCs w:val="20"/>
          <w:color w:val="auto"/>
        </w:rPr>
        <w:tab/>
      </w:r>
      <w:r>
        <w:rPr>
          <w:rFonts w:ascii="Arial" w:cs="Arial" w:eastAsia="Arial" w:hAnsi="Arial"/>
          <w:sz w:val="15"/>
          <w:szCs w:val="15"/>
          <w:color w:val="auto"/>
        </w:rPr>
        <w:t>, 20</w:t>
      </w:r>
    </w:p>
    <w:p>
      <w:pPr>
        <w:spacing w:after="0" w:line="22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tcPr>
          <w:p>
            <w:pPr>
              <w:ind w:left="31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ARTICLE 1</w:t>
            </w:r>
          </w:p>
        </w:tc>
        <w:tc>
          <w:tcPr>
            <w:tcW w:w="97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DEFINITIONS AND OTHER PROVISIONS OF GENERAL APPLICATION</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1.1</w:t>
            </w:r>
          </w:p>
        </w:tc>
        <w:tc>
          <w:tcPr>
            <w:tcW w:w="916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1.2</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Compliance Certificates and Opinions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1.3</w:t>
            </w:r>
          </w:p>
        </w:tc>
        <w:tc>
          <w:tcPr>
            <w:tcW w:w="9160" w:type="dxa"/>
            <w:vAlign w:val="bottom"/>
          </w:tcPr>
          <w:p>
            <w:pPr>
              <w:ind w:left="60"/>
              <w:spacing w:after="0"/>
              <w:rPr>
                <w:sz w:val="20"/>
                <w:szCs w:val="20"/>
                <w:color w:val="auto"/>
              </w:rPr>
            </w:pPr>
            <w:r>
              <w:rPr>
                <w:rFonts w:ascii="Arial" w:cs="Arial" w:eastAsia="Arial" w:hAnsi="Arial"/>
                <w:sz w:val="18"/>
                <w:szCs w:val="18"/>
                <w:color w:val="auto"/>
              </w:rPr>
              <w:t>Form of Documents Delivered to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1.4</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Section 1.4 Acts of Holders; Record Dates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1.5</w:t>
            </w:r>
          </w:p>
        </w:tc>
        <w:tc>
          <w:tcPr>
            <w:tcW w:w="9160" w:type="dxa"/>
            <w:vAlign w:val="bottom"/>
          </w:tcPr>
          <w:p>
            <w:pPr>
              <w:ind w:left="60"/>
              <w:spacing w:after="0"/>
              <w:rPr>
                <w:sz w:val="20"/>
                <w:szCs w:val="20"/>
                <w:color w:val="auto"/>
              </w:rPr>
            </w:pPr>
            <w:r>
              <w:rPr>
                <w:rFonts w:ascii="Arial" w:cs="Arial" w:eastAsia="Arial" w:hAnsi="Arial"/>
                <w:sz w:val="18"/>
                <w:szCs w:val="18"/>
                <w:color w:val="auto"/>
              </w:rPr>
              <w:t>Notices, etc., to Trustee and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1.6</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Notice to Holders; Waiver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1.7</w:t>
            </w:r>
          </w:p>
        </w:tc>
        <w:tc>
          <w:tcPr>
            <w:tcW w:w="9160" w:type="dxa"/>
            <w:vAlign w:val="bottom"/>
          </w:tcPr>
          <w:p>
            <w:pPr>
              <w:ind w:left="60"/>
              <w:spacing w:after="0"/>
              <w:rPr>
                <w:sz w:val="20"/>
                <w:szCs w:val="20"/>
                <w:color w:val="auto"/>
              </w:rPr>
            </w:pPr>
            <w:r>
              <w:rPr>
                <w:rFonts w:ascii="Arial" w:cs="Arial" w:eastAsia="Arial" w:hAnsi="Arial"/>
                <w:sz w:val="18"/>
                <w:szCs w:val="18"/>
                <w:color w:val="auto"/>
              </w:rPr>
              <w:t>Conflict with Trust Indenture Act</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1.8</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Effect of Headings and Table of Contents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1.9</w:t>
            </w:r>
          </w:p>
        </w:tc>
        <w:tc>
          <w:tcPr>
            <w:tcW w:w="9160" w:type="dxa"/>
            <w:vAlign w:val="bottom"/>
          </w:tcPr>
          <w:p>
            <w:pPr>
              <w:ind w:left="60"/>
              <w:spacing w:after="0"/>
              <w:rPr>
                <w:sz w:val="20"/>
                <w:szCs w:val="20"/>
                <w:color w:val="auto"/>
              </w:rPr>
            </w:pPr>
            <w:r>
              <w:rPr>
                <w:rFonts w:ascii="Arial" w:cs="Arial" w:eastAsia="Arial" w:hAnsi="Arial"/>
                <w:sz w:val="18"/>
                <w:szCs w:val="18"/>
                <w:color w:val="auto"/>
              </w:rPr>
              <w:t>Successors and Assigns</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3"/>
              </w:rPr>
              <w:t>Section 1.10</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Separability Clause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w w:val="93"/>
              </w:rPr>
              <w:t>Section 1.11</w:t>
            </w:r>
          </w:p>
        </w:tc>
        <w:tc>
          <w:tcPr>
            <w:tcW w:w="9160" w:type="dxa"/>
            <w:vAlign w:val="bottom"/>
          </w:tcPr>
          <w:p>
            <w:pPr>
              <w:ind w:left="60"/>
              <w:spacing w:after="0"/>
              <w:rPr>
                <w:sz w:val="20"/>
                <w:szCs w:val="20"/>
                <w:color w:val="auto"/>
              </w:rPr>
            </w:pPr>
            <w:r>
              <w:rPr>
                <w:rFonts w:ascii="Arial" w:cs="Arial" w:eastAsia="Arial" w:hAnsi="Arial"/>
                <w:sz w:val="18"/>
                <w:szCs w:val="18"/>
                <w:color w:val="auto"/>
              </w:rPr>
              <w:t>Benefits of Indenture</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3"/>
              </w:rPr>
              <w:t>Section 1.12</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Governing Law</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w w:val="93"/>
              </w:rPr>
              <w:t>Section 1.13</w:t>
            </w:r>
          </w:p>
        </w:tc>
        <w:tc>
          <w:tcPr>
            <w:tcW w:w="9160" w:type="dxa"/>
            <w:vAlign w:val="bottom"/>
          </w:tcPr>
          <w:p>
            <w:pPr>
              <w:ind w:left="60"/>
              <w:spacing w:after="0"/>
              <w:rPr>
                <w:sz w:val="20"/>
                <w:szCs w:val="20"/>
                <w:color w:val="auto"/>
              </w:rPr>
            </w:pPr>
            <w:r>
              <w:rPr>
                <w:rFonts w:ascii="Arial" w:cs="Arial" w:eastAsia="Arial" w:hAnsi="Arial"/>
                <w:sz w:val="18"/>
                <w:szCs w:val="18"/>
                <w:color w:val="auto"/>
              </w:rPr>
              <w:t>Legal Holidays</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3"/>
              </w:rPr>
              <w:t>Section 1.14</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Indenture and Securities Solely Corporate Obligations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w w:val="93"/>
              </w:rPr>
              <w:t>Section 1.15</w:t>
            </w:r>
          </w:p>
        </w:tc>
        <w:tc>
          <w:tcPr>
            <w:tcW w:w="9160" w:type="dxa"/>
            <w:vAlign w:val="bottom"/>
          </w:tcPr>
          <w:p>
            <w:pPr>
              <w:ind w:left="60"/>
              <w:spacing w:after="0"/>
              <w:rPr>
                <w:sz w:val="20"/>
                <w:szCs w:val="20"/>
                <w:color w:val="auto"/>
              </w:rPr>
            </w:pPr>
            <w:r>
              <w:rPr>
                <w:rFonts w:ascii="Arial" w:cs="Arial" w:eastAsia="Arial" w:hAnsi="Arial"/>
                <w:sz w:val="18"/>
                <w:szCs w:val="18"/>
                <w:color w:val="auto"/>
              </w:rPr>
              <w:t>Indenture May be Executed in Counterparts</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74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ARTICLE 2</w:t>
            </w:r>
          </w:p>
        </w:tc>
        <w:tc>
          <w:tcPr>
            <w:tcW w:w="9740" w:type="dxa"/>
            <w:vAlign w:val="bottom"/>
            <w:gridSpan w:val="2"/>
          </w:tcPr>
          <w:p>
            <w:pPr>
              <w:ind w:left="160"/>
              <w:spacing w:after="0"/>
              <w:rPr>
                <w:sz w:val="20"/>
                <w:szCs w:val="20"/>
                <w:color w:val="auto"/>
              </w:rPr>
            </w:pPr>
            <w:r>
              <w:rPr>
                <w:rFonts w:ascii="Arial" w:cs="Arial" w:eastAsia="Arial" w:hAnsi="Arial"/>
                <w:sz w:val="18"/>
                <w:szCs w:val="18"/>
                <w:color w:val="auto"/>
              </w:rPr>
              <w:t>SECURITY FORMS</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2.1</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Forms Generally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2.2</w:t>
            </w:r>
          </w:p>
        </w:tc>
        <w:tc>
          <w:tcPr>
            <w:tcW w:w="9160" w:type="dxa"/>
            <w:vAlign w:val="bottom"/>
          </w:tcPr>
          <w:p>
            <w:pPr>
              <w:ind w:left="60"/>
              <w:spacing w:after="0"/>
              <w:rPr>
                <w:sz w:val="20"/>
                <w:szCs w:val="20"/>
                <w:color w:val="auto"/>
              </w:rPr>
            </w:pPr>
            <w:r>
              <w:rPr>
                <w:rFonts w:ascii="Arial" w:cs="Arial" w:eastAsia="Arial" w:hAnsi="Arial"/>
                <w:sz w:val="18"/>
                <w:szCs w:val="18"/>
                <w:color w:val="auto"/>
              </w:rPr>
              <w:t>Form of Face of Security</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2.3</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Form of Reverse of Security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2.4</w:t>
            </w:r>
          </w:p>
        </w:tc>
        <w:tc>
          <w:tcPr>
            <w:tcW w:w="9160" w:type="dxa"/>
            <w:vAlign w:val="bottom"/>
          </w:tcPr>
          <w:p>
            <w:pPr>
              <w:ind w:left="60"/>
              <w:spacing w:after="0"/>
              <w:rPr>
                <w:sz w:val="20"/>
                <w:szCs w:val="20"/>
                <w:color w:val="auto"/>
              </w:rPr>
            </w:pPr>
            <w:r>
              <w:rPr>
                <w:rFonts w:ascii="Arial" w:cs="Arial" w:eastAsia="Arial" w:hAnsi="Arial"/>
                <w:sz w:val="18"/>
                <w:szCs w:val="18"/>
                <w:color w:val="auto"/>
              </w:rPr>
              <w:t>Form of Legend for Global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2.5</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Form of Trustee’s Certificate of Authentication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2.6</w:t>
            </w:r>
          </w:p>
        </w:tc>
        <w:tc>
          <w:tcPr>
            <w:tcW w:w="9160" w:type="dxa"/>
            <w:vAlign w:val="bottom"/>
          </w:tcPr>
          <w:p>
            <w:pPr>
              <w:ind w:left="60"/>
              <w:spacing w:after="0"/>
              <w:rPr>
                <w:sz w:val="20"/>
                <w:szCs w:val="20"/>
                <w:color w:val="auto"/>
              </w:rPr>
            </w:pPr>
            <w:r>
              <w:rPr>
                <w:rFonts w:ascii="Arial" w:cs="Arial" w:eastAsia="Arial" w:hAnsi="Arial"/>
                <w:sz w:val="18"/>
                <w:szCs w:val="18"/>
                <w:color w:val="auto"/>
              </w:rPr>
              <w:t>Form of Conversion Notice</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74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ARTICLE 3</w:t>
            </w: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rPr>
              <w:t>THE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3.1</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Amount Unlimited; Issuable in Series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3.2</w:t>
            </w:r>
          </w:p>
        </w:tc>
        <w:tc>
          <w:tcPr>
            <w:tcW w:w="9160" w:type="dxa"/>
            <w:vAlign w:val="bottom"/>
          </w:tcPr>
          <w:p>
            <w:pPr>
              <w:ind w:left="60"/>
              <w:spacing w:after="0"/>
              <w:rPr>
                <w:sz w:val="20"/>
                <w:szCs w:val="20"/>
                <w:color w:val="auto"/>
              </w:rPr>
            </w:pPr>
            <w:r>
              <w:rPr>
                <w:rFonts w:ascii="Arial" w:cs="Arial" w:eastAsia="Arial" w:hAnsi="Arial"/>
                <w:sz w:val="18"/>
                <w:szCs w:val="18"/>
                <w:color w:val="auto"/>
              </w:rPr>
              <w:t>Denominations</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3.3</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Execution, Authentication, Delivery and Dating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3.4</w:t>
            </w:r>
          </w:p>
        </w:tc>
        <w:tc>
          <w:tcPr>
            <w:tcW w:w="9160" w:type="dxa"/>
            <w:vAlign w:val="bottom"/>
          </w:tcPr>
          <w:p>
            <w:pPr>
              <w:ind w:left="60"/>
              <w:spacing w:after="0"/>
              <w:rPr>
                <w:sz w:val="20"/>
                <w:szCs w:val="20"/>
                <w:color w:val="auto"/>
              </w:rPr>
            </w:pPr>
            <w:r>
              <w:rPr>
                <w:rFonts w:ascii="Arial" w:cs="Arial" w:eastAsia="Arial" w:hAnsi="Arial"/>
                <w:sz w:val="18"/>
                <w:szCs w:val="18"/>
                <w:color w:val="auto"/>
              </w:rPr>
              <w:t>Temporary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3.5</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Registration; Registration of Transfer and Exchange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3.6</w:t>
            </w:r>
          </w:p>
        </w:tc>
        <w:tc>
          <w:tcPr>
            <w:tcW w:w="9160" w:type="dxa"/>
            <w:vAlign w:val="bottom"/>
          </w:tcPr>
          <w:p>
            <w:pPr>
              <w:ind w:left="60"/>
              <w:spacing w:after="0"/>
              <w:rPr>
                <w:sz w:val="20"/>
                <w:szCs w:val="20"/>
                <w:color w:val="auto"/>
              </w:rPr>
            </w:pPr>
            <w:r>
              <w:rPr>
                <w:rFonts w:ascii="Arial" w:cs="Arial" w:eastAsia="Arial" w:hAnsi="Arial"/>
                <w:sz w:val="18"/>
                <w:szCs w:val="18"/>
                <w:color w:val="auto"/>
              </w:rPr>
              <w:t>Mutilated, Destroyed, Lost and Stolen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3.7</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Payment of Interest; Interest Rights Preserved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3.8</w:t>
            </w:r>
          </w:p>
        </w:tc>
        <w:tc>
          <w:tcPr>
            <w:tcW w:w="9160" w:type="dxa"/>
            <w:vAlign w:val="bottom"/>
          </w:tcPr>
          <w:p>
            <w:pPr>
              <w:ind w:left="60"/>
              <w:spacing w:after="0"/>
              <w:rPr>
                <w:sz w:val="20"/>
                <w:szCs w:val="20"/>
                <w:color w:val="auto"/>
              </w:rPr>
            </w:pPr>
            <w:r>
              <w:rPr>
                <w:rFonts w:ascii="Arial" w:cs="Arial" w:eastAsia="Arial" w:hAnsi="Arial"/>
                <w:sz w:val="18"/>
                <w:szCs w:val="18"/>
                <w:color w:val="auto"/>
              </w:rPr>
              <w:t>Persons Deemed Owners</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3.9</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Cancellation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w w:val="93"/>
              </w:rPr>
              <w:t>Section 3.10</w:t>
            </w:r>
          </w:p>
        </w:tc>
        <w:tc>
          <w:tcPr>
            <w:tcW w:w="9160" w:type="dxa"/>
            <w:vAlign w:val="bottom"/>
          </w:tcPr>
          <w:p>
            <w:pPr>
              <w:ind w:left="60"/>
              <w:spacing w:after="0"/>
              <w:rPr>
                <w:sz w:val="20"/>
                <w:szCs w:val="20"/>
                <w:color w:val="auto"/>
              </w:rPr>
            </w:pPr>
            <w:r>
              <w:rPr>
                <w:rFonts w:ascii="Arial" w:cs="Arial" w:eastAsia="Arial" w:hAnsi="Arial"/>
                <w:sz w:val="18"/>
                <w:szCs w:val="18"/>
                <w:color w:val="auto"/>
              </w:rPr>
              <w:t>Computation of Interest</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74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ARTICLE 4</w:t>
            </w: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rPr>
              <w:t>SATISFACTION AND DISCHARGE</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4.1</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Satisfaction and Discharge of Indenture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4.2</w:t>
            </w:r>
          </w:p>
        </w:tc>
        <w:tc>
          <w:tcPr>
            <w:tcW w:w="9160" w:type="dxa"/>
            <w:vAlign w:val="bottom"/>
          </w:tcPr>
          <w:p>
            <w:pPr>
              <w:ind w:left="60"/>
              <w:spacing w:after="0"/>
              <w:rPr>
                <w:sz w:val="20"/>
                <w:szCs w:val="20"/>
                <w:color w:val="auto"/>
              </w:rPr>
            </w:pPr>
            <w:r>
              <w:rPr>
                <w:rFonts w:ascii="Arial" w:cs="Arial" w:eastAsia="Arial" w:hAnsi="Arial"/>
                <w:sz w:val="18"/>
                <w:szCs w:val="18"/>
                <w:color w:val="auto"/>
              </w:rPr>
              <w:t>Application of Trust Money</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74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ARTICLE 5</w:t>
            </w:r>
          </w:p>
        </w:tc>
        <w:tc>
          <w:tcPr>
            <w:tcW w:w="9740" w:type="dxa"/>
            <w:vAlign w:val="bottom"/>
            <w:gridSpan w:val="2"/>
          </w:tcPr>
          <w:p>
            <w:pPr>
              <w:ind w:left="220"/>
              <w:spacing w:after="0"/>
              <w:rPr>
                <w:sz w:val="20"/>
                <w:szCs w:val="20"/>
                <w:color w:val="auto"/>
              </w:rPr>
            </w:pPr>
            <w:r>
              <w:rPr>
                <w:rFonts w:ascii="Arial" w:cs="Arial" w:eastAsia="Arial" w:hAnsi="Arial"/>
                <w:sz w:val="18"/>
                <w:szCs w:val="18"/>
                <w:color w:val="auto"/>
              </w:rPr>
              <w:t>REMEDIES</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5.1</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Events of Default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5.2</w:t>
            </w:r>
          </w:p>
        </w:tc>
        <w:tc>
          <w:tcPr>
            <w:tcW w:w="9160" w:type="dxa"/>
            <w:vAlign w:val="bottom"/>
          </w:tcPr>
          <w:p>
            <w:pPr>
              <w:ind w:left="60"/>
              <w:spacing w:after="0"/>
              <w:rPr>
                <w:sz w:val="20"/>
                <w:szCs w:val="20"/>
                <w:color w:val="auto"/>
              </w:rPr>
            </w:pPr>
            <w:r>
              <w:rPr>
                <w:rFonts w:ascii="Arial" w:cs="Arial" w:eastAsia="Arial" w:hAnsi="Arial"/>
                <w:sz w:val="18"/>
                <w:szCs w:val="18"/>
                <w:color w:val="auto"/>
              </w:rPr>
              <w:t>Acceleration of Maturity; Rescission and Annulment</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5.3</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Collection of Indebtedness and Suits for Enforcement by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5.4</w:t>
            </w:r>
          </w:p>
        </w:tc>
        <w:tc>
          <w:tcPr>
            <w:tcW w:w="9160" w:type="dxa"/>
            <w:vAlign w:val="bottom"/>
          </w:tcPr>
          <w:p>
            <w:pPr>
              <w:ind w:left="60"/>
              <w:spacing w:after="0"/>
              <w:rPr>
                <w:sz w:val="20"/>
                <w:szCs w:val="20"/>
                <w:color w:val="auto"/>
              </w:rPr>
            </w:pPr>
            <w:r>
              <w:rPr>
                <w:rFonts w:ascii="Arial" w:cs="Arial" w:eastAsia="Arial" w:hAnsi="Arial"/>
                <w:sz w:val="18"/>
                <w:szCs w:val="18"/>
                <w:color w:val="auto"/>
              </w:rPr>
              <w:t>Trustee May File Proofs of Claim</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5.5</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Trustee May Enforce Claims Without Possession of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5.6</w:t>
            </w:r>
          </w:p>
        </w:tc>
        <w:tc>
          <w:tcPr>
            <w:tcW w:w="9160" w:type="dxa"/>
            <w:vAlign w:val="bottom"/>
          </w:tcPr>
          <w:p>
            <w:pPr>
              <w:ind w:left="60"/>
              <w:spacing w:after="0"/>
              <w:rPr>
                <w:sz w:val="20"/>
                <w:szCs w:val="20"/>
                <w:color w:val="auto"/>
              </w:rPr>
            </w:pPr>
            <w:r>
              <w:rPr>
                <w:rFonts w:ascii="Arial" w:cs="Arial" w:eastAsia="Arial" w:hAnsi="Arial"/>
                <w:sz w:val="18"/>
                <w:szCs w:val="18"/>
                <w:color w:val="auto"/>
              </w:rPr>
              <w:t>Application of Money Collected</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5.7</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Limitation on Suits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5.8</w:t>
            </w:r>
          </w:p>
        </w:tc>
        <w:tc>
          <w:tcPr>
            <w:tcW w:w="9160" w:type="dxa"/>
            <w:vAlign w:val="bottom"/>
          </w:tcPr>
          <w:p>
            <w:pPr>
              <w:ind w:left="60"/>
              <w:spacing w:after="0"/>
              <w:rPr>
                <w:sz w:val="20"/>
                <w:szCs w:val="20"/>
                <w:color w:val="auto"/>
              </w:rPr>
            </w:pPr>
            <w:r>
              <w:rPr>
                <w:rFonts w:ascii="Arial" w:cs="Arial" w:eastAsia="Arial" w:hAnsi="Arial"/>
                <w:sz w:val="18"/>
                <w:szCs w:val="18"/>
                <w:color w:val="auto"/>
              </w:rPr>
              <w:t>Unconditional Right of Holders to Receive Principal, Premium and Interest and to Convert</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5.9</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Restoration of Rights and Remedies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160" w:type="dxa"/>
            <w:vAlign w:val="bottom"/>
          </w:tcPr>
          <w:p>
            <w:pPr>
              <w:ind w:left="314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160" w:type="dxa"/>
            <w:vAlign w:val="bottom"/>
          </w:tcPr>
          <w:p>
            <w:pPr>
              <w:ind w:left="3680"/>
              <w:spacing w:after="0"/>
              <w:rPr>
                <w:sz w:val="20"/>
                <w:szCs w:val="20"/>
                <w:color w:val="auto"/>
              </w:rPr>
            </w:pPr>
            <w:r>
              <w:rPr>
                <w:rFonts w:ascii="Arial" w:cs="Arial" w:eastAsia="Arial" w:hAnsi="Arial"/>
                <w:sz w:val="18"/>
                <w:szCs w:val="18"/>
                <w:color w:val="auto"/>
              </w:rPr>
              <w:t>(continued)</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1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tcBorders>
              <w:top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w w:val="93"/>
              </w:rPr>
              <w:t>Section 5.10</w:t>
            </w:r>
          </w:p>
        </w:tc>
        <w:tc>
          <w:tcPr>
            <w:tcW w:w="916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Rights and Remedies Cumulative</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w w:val="93"/>
              </w:rPr>
              <w:t>Section 5.11</w:t>
            </w:r>
          </w:p>
        </w:tc>
        <w:tc>
          <w:tcPr>
            <w:tcW w:w="9160" w:type="dxa"/>
            <w:vAlign w:val="bottom"/>
          </w:tcPr>
          <w:p>
            <w:pPr>
              <w:ind w:left="60"/>
              <w:spacing w:after="0"/>
              <w:rPr>
                <w:sz w:val="20"/>
                <w:szCs w:val="20"/>
                <w:color w:val="auto"/>
              </w:rPr>
            </w:pPr>
            <w:r>
              <w:rPr>
                <w:rFonts w:ascii="Arial" w:cs="Arial" w:eastAsia="Arial" w:hAnsi="Arial"/>
                <w:sz w:val="18"/>
                <w:szCs w:val="18"/>
                <w:color w:val="auto"/>
              </w:rPr>
              <w:t>Delay or Omission Not Waiver</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3"/>
              </w:rPr>
              <w:t>Section 5.12</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Control by Holders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w w:val="93"/>
              </w:rPr>
              <w:t>Section 5.13</w:t>
            </w:r>
          </w:p>
        </w:tc>
        <w:tc>
          <w:tcPr>
            <w:tcW w:w="9160" w:type="dxa"/>
            <w:vAlign w:val="bottom"/>
          </w:tcPr>
          <w:p>
            <w:pPr>
              <w:ind w:left="60"/>
              <w:spacing w:after="0"/>
              <w:rPr>
                <w:sz w:val="20"/>
                <w:szCs w:val="20"/>
                <w:color w:val="auto"/>
              </w:rPr>
            </w:pPr>
            <w:r>
              <w:rPr>
                <w:rFonts w:ascii="Arial" w:cs="Arial" w:eastAsia="Arial" w:hAnsi="Arial"/>
                <w:sz w:val="18"/>
                <w:szCs w:val="18"/>
                <w:color w:val="auto"/>
              </w:rPr>
              <w:t>Waiver of Past Defaults</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3"/>
              </w:rPr>
              <w:t>Section 5.14</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Undertaking for Costs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w w:val="93"/>
              </w:rPr>
              <w:t>Section 5.15</w:t>
            </w:r>
          </w:p>
        </w:tc>
        <w:tc>
          <w:tcPr>
            <w:tcW w:w="9160" w:type="dxa"/>
            <w:vAlign w:val="bottom"/>
          </w:tcPr>
          <w:p>
            <w:pPr>
              <w:ind w:left="60"/>
              <w:spacing w:after="0"/>
              <w:rPr>
                <w:sz w:val="20"/>
                <w:szCs w:val="20"/>
                <w:color w:val="auto"/>
              </w:rPr>
            </w:pPr>
            <w:r>
              <w:rPr>
                <w:rFonts w:ascii="Arial" w:cs="Arial" w:eastAsia="Arial" w:hAnsi="Arial"/>
                <w:sz w:val="18"/>
                <w:szCs w:val="18"/>
                <w:color w:val="auto"/>
              </w:rPr>
              <w:t>Waiver of Usury, Stay or Extension Laws</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ARTICLE 6</w:t>
            </w:r>
          </w:p>
        </w:tc>
        <w:tc>
          <w:tcPr>
            <w:tcW w:w="9660" w:type="dxa"/>
            <w:vAlign w:val="bottom"/>
            <w:gridSpan w:val="2"/>
          </w:tcPr>
          <w:p>
            <w:pPr>
              <w:ind w:left="140"/>
              <w:spacing w:after="0"/>
              <w:rPr>
                <w:sz w:val="20"/>
                <w:szCs w:val="20"/>
                <w:color w:val="auto"/>
              </w:rPr>
            </w:pPr>
            <w:r>
              <w:rPr>
                <w:rFonts w:ascii="Arial" w:cs="Arial" w:eastAsia="Arial" w:hAnsi="Arial"/>
                <w:sz w:val="18"/>
                <w:szCs w:val="18"/>
                <w:color w:val="auto"/>
              </w:rPr>
              <w:t>THE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6.1</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Certain Duties and Responsibilities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6.2</w:t>
            </w:r>
          </w:p>
        </w:tc>
        <w:tc>
          <w:tcPr>
            <w:tcW w:w="9160" w:type="dxa"/>
            <w:vAlign w:val="bottom"/>
          </w:tcPr>
          <w:p>
            <w:pPr>
              <w:ind w:left="60"/>
              <w:spacing w:after="0"/>
              <w:rPr>
                <w:sz w:val="20"/>
                <w:szCs w:val="20"/>
                <w:color w:val="auto"/>
              </w:rPr>
            </w:pPr>
            <w:r>
              <w:rPr>
                <w:rFonts w:ascii="Arial" w:cs="Arial" w:eastAsia="Arial" w:hAnsi="Arial"/>
                <w:sz w:val="18"/>
                <w:szCs w:val="18"/>
                <w:color w:val="auto"/>
              </w:rPr>
              <w:t>Notice of Defaults</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6.3</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Certain Rights of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6.4</w:t>
            </w:r>
          </w:p>
        </w:tc>
        <w:tc>
          <w:tcPr>
            <w:tcW w:w="9160" w:type="dxa"/>
            <w:vAlign w:val="bottom"/>
          </w:tcPr>
          <w:p>
            <w:pPr>
              <w:ind w:left="60"/>
              <w:spacing w:after="0"/>
              <w:rPr>
                <w:sz w:val="20"/>
                <w:szCs w:val="20"/>
                <w:color w:val="auto"/>
              </w:rPr>
            </w:pPr>
            <w:r>
              <w:rPr>
                <w:rFonts w:ascii="Arial" w:cs="Arial" w:eastAsia="Arial" w:hAnsi="Arial"/>
                <w:sz w:val="18"/>
                <w:szCs w:val="18"/>
                <w:color w:val="auto"/>
              </w:rPr>
              <w:t>Not Responsible for Recitals or Issuance of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6.5</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May Hold Securities and Act as Trustee under Other Indentures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6.6</w:t>
            </w:r>
          </w:p>
        </w:tc>
        <w:tc>
          <w:tcPr>
            <w:tcW w:w="9160" w:type="dxa"/>
            <w:vAlign w:val="bottom"/>
          </w:tcPr>
          <w:p>
            <w:pPr>
              <w:ind w:left="60"/>
              <w:spacing w:after="0"/>
              <w:rPr>
                <w:sz w:val="20"/>
                <w:szCs w:val="20"/>
                <w:color w:val="auto"/>
              </w:rPr>
            </w:pPr>
            <w:r>
              <w:rPr>
                <w:rFonts w:ascii="Arial" w:cs="Arial" w:eastAsia="Arial" w:hAnsi="Arial"/>
                <w:sz w:val="18"/>
                <w:szCs w:val="18"/>
                <w:color w:val="auto"/>
              </w:rPr>
              <w:t>Money Held in Trust</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6.7</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Compensation and Reimbursement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6.8</w:t>
            </w:r>
          </w:p>
        </w:tc>
        <w:tc>
          <w:tcPr>
            <w:tcW w:w="9160" w:type="dxa"/>
            <w:vAlign w:val="bottom"/>
          </w:tcPr>
          <w:p>
            <w:pPr>
              <w:ind w:left="60"/>
              <w:spacing w:after="0"/>
              <w:rPr>
                <w:sz w:val="20"/>
                <w:szCs w:val="20"/>
                <w:color w:val="auto"/>
              </w:rPr>
            </w:pPr>
            <w:r>
              <w:rPr>
                <w:rFonts w:ascii="Arial" w:cs="Arial" w:eastAsia="Arial" w:hAnsi="Arial"/>
                <w:sz w:val="18"/>
                <w:szCs w:val="18"/>
                <w:color w:val="auto"/>
              </w:rPr>
              <w:t>Conflicting Interests</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6.9</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Corporate Trustee Required; Eligibility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w w:val="93"/>
              </w:rPr>
              <w:t>Section 6.10</w:t>
            </w:r>
          </w:p>
        </w:tc>
        <w:tc>
          <w:tcPr>
            <w:tcW w:w="9160" w:type="dxa"/>
            <w:vAlign w:val="bottom"/>
          </w:tcPr>
          <w:p>
            <w:pPr>
              <w:ind w:left="60"/>
              <w:spacing w:after="0"/>
              <w:rPr>
                <w:sz w:val="20"/>
                <w:szCs w:val="20"/>
                <w:color w:val="auto"/>
              </w:rPr>
            </w:pPr>
            <w:r>
              <w:rPr>
                <w:rFonts w:ascii="Arial" w:cs="Arial" w:eastAsia="Arial" w:hAnsi="Arial"/>
                <w:sz w:val="18"/>
                <w:szCs w:val="18"/>
                <w:color w:val="auto"/>
              </w:rPr>
              <w:t>Resignation and Removal; Appointment of Successor</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3"/>
              </w:rPr>
              <w:t>Section 6.11</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Acceptance of Appointment by Successor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w w:val="93"/>
              </w:rPr>
              <w:t>Section 6.12</w:t>
            </w:r>
          </w:p>
        </w:tc>
        <w:tc>
          <w:tcPr>
            <w:tcW w:w="9160" w:type="dxa"/>
            <w:vAlign w:val="bottom"/>
          </w:tcPr>
          <w:p>
            <w:pPr>
              <w:ind w:left="60"/>
              <w:spacing w:after="0"/>
              <w:rPr>
                <w:sz w:val="20"/>
                <w:szCs w:val="20"/>
                <w:color w:val="auto"/>
              </w:rPr>
            </w:pPr>
            <w:r>
              <w:rPr>
                <w:rFonts w:ascii="Arial" w:cs="Arial" w:eastAsia="Arial" w:hAnsi="Arial"/>
                <w:sz w:val="18"/>
                <w:szCs w:val="18"/>
                <w:color w:val="auto"/>
              </w:rPr>
              <w:t>Merger, Conversion, Consolidation or Succession to Business</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3"/>
              </w:rPr>
              <w:t>Section 6.13</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Preferential Collection of Claims Against Company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w w:val="93"/>
              </w:rPr>
              <w:t>Section 6.14</w:t>
            </w:r>
          </w:p>
        </w:tc>
        <w:tc>
          <w:tcPr>
            <w:tcW w:w="9160" w:type="dxa"/>
            <w:vAlign w:val="bottom"/>
          </w:tcPr>
          <w:p>
            <w:pPr>
              <w:ind w:left="60"/>
              <w:spacing w:after="0"/>
              <w:rPr>
                <w:sz w:val="20"/>
                <w:szCs w:val="20"/>
                <w:color w:val="auto"/>
              </w:rPr>
            </w:pPr>
            <w:r>
              <w:rPr>
                <w:rFonts w:ascii="Arial" w:cs="Arial" w:eastAsia="Arial" w:hAnsi="Arial"/>
                <w:sz w:val="18"/>
                <w:szCs w:val="18"/>
                <w:color w:val="auto"/>
              </w:rPr>
              <w:t>Appointment of Authenticating Agent</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ARTICLE 7</w:t>
            </w:r>
          </w:p>
        </w:tc>
        <w:tc>
          <w:tcPr>
            <w:tcW w:w="9660" w:type="dxa"/>
            <w:vAlign w:val="bottom"/>
            <w:gridSpan w:val="2"/>
          </w:tcPr>
          <w:p>
            <w:pPr>
              <w:ind w:left="140"/>
              <w:spacing w:after="0"/>
              <w:rPr>
                <w:sz w:val="20"/>
                <w:szCs w:val="20"/>
                <w:color w:val="auto"/>
              </w:rPr>
            </w:pPr>
            <w:r>
              <w:rPr>
                <w:rFonts w:ascii="Arial" w:cs="Arial" w:eastAsia="Arial" w:hAnsi="Arial"/>
                <w:sz w:val="18"/>
                <w:szCs w:val="18"/>
                <w:color w:val="auto"/>
              </w:rPr>
              <w:t>HOLDERS’ LISTS AND REPORTS BY TRUSTEE AND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7.1</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Company to Furnish Trustee Names and Addresses of Holders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7.2</w:t>
            </w:r>
          </w:p>
        </w:tc>
        <w:tc>
          <w:tcPr>
            <w:tcW w:w="9160" w:type="dxa"/>
            <w:vAlign w:val="bottom"/>
          </w:tcPr>
          <w:p>
            <w:pPr>
              <w:ind w:left="60"/>
              <w:spacing w:after="0"/>
              <w:rPr>
                <w:sz w:val="20"/>
                <w:szCs w:val="20"/>
                <w:color w:val="auto"/>
              </w:rPr>
            </w:pPr>
            <w:r>
              <w:rPr>
                <w:rFonts w:ascii="Arial" w:cs="Arial" w:eastAsia="Arial" w:hAnsi="Arial"/>
                <w:sz w:val="18"/>
                <w:szCs w:val="18"/>
                <w:color w:val="auto"/>
              </w:rPr>
              <w:t>Preservation of Information; Communications to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7.3</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Reports by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7.4</w:t>
            </w:r>
          </w:p>
        </w:tc>
        <w:tc>
          <w:tcPr>
            <w:tcW w:w="9160" w:type="dxa"/>
            <w:vAlign w:val="bottom"/>
          </w:tcPr>
          <w:p>
            <w:pPr>
              <w:ind w:left="60"/>
              <w:spacing w:after="0"/>
              <w:rPr>
                <w:sz w:val="20"/>
                <w:szCs w:val="20"/>
                <w:color w:val="auto"/>
              </w:rPr>
            </w:pPr>
            <w:r>
              <w:rPr>
                <w:rFonts w:ascii="Arial" w:cs="Arial" w:eastAsia="Arial" w:hAnsi="Arial"/>
                <w:sz w:val="18"/>
                <w:szCs w:val="18"/>
                <w:color w:val="auto"/>
              </w:rPr>
              <w:t>Reports by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ARTICLE 8</w:t>
            </w:r>
          </w:p>
        </w:tc>
        <w:tc>
          <w:tcPr>
            <w:tcW w:w="9660" w:type="dxa"/>
            <w:vAlign w:val="bottom"/>
            <w:gridSpan w:val="2"/>
          </w:tcPr>
          <w:p>
            <w:pPr>
              <w:ind w:left="140"/>
              <w:spacing w:after="0"/>
              <w:rPr>
                <w:sz w:val="20"/>
                <w:szCs w:val="20"/>
                <w:color w:val="auto"/>
              </w:rPr>
            </w:pPr>
            <w:r>
              <w:rPr>
                <w:rFonts w:ascii="Arial" w:cs="Arial" w:eastAsia="Arial" w:hAnsi="Arial"/>
                <w:sz w:val="18"/>
                <w:szCs w:val="18"/>
                <w:color w:val="auto"/>
              </w:rPr>
              <w:t>CONSOLIDATION, MERGER, CONVEYANCE, TRANSFER OR LEASE</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8.1</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Company May Consolidate, etc., Only on Certain Terms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8.2</w:t>
            </w:r>
          </w:p>
        </w:tc>
        <w:tc>
          <w:tcPr>
            <w:tcW w:w="9160" w:type="dxa"/>
            <w:vAlign w:val="bottom"/>
          </w:tcPr>
          <w:p>
            <w:pPr>
              <w:ind w:left="60"/>
              <w:spacing w:after="0"/>
              <w:rPr>
                <w:sz w:val="20"/>
                <w:szCs w:val="20"/>
                <w:color w:val="auto"/>
              </w:rPr>
            </w:pPr>
            <w:r>
              <w:rPr>
                <w:rFonts w:ascii="Arial" w:cs="Arial" w:eastAsia="Arial" w:hAnsi="Arial"/>
                <w:sz w:val="18"/>
                <w:szCs w:val="18"/>
                <w:color w:val="auto"/>
              </w:rPr>
              <w:t>Successor Substituted</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ARTICLE 9</w:t>
            </w:r>
          </w:p>
        </w:tc>
        <w:tc>
          <w:tcPr>
            <w:tcW w:w="9660" w:type="dxa"/>
            <w:vAlign w:val="bottom"/>
            <w:gridSpan w:val="2"/>
          </w:tcPr>
          <w:p>
            <w:pPr>
              <w:ind w:left="140"/>
              <w:spacing w:after="0"/>
              <w:rPr>
                <w:sz w:val="20"/>
                <w:szCs w:val="20"/>
                <w:color w:val="auto"/>
              </w:rPr>
            </w:pPr>
            <w:r>
              <w:rPr>
                <w:rFonts w:ascii="Arial" w:cs="Arial" w:eastAsia="Arial" w:hAnsi="Arial"/>
                <w:sz w:val="18"/>
                <w:szCs w:val="18"/>
                <w:color w:val="auto"/>
              </w:rPr>
              <w:t>SUPPLEMENTAL INDENTURES</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9.1</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Supplemental Indentures Without Consent of Holders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9.2</w:t>
            </w:r>
          </w:p>
        </w:tc>
        <w:tc>
          <w:tcPr>
            <w:tcW w:w="9160" w:type="dxa"/>
            <w:vAlign w:val="bottom"/>
          </w:tcPr>
          <w:p>
            <w:pPr>
              <w:ind w:left="60"/>
              <w:spacing w:after="0"/>
              <w:rPr>
                <w:sz w:val="20"/>
                <w:szCs w:val="20"/>
                <w:color w:val="auto"/>
              </w:rPr>
            </w:pPr>
            <w:r>
              <w:rPr>
                <w:rFonts w:ascii="Arial" w:cs="Arial" w:eastAsia="Arial" w:hAnsi="Arial"/>
                <w:sz w:val="18"/>
                <w:szCs w:val="18"/>
                <w:color w:val="auto"/>
              </w:rPr>
              <w:t>Supplemental Indentures with Consent of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9.3</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Execution of Supplemental Indentures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9.4</w:t>
            </w:r>
          </w:p>
        </w:tc>
        <w:tc>
          <w:tcPr>
            <w:tcW w:w="9160" w:type="dxa"/>
            <w:vAlign w:val="bottom"/>
          </w:tcPr>
          <w:p>
            <w:pPr>
              <w:ind w:left="60"/>
              <w:spacing w:after="0"/>
              <w:rPr>
                <w:sz w:val="20"/>
                <w:szCs w:val="20"/>
                <w:color w:val="auto"/>
              </w:rPr>
            </w:pPr>
            <w:r>
              <w:rPr>
                <w:rFonts w:ascii="Arial" w:cs="Arial" w:eastAsia="Arial" w:hAnsi="Arial"/>
                <w:sz w:val="18"/>
                <w:szCs w:val="18"/>
                <w:color w:val="auto"/>
              </w:rPr>
              <w:t>Effect of Supplemental Indentures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Section 9.5</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Conformity with Trust Indenture Act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rPr>
              <w:t>Section 9.6</w:t>
            </w:r>
          </w:p>
        </w:tc>
        <w:tc>
          <w:tcPr>
            <w:tcW w:w="9160" w:type="dxa"/>
            <w:vAlign w:val="bottom"/>
          </w:tcPr>
          <w:p>
            <w:pPr>
              <w:ind w:left="60"/>
              <w:spacing w:after="0"/>
              <w:rPr>
                <w:sz w:val="20"/>
                <w:szCs w:val="20"/>
                <w:color w:val="auto"/>
              </w:rPr>
            </w:pPr>
            <w:r>
              <w:rPr>
                <w:rFonts w:ascii="Arial" w:cs="Arial" w:eastAsia="Arial" w:hAnsi="Arial"/>
                <w:sz w:val="18"/>
                <w:szCs w:val="18"/>
                <w:color w:val="auto"/>
              </w:rPr>
              <w:t>Reference in Securities to Supplemental Indentures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6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ARTICLE 10</w:t>
            </w:r>
          </w:p>
        </w:tc>
        <w:tc>
          <w:tcPr>
            <w:tcW w:w="9660" w:type="dxa"/>
            <w:vAlign w:val="bottom"/>
            <w:gridSpan w:val="2"/>
          </w:tcPr>
          <w:p>
            <w:pPr>
              <w:ind w:left="220"/>
              <w:spacing w:after="0"/>
              <w:rPr>
                <w:sz w:val="20"/>
                <w:szCs w:val="20"/>
                <w:color w:val="auto"/>
              </w:rPr>
            </w:pPr>
            <w:r>
              <w:rPr>
                <w:rFonts w:ascii="Arial" w:cs="Arial" w:eastAsia="Arial" w:hAnsi="Arial"/>
                <w:sz w:val="18"/>
                <w:szCs w:val="18"/>
                <w:color w:val="auto"/>
              </w:rPr>
              <w:t>COVENANTS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3"/>
              </w:rPr>
              <w:t>Section 10.1</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Payment of Principal, Premium and Interest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w w:val="93"/>
              </w:rPr>
              <w:t>Section 10.2</w:t>
            </w:r>
          </w:p>
        </w:tc>
        <w:tc>
          <w:tcPr>
            <w:tcW w:w="9160" w:type="dxa"/>
            <w:vAlign w:val="bottom"/>
          </w:tcPr>
          <w:p>
            <w:pPr>
              <w:ind w:left="60"/>
              <w:spacing w:after="0"/>
              <w:rPr>
                <w:sz w:val="20"/>
                <w:szCs w:val="20"/>
                <w:color w:val="auto"/>
              </w:rPr>
            </w:pPr>
            <w:r>
              <w:rPr>
                <w:rFonts w:ascii="Arial" w:cs="Arial" w:eastAsia="Arial" w:hAnsi="Arial"/>
                <w:sz w:val="18"/>
                <w:szCs w:val="18"/>
                <w:color w:val="auto"/>
              </w:rPr>
              <w:t>Maintenance of Office or Agency</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3"/>
              </w:rPr>
              <w:t>Section 10.3</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Money for Securities Payments To Be Held in Trust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w w:val="93"/>
              </w:rPr>
              <w:t>Section 10.4</w:t>
            </w:r>
          </w:p>
        </w:tc>
        <w:tc>
          <w:tcPr>
            <w:tcW w:w="9160" w:type="dxa"/>
            <w:vAlign w:val="bottom"/>
          </w:tcPr>
          <w:p>
            <w:pPr>
              <w:ind w:left="60"/>
              <w:spacing w:after="0"/>
              <w:rPr>
                <w:sz w:val="20"/>
                <w:szCs w:val="20"/>
                <w:color w:val="auto"/>
              </w:rPr>
            </w:pPr>
            <w:r>
              <w:rPr>
                <w:rFonts w:ascii="Arial" w:cs="Arial" w:eastAsia="Arial" w:hAnsi="Arial"/>
                <w:sz w:val="18"/>
                <w:szCs w:val="18"/>
                <w:color w:val="auto"/>
              </w:rPr>
              <w:t>Statement by Officers as to Default</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3"/>
              </w:rPr>
              <w:t>Section 10.5</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Existence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w w:val="93"/>
              </w:rPr>
              <w:t>Section 10.6</w:t>
            </w:r>
          </w:p>
        </w:tc>
        <w:tc>
          <w:tcPr>
            <w:tcW w:w="9160" w:type="dxa"/>
            <w:vAlign w:val="bottom"/>
          </w:tcPr>
          <w:p>
            <w:pPr>
              <w:ind w:left="60"/>
              <w:spacing w:after="0"/>
              <w:rPr>
                <w:sz w:val="20"/>
                <w:szCs w:val="20"/>
                <w:color w:val="auto"/>
              </w:rPr>
            </w:pPr>
            <w:r>
              <w:rPr>
                <w:rFonts w:ascii="Arial" w:cs="Arial" w:eastAsia="Arial" w:hAnsi="Arial"/>
                <w:sz w:val="18"/>
                <w:szCs w:val="18"/>
                <w:color w:val="auto"/>
              </w:rPr>
              <w:t>Maintenance of Properties</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3"/>
              </w:rPr>
              <w:t>Section 10.7</w:t>
            </w:r>
          </w:p>
        </w:tc>
        <w:tc>
          <w:tcPr>
            <w:tcW w:w="9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Payment of Taxes and Other Claims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gridSpan w:val="2"/>
          </w:tcPr>
          <w:p>
            <w:pPr>
              <w:ind w:left="640"/>
              <w:spacing w:after="0"/>
              <w:rPr>
                <w:sz w:val="20"/>
                <w:szCs w:val="20"/>
                <w:color w:val="auto"/>
              </w:rPr>
            </w:pPr>
            <w:r>
              <w:rPr>
                <w:rFonts w:ascii="Arial" w:cs="Arial" w:eastAsia="Arial" w:hAnsi="Arial"/>
                <w:sz w:val="18"/>
                <w:szCs w:val="18"/>
                <w:color w:val="auto"/>
                <w:w w:val="93"/>
              </w:rPr>
              <w:t>Section 10.8</w:t>
            </w:r>
          </w:p>
        </w:tc>
        <w:tc>
          <w:tcPr>
            <w:tcW w:w="9160" w:type="dxa"/>
            <w:vAlign w:val="bottom"/>
          </w:tcPr>
          <w:p>
            <w:pPr>
              <w:ind w:left="60"/>
              <w:spacing w:after="0"/>
              <w:rPr>
                <w:sz w:val="20"/>
                <w:szCs w:val="20"/>
                <w:color w:val="auto"/>
              </w:rPr>
            </w:pPr>
            <w:r>
              <w:rPr>
                <w:rFonts w:ascii="Arial" w:cs="Arial" w:eastAsia="Arial" w:hAnsi="Arial"/>
                <w:sz w:val="18"/>
                <w:szCs w:val="18"/>
                <w:color w:val="auto"/>
              </w:rPr>
              <w:t>Waiver of Certain Covenants</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12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ARTICLE 11</w:t>
            </w:r>
          </w:p>
        </w:tc>
        <w:tc>
          <w:tcPr>
            <w:tcW w:w="96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REDEMPTION OF SECURITIES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w w:val="97"/>
              </w:rPr>
              <w:t>Section 11.1</w:t>
            </w:r>
          </w:p>
        </w:tc>
        <w:tc>
          <w:tcPr>
            <w:tcW w:w="9120" w:type="dxa"/>
            <w:vAlign w:val="bottom"/>
          </w:tcPr>
          <w:p>
            <w:pPr>
              <w:ind w:left="20"/>
              <w:spacing w:after="0"/>
              <w:rPr>
                <w:sz w:val="20"/>
                <w:szCs w:val="20"/>
                <w:color w:val="auto"/>
              </w:rPr>
            </w:pPr>
            <w:r>
              <w:rPr>
                <w:rFonts w:ascii="Arial" w:cs="Arial" w:eastAsia="Arial" w:hAnsi="Arial"/>
                <w:sz w:val="18"/>
                <w:szCs w:val="18"/>
                <w:color w:val="auto"/>
              </w:rPr>
              <w:t>Applicability of Article</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7"/>
              </w:rPr>
              <w:t>Section 11.2</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Election to Redeem; Notice to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w w:val="97"/>
              </w:rPr>
              <w:t>Section 11.3</w:t>
            </w:r>
          </w:p>
        </w:tc>
        <w:tc>
          <w:tcPr>
            <w:tcW w:w="9120" w:type="dxa"/>
            <w:vAlign w:val="bottom"/>
          </w:tcPr>
          <w:p>
            <w:pPr>
              <w:ind w:left="20"/>
              <w:spacing w:after="0"/>
              <w:rPr>
                <w:sz w:val="20"/>
                <w:szCs w:val="20"/>
                <w:color w:val="auto"/>
              </w:rPr>
            </w:pPr>
            <w:r>
              <w:rPr>
                <w:rFonts w:ascii="Arial" w:cs="Arial" w:eastAsia="Arial" w:hAnsi="Arial"/>
                <w:sz w:val="18"/>
                <w:szCs w:val="18"/>
                <w:color w:val="auto"/>
              </w:rPr>
              <w:t>Selection by Trustee of Securities to Be Redeemed</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7"/>
              </w:rPr>
              <w:t>Section 11.4</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Notice of Redemption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w w:val="97"/>
              </w:rPr>
              <w:t>Section 11.5</w:t>
            </w:r>
          </w:p>
        </w:tc>
        <w:tc>
          <w:tcPr>
            <w:tcW w:w="9120" w:type="dxa"/>
            <w:vAlign w:val="bottom"/>
          </w:tcPr>
          <w:p>
            <w:pPr>
              <w:ind w:left="20"/>
              <w:spacing w:after="0"/>
              <w:rPr>
                <w:sz w:val="20"/>
                <w:szCs w:val="20"/>
                <w:color w:val="auto"/>
              </w:rPr>
            </w:pPr>
            <w:r>
              <w:rPr>
                <w:rFonts w:ascii="Arial" w:cs="Arial" w:eastAsia="Arial" w:hAnsi="Arial"/>
                <w:sz w:val="18"/>
                <w:szCs w:val="18"/>
                <w:color w:val="auto"/>
              </w:rPr>
              <w:t>Deposit of Redemption Price</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7"/>
              </w:rPr>
              <w:t>Section 11.6</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Payable on Redemption Date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w w:val="97"/>
              </w:rPr>
              <w:t>Section 11.7</w:t>
            </w:r>
          </w:p>
        </w:tc>
        <w:tc>
          <w:tcPr>
            <w:tcW w:w="9120" w:type="dxa"/>
            <w:vAlign w:val="bottom"/>
          </w:tcPr>
          <w:p>
            <w:pPr>
              <w:ind w:left="20"/>
              <w:spacing w:after="0"/>
              <w:rPr>
                <w:sz w:val="20"/>
                <w:szCs w:val="20"/>
                <w:color w:val="auto"/>
              </w:rPr>
            </w:pPr>
            <w:r>
              <w:rPr>
                <w:rFonts w:ascii="Arial" w:cs="Arial" w:eastAsia="Arial" w:hAnsi="Arial"/>
                <w:sz w:val="18"/>
                <w:szCs w:val="18"/>
                <w:color w:val="auto"/>
              </w:rPr>
              <w:t>Securities Redeemed in Part</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64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ARTICLE 12</w:t>
            </w:r>
          </w:p>
        </w:tc>
        <w:tc>
          <w:tcPr>
            <w:tcW w:w="9640" w:type="dxa"/>
            <w:vAlign w:val="bottom"/>
            <w:gridSpan w:val="2"/>
          </w:tcPr>
          <w:p>
            <w:pPr>
              <w:ind w:left="160"/>
              <w:spacing w:after="0"/>
              <w:rPr>
                <w:sz w:val="20"/>
                <w:szCs w:val="20"/>
                <w:color w:val="auto"/>
              </w:rPr>
            </w:pPr>
            <w:r>
              <w:rPr>
                <w:rFonts w:ascii="Arial" w:cs="Arial" w:eastAsia="Arial" w:hAnsi="Arial"/>
                <w:sz w:val="18"/>
                <w:szCs w:val="18"/>
                <w:color w:val="auto"/>
              </w:rPr>
              <w:t>SINKING FUNDS</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7"/>
              </w:rPr>
              <w:t>Section 12.1</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Applicability of Article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w w:val="97"/>
              </w:rPr>
              <w:t>Section 12.2</w:t>
            </w:r>
          </w:p>
        </w:tc>
        <w:tc>
          <w:tcPr>
            <w:tcW w:w="9120" w:type="dxa"/>
            <w:vAlign w:val="bottom"/>
          </w:tcPr>
          <w:p>
            <w:pPr>
              <w:ind w:left="20"/>
              <w:spacing w:after="0"/>
              <w:rPr>
                <w:sz w:val="20"/>
                <w:szCs w:val="20"/>
                <w:color w:val="auto"/>
              </w:rPr>
            </w:pPr>
            <w:r>
              <w:rPr>
                <w:rFonts w:ascii="Arial" w:cs="Arial" w:eastAsia="Arial" w:hAnsi="Arial"/>
                <w:sz w:val="18"/>
                <w:szCs w:val="18"/>
                <w:color w:val="auto"/>
              </w:rPr>
              <w:t>Satisfaction of Sinking Fund Payments with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7"/>
              </w:rPr>
              <w:t>Section 12.3</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Redemption of Securities for Sinking Fund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60" w:type="dxa"/>
            <w:vAlign w:val="bottom"/>
            <w:gridSpan w:val="3"/>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13   EFEASANCE AND COVENANT DEFEASANCE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w w:val="97"/>
              </w:rPr>
              <w:t>Section 13.1</w:t>
            </w:r>
          </w:p>
        </w:tc>
        <w:tc>
          <w:tcPr>
            <w:tcW w:w="9120" w:type="dxa"/>
            <w:vAlign w:val="bottom"/>
          </w:tcPr>
          <w:p>
            <w:pPr>
              <w:ind w:left="20"/>
              <w:spacing w:after="0"/>
              <w:rPr>
                <w:sz w:val="20"/>
                <w:szCs w:val="20"/>
                <w:color w:val="auto"/>
              </w:rPr>
            </w:pPr>
            <w:r>
              <w:rPr>
                <w:rFonts w:ascii="Arial" w:cs="Arial" w:eastAsia="Arial" w:hAnsi="Arial"/>
                <w:sz w:val="18"/>
                <w:szCs w:val="18"/>
                <w:color w:val="auto"/>
              </w:rPr>
              <w:t>Company’s Option to Effect Defeasance or Covenant Defeasance</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7"/>
              </w:rPr>
              <w:t>Section 13.2</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Defeasance and Discharge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w w:val="97"/>
              </w:rPr>
              <w:t>Section 13.3</w:t>
            </w:r>
          </w:p>
        </w:tc>
        <w:tc>
          <w:tcPr>
            <w:tcW w:w="9120" w:type="dxa"/>
            <w:vAlign w:val="bottom"/>
          </w:tcPr>
          <w:p>
            <w:pPr>
              <w:ind w:left="20"/>
              <w:spacing w:after="0"/>
              <w:rPr>
                <w:sz w:val="20"/>
                <w:szCs w:val="20"/>
                <w:color w:val="auto"/>
              </w:rPr>
            </w:pPr>
            <w:r>
              <w:rPr>
                <w:rFonts w:ascii="Arial" w:cs="Arial" w:eastAsia="Arial" w:hAnsi="Arial"/>
                <w:sz w:val="18"/>
                <w:szCs w:val="18"/>
                <w:color w:val="auto"/>
              </w:rPr>
              <w:t>Covenant Defeasance</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7"/>
              </w:rPr>
              <w:t>Section 13.4</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Conditions to Defeasance or Covenant Defeasance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40" w:type="dxa"/>
            <w:vAlign w:val="bottom"/>
            <w:gridSpan w:val="2"/>
          </w:tcPr>
          <w:p>
            <w:pPr>
              <w:ind w:left="640"/>
              <w:spacing w:after="0" w:line="201" w:lineRule="exact"/>
              <w:rPr>
                <w:sz w:val="20"/>
                <w:szCs w:val="20"/>
                <w:color w:val="auto"/>
              </w:rPr>
            </w:pPr>
            <w:r>
              <w:rPr>
                <w:rFonts w:ascii="Arial" w:cs="Arial" w:eastAsia="Arial" w:hAnsi="Arial"/>
                <w:sz w:val="18"/>
                <w:szCs w:val="18"/>
                <w:color w:val="auto"/>
                <w:w w:val="97"/>
              </w:rPr>
              <w:t>Section 13.5</w:t>
            </w:r>
          </w:p>
        </w:tc>
        <w:tc>
          <w:tcPr>
            <w:tcW w:w="9120" w:type="dxa"/>
            <w:vAlign w:val="bottom"/>
          </w:tcPr>
          <w:p>
            <w:pPr>
              <w:ind w:left="20"/>
              <w:spacing w:after="0" w:line="201" w:lineRule="exact"/>
              <w:rPr>
                <w:sz w:val="20"/>
                <w:szCs w:val="20"/>
                <w:color w:val="auto"/>
              </w:rPr>
            </w:pPr>
            <w:r>
              <w:rPr>
                <w:rFonts w:ascii="Arial" w:cs="Arial" w:eastAsia="Arial" w:hAnsi="Arial"/>
                <w:sz w:val="18"/>
                <w:szCs w:val="18"/>
                <w:color w:val="auto"/>
                <w:w w:val="94"/>
              </w:rPr>
              <w:t>Deposited Money, U.S. Government Obligations and Foreign Government Obligations to be Held in Trust; Miscellaneous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120" w:type="dxa"/>
            <w:vAlign w:val="bottom"/>
          </w:tcPr>
          <w:p>
            <w:pPr>
              <w:ind w:left="20"/>
              <w:spacing w:after="0"/>
              <w:rPr>
                <w:sz w:val="20"/>
                <w:szCs w:val="20"/>
                <w:color w:val="auto"/>
              </w:rPr>
            </w:pPr>
            <w:r>
              <w:rPr>
                <w:rFonts w:ascii="Arial" w:cs="Arial" w:eastAsia="Arial" w:hAnsi="Arial"/>
                <w:sz w:val="18"/>
                <w:szCs w:val="18"/>
                <w:color w:val="auto"/>
              </w:rPr>
              <w:t>Provisions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7"/>
              </w:rPr>
              <w:t>Section 13.6</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Reinstatement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964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ARTICLE 14</w:t>
            </w:r>
          </w:p>
        </w:tc>
        <w:tc>
          <w:tcPr>
            <w:tcW w:w="9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CONVERSION OF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w w:val="97"/>
              </w:rPr>
              <w:t>Section 14.1</w:t>
            </w:r>
          </w:p>
        </w:tc>
        <w:tc>
          <w:tcPr>
            <w:tcW w:w="9120" w:type="dxa"/>
            <w:vAlign w:val="bottom"/>
          </w:tcPr>
          <w:p>
            <w:pPr>
              <w:ind w:left="20"/>
              <w:spacing w:after="0"/>
              <w:rPr>
                <w:sz w:val="20"/>
                <w:szCs w:val="20"/>
                <w:color w:val="auto"/>
              </w:rPr>
            </w:pPr>
            <w:r>
              <w:rPr>
                <w:rFonts w:ascii="Arial" w:cs="Arial" w:eastAsia="Arial" w:hAnsi="Arial"/>
                <w:sz w:val="18"/>
                <w:szCs w:val="18"/>
                <w:color w:val="auto"/>
              </w:rPr>
              <w:t>Applicability of Article</w:t>
            </w: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7"/>
              </w:rPr>
              <w:t>Section 14.2</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Conversion Privilege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w w:val="97"/>
              </w:rPr>
              <w:t>Section 14.3</w:t>
            </w:r>
          </w:p>
        </w:tc>
        <w:tc>
          <w:tcPr>
            <w:tcW w:w="9120" w:type="dxa"/>
            <w:vAlign w:val="bottom"/>
          </w:tcPr>
          <w:p>
            <w:pPr>
              <w:ind w:left="20"/>
              <w:spacing w:after="0"/>
              <w:rPr>
                <w:sz w:val="20"/>
                <w:szCs w:val="20"/>
                <w:color w:val="auto"/>
              </w:rPr>
            </w:pPr>
            <w:r>
              <w:rPr>
                <w:rFonts w:ascii="Arial" w:cs="Arial" w:eastAsia="Arial" w:hAnsi="Arial"/>
                <w:sz w:val="18"/>
                <w:szCs w:val="18"/>
                <w:color w:val="auto"/>
              </w:rPr>
              <w:t>No Fractional Shares</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7"/>
              </w:rPr>
              <w:t>Section 14.4</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of Conversion Price or Conversion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w w:val="97"/>
              </w:rPr>
              <w:t>Section 14.5</w:t>
            </w:r>
          </w:p>
        </w:tc>
        <w:tc>
          <w:tcPr>
            <w:tcW w:w="9120" w:type="dxa"/>
            <w:vAlign w:val="bottom"/>
          </w:tcPr>
          <w:p>
            <w:pPr>
              <w:ind w:left="20"/>
              <w:spacing w:after="0"/>
              <w:rPr>
                <w:sz w:val="20"/>
                <w:szCs w:val="20"/>
                <w:color w:val="auto"/>
              </w:rPr>
            </w:pPr>
            <w:r>
              <w:rPr>
                <w:rFonts w:ascii="Arial" w:cs="Arial" w:eastAsia="Arial" w:hAnsi="Arial"/>
                <w:sz w:val="18"/>
                <w:szCs w:val="18"/>
                <w:color w:val="auto"/>
              </w:rPr>
              <w:t>Notice of Certain Corporate Actions. In case:</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7"/>
              </w:rPr>
              <w:t>Section 14.6</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Reservation of Shares of Common Stock</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w w:val="97"/>
              </w:rPr>
              <w:t>Section 14.7</w:t>
            </w:r>
          </w:p>
        </w:tc>
        <w:tc>
          <w:tcPr>
            <w:tcW w:w="9120" w:type="dxa"/>
            <w:vAlign w:val="bottom"/>
          </w:tcPr>
          <w:p>
            <w:pPr>
              <w:ind w:left="20"/>
              <w:spacing w:after="0"/>
              <w:rPr>
                <w:sz w:val="20"/>
                <w:szCs w:val="20"/>
                <w:color w:val="auto"/>
              </w:rPr>
            </w:pPr>
            <w:r>
              <w:rPr>
                <w:rFonts w:ascii="Arial" w:cs="Arial" w:eastAsia="Arial" w:hAnsi="Arial"/>
                <w:sz w:val="18"/>
                <w:szCs w:val="18"/>
                <w:color w:val="auto"/>
              </w:rPr>
              <w:t>Payment of Certain Taxes upon Conversion</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7"/>
              </w:rPr>
              <w:t>Section 14.8</w:t>
            </w:r>
          </w:p>
        </w:tc>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Nonassessability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w w:val="97"/>
              </w:rPr>
              <w:t>Section 14.9</w:t>
            </w:r>
          </w:p>
        </w:tc>
        <w:tc>
          <w:tcPr>
            <w:tcW w:w="9120" w:type="dxa"/>
            <w:vAlign w:val="bottom"/>
          </w:tcPr>
          <w:p>
            <w:pPr>
              <w:ind w:left="20"/>
              <w:spacing w:after="0"/>
              <w:rPr>
                <w:sz w:val="20"/>
                <w:szCs w:val="20"/>
                <w:color w:val="auto"/>
              </w:rPr>
            </w:pPr>
            <w:r>
              <w:rPr>
                <w:rFonts w:ascii="Arial" w:cs="Arial" w:eastAsia="Arial" w:hAnsi="Arial"/>
                <w:sz w:val="18"/>
                <w:szCs w:val="18"/>
                <w:color w:val="auto"/>
              </w:rPr>
              <w:t>Provision in Case of Consolidation, Merger or Sale of Assets</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Section 14.10 Duties of Trustee Regarding Conversion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40" w:type="dxa"/>
            <w:vAlign w:val="bottom"/>
            <w:gridSpan w:val="2"/>
          </w:tcPr>
          <w:p>
            <w:pPr>
              <w:ind w:left="640"/>
              <w:spacing w:after="0"/>
              <w:rPr>
                <w:sz w:val="20"/>
                <w:szCs w:val="20"/>
                <w:color w:val="auto"/>
              </w:rPr>
            </w:pPr>
            <w:r>
              <w:rPr>
                <w:rFonts w:ascii="Arial" w:cs="Arial" w:eastAsia="Arial" w:hAnsi="Arial"/>
                <w:sz w:val="18"/>
                <w:szCs w:val="18"/>
                <w:color w:val="auto"/>
                <w:w w:val="88"/>
              </w:rPr>
              <w:t>Section 14.11</w:t>
            </w:r>
          </w:p>
        </w:tc>
        <w:tc>
          <w:tcPr>
            <w:tcW w:w="9120" w:type="dxa"/>
            <w:vAlign w:val="bottom"/>
          </w:tcPr>
          <w:p>
            <w:pPr>
              <w:ind w:left="20"/>
              <w:spacing w:after="0"/>
              <w:rPr>
                <w:sz w:val="20"/>
                <w:szCs w:val="20"/>
                <w:color w:val="auto"/>
              </w:rPr>
            </w:pPr>
            <w:r>
              <w:rPr>
                <w:rFonts w:ascii="Arial" w:cs="Arial" w:eastAsia="Arial" w:hAnsi="Arial"/>
                <w:sz w:val="18"/>
                <w:szCs w:val="18"/>
                <w:color w:val="auto"/>
              </w:rPr>
              <w:t>Repayment of Certain Funds upon Conversion</w:t>
            </w: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680" w:type="dxa"/>
            <w:vAlign w:val="bottom"/>
          </w:tcPr>
          <w:p>
            <w:pPr>
              <w:ind w:left="4160"/>
              <w:spacing w:after="0"/>
              <w:rPr>
                <w:sz w:val="20"/>
                <w:szCs w:val="20"/>
                <w:color w:val="auto"/>
              </w:rPr>
            </w:pPr>
            <w:r>
              <w:rPr>
                <w:rFonts w:ascii="Arial" w:cs="Arial" w:eastAsia="Arial" w:hAnsi="Arial"/>
                <w:sz w:val="18"/>
                <w:szCs w:val="18"/>
                <w:color w:val="auto"/>
              </w:rPr>
              <w:t>IMPRIMIS PHARMACEUTICALS, INC.</w:t>
            </w:r>
          </w:p>
        </w:tc>
        <w:tc>
          <w:tcPr>
            <w:tcW w:w="1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80" w:type="dxa"/>
            <w:vAlign w:val="bottom"/>
          </w:tcPr>
          <w:p>
            <w:pPr>
              <w:ind w:left="640"/>
              <w:spacing w:after="0"/>
              <w:rPr>
                <w:sz w:val="20"/>
                <w:szCs w:val="20"/>
                <w:color w:val="auto"/>
              </w:rPr>
            </w:pPr>
            <w:r>
              <w:rPr>
                <w:rFonts w:ascii="Arial" w:cs="Arial" w:eastAsia="Arial" w:hAnsi="Arial"/>
                <w:sz w:val="18"/>
                <w:szCs w:val="18"/>
                <w:color w:val="auto"/>
                <w:w w:val="97"/>
              </w:rPr>
              <w:t>Certain Sections of this Indenture relating to Sections 310 through 318, inclusive, of the Trust Indenture Act of 1939:</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Section 310(a) (1)</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(a)(2)</w:t>
            </w:r>
          </w:p>
        </w:tc>
        <w:tc>
          <w:tcPr>
            <w:tcW w:w="172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(a)(3)</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(a)(4)</w:t>
            </w:r>
          </w:p>
        </w:tc>
        <w:tc>
          <w:tcPr>
            <w:tcW w:w="172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Section 311(a)</w:t>
            </w:r>
          </w:p>
        </w:tc>
        <w:tc>
          <w:tcPr>
            <w:tcW w:w="1720" w:type="dxa"/>
            <w:vAlign w:val="bottom"/>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Section 312(a)</w:t>
            </w:r>
          </w:p>
        </w:tc>
        <w:tc>
          <w:tcPr>
            <w:tcW w:w="1720" w:type="dxa"/>
            <w:vAlign w:val="bottom"/>
          </w:tcPr>
          <w:p>
            <w:pPr>
              <w:jc w:val="right"/>
              <w:spacing w:after="0"/>
              <w:rPr>
                <w:sz w:val="20"/>
                <w:szCs w:val="20"/>
                <w:color w:val="auto"/>
              </w:rPr>
            </w:pPr>
            <w:r>
              <w:rPr>
                <w:rFonts w:ascii="Arial" w:cs="Arial" w:eastAsia="Arial" w:hAnsi="Arial"/>
                <w:sz w:val="18"/>
                <w:szCs w:val="18"/>
                <w:color w:val="auto"/>
              </w:rPr>
              <w:t>7.1, 7.2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w:t>
            </w:r>
          </w:p>
        </w:tc>
        <w:tc>
          <w:tcPr>
            <w:tcW w:w="172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Section 313(a)</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(b)</w:t>
            </w:r>
          </w:p>
        </w:tc>
        <w:tc>
          <w:tcPr>
            <w:tcW w:w="172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(d)</w:t>
            </w:r>
          </w:p>
        </w:tc>
        <w:tc>
          <w:tcPr>
            <w:tcW w:w="172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Section 314(a)</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(a)(4)</w:t>
            </w:r>
          </w:p>
        </w:tc>
        <w:tc>
          <w:tcPr>
            <w:tcW w:w="1720" w:type="dxa"/>
            <w:vAlign w:val="bottom"/>
          </w:tcPr>
          <w:p>
            <w:pPr>
              <w:jc w:val="right"/>
              <w:spacing w:after="0"/>
              <w:rPr>
                <w:sz w:val="20"/>
                <w:szCs w:val="20"/>
                <w:color w:val="auto"/>
              </w:rPr>
            </w:pPr>
            <w:r>
              <w:rPr>
                <w:rFonts w:ascii="Arial" w:cs="Arial" w:eastAsia="Arial" w:hAnsi="Arial"/>
                <w:sz w:val="18"/>
                <w:szCs w:val="18"/>
                <w:color w:val="auto"/>
              </w:rPr>
              <w:t>10.1, 10.4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(c)(1)</w:t>
            </w: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(c)(3)</w:t>
            </w:r>
          </w:p>
        </w:tc>
        <w:tc>
          <w:tcPr>
            <w:tcW w:w="172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(e)</w:t>
            </w:r>
          </w:p>
        </w:tc>
        <w:tc>
          <w:tcPr>
            <w:tcW w:w="17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Section 315(a)</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(b)</w:t>
            </w:r>
          </w:p>
        </w:tc>
        <w:tc>
          <w:tcPr>
            <w:tcW w:w="172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(d)</w:t>
            </w:r>
          </w:p>
        </w:tc>
        <w:tc>
          <w:tcPr>
            <w:tcW w:w="17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Section 316(a)</w:t>
            </w:r>
          </w:p>
        </w:tc>
        <w:tc>
          <w:tcPr>
            <w:tcW w:w="17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(a)(1)(A)</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(a)(1)(B)</w:t>
            </w:r>
          </w:p>
        </w:tc>
        <w:tc>
          <w:tcPr>
            <w:tcW w:w="1720" w:type="dxa"/>
            <w:vAlign w:val="bottom"/>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(b)</w:t>
            </w:r>
          </w:p>
        </w:tc>
        <w:tc>
          <w:tcPr>
            <w:tcW w:w="172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Section 317(a) (1)</w:t>
            </w:r>
          </w:p>
        </w:tc>
        <w:tc>
          <w:tcPr>
            <w:tcW w:w="172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(a)(2)</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(b)</w:t>
            </w:r>
          </w:p>
        </w:tc>
        <w:tc>
          <w:tcPr>
            <w:tcW w:w="172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Section 318(a)</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NOTE:</w:t>
      </w:r>
      <w:r>
        <w:rPr>
          <w:sz w:val="20"/>
          <w:szCs w:val="20"/>
          <w:color w:val="auto"/>
        </w:rPr>
        <w:tab/>
      </w:r>
      <w:r>
        <w:rPr>
          <w:rFonts w:ascii="Arial" w:cs="Arial" w:eastAsia="Arial" w:hAnsi="Arial"/>
          <w:sz w:val="16"/>
          <w:szCs w:val="16"/>
          <w:color w:val="auto"/>
        </w:rPr>
        <w:t>This reconciliation and tie shall not, for any purpose, be deemed to be a part of the Indenture.</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ind w:firstLine="648"/>
        <w:spacing w:after="0" w:line="291" w:lineRule="auto"/>
        <w:rPr>
          <w:sz w:val="20"/>
          <w:szCs w:val="20"/>
          <w:color w:val="auto"/>
        </w:rPr>
      </w:pPr>
      <w:r>
        <w:rPr>
          <w:rFonts w:ascii="Arial" w:cs="Arial" w:eastAsia="Arial" w:hAnsi="Arial"/>
          <w:sz w:val="16"/>
          <w:szCs w:val="16"/>
          <w:color w:val="auto"/>
        </w:rPr>
        <w:t>INDENTURE, dated as of , 20 , between IMPRIMIS PHARMACEUTICALS, INC., a corporation duly organized and existing under the laws of the State of Delaware (herein called the “Company”), having its principal executive office at 12264 El Camino Real, Suite 350, San Diego, CA 92130 and</w:t>
      </w:r>
    </w:p>
    <w:p>
      <w:pPr>
        <w:ind w:left="360"/>
        <w:spacing w:after="0"/>
        <w:rPr>
          <w:sz w:val="20"/>
          <w:szCs w:val="20"/>
          <w:color w:val="auto"/>
        </w:rPr>
      </w:pPr>
      <w:r>
        <w:rPr>
          <w:rFonts w:ascii="Arial" w:cs="Arial" w:eastAsia="Arial" w:hAnsi="Arial"/>
          <w:sz w:val="18"/>
          <w:szCs w:val="18"/>
          <w:color w:val="auto"/>
        </w:rPr>
        <w:t>, as Trustee (herein called the “Trustee”).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provided in this Indenture.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series thereof appertaining,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left="1820" w:hanging="515"/>
        <w:spacing w:after="0"/>
        <w:tabs>
          <w:tab w:leader="none" w:pos="18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236" w:lineRule="exact"/>
        <w:rPr>
          <w:rFonts w:ascii="Arial" w:cs="Arial" w:eastAsia="Arial" w:hAnsi="Arial"/>
          <w:sz w:val="17"/>
          <w:szCs w:val="17"/>
          <w:color w:val="auto"/>
        </w:rPr>
      </w:pPr>
    </w:p>
    <w:p>
      <w:pPr>
        <w:ind w:left="660" w:firstLine="645"/>
        <w:spacing w:after="0" w:line="277" w:lineRule="auto"/>
        <w:tabs>
          <w:tab w:leader="none" w:pos="189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200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generally accepted accounting principles in the United States of America, and, except as otherwise herein expressly provided, the term “generally accepted accounting principles” with respect to any computation required or permitted hereunder shall mean such accounting principles in the United States of America as are generally accepted at the date of such computation;</w:t>
      </w:r>
    </w:p>
    <w:p>
      <w:pPr>
        <w:spacing w:after="0" w:line="186" w:lineRule="exact"/>
        <w:rPr>
          <w:rFonts w:ascii="Arial" w:cs="Arial" w:eastAsia="Arial" w:hAnsi="Arial"/>
          <w:sz w:val="18"/>
          <w:szCs w:val="18"/>
          <w:color w:val="auto"/>
        </w:rPr>
      </w:pPr>
    </w:p>
    <w:p>
      <w:pPr>
        <w:ind w:left="1820" w:hanging="515"/>
        <w:spacing w:after="0"/>
        <w:tabs>
          <w:tab w:leader="none" w:pos="1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references to “$” refer to the lawful currency of the United States of America;</w:t>
      </w:r>
    </w:p>
    <w:p>
      <w:pPr>
        <w:spacing w:after="0" w:line="225" w:lineRule="exact"/>
        <w:rPr>
          <w:rFonts w:ascii="Arial" w:cs="Arial" w:eastAsia="Arial" w:hAnsi="Arial"/>
          <w:sz w:val="18"/>
          <w:szCs w:val="18"/>
          <w:color w:val="auto"/>
        </w:rPr>
      </w:pPr>
    </w:p>
    <w:p>
      <w:pPr>
        <w:ind w:left="660" w:firstLine="645"/>
        <w:spacing w:after="0" w:line="277" w:lineRule="auto"/>
        <w:tabs>
          <w:tab w:leader="none" w:pos="1874"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Indenture; and</w:t>
      </w:r>
    </w:p>
    <w:p>
      <w:pPr>
        <w:spacing w:after="0" w:line="170" w:lineRule="exact"/>
        <w:rPr>
          <w:rFonts w:ascii="Arial" w:cs="Arial" w:eastAsia="Arial" w:hAnsi="Arial"/>
          <w:sz w:val="18"/>
          <w:szCs w:val="18"/>
          <w:color w:val="auto"/>
        </w:rPr>
      </w:pPr>
    </w:p>
    <w:p>
      <w:pPr>
        <w:ind w:left="660" w:firstLine="645"/>
        <w:spacing w:after="0" w:line="277" w:lineRule="auto"/>
        <w:tabs>
          <w:tab w:leader="none" w:pos="19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“Act,” when used with respect to any Holder, has the meaning specified in Section 1.4. “Additional Interest” has the meaning specified in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5.2(b).</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jc w:val="both"/>
        <w:ind w:firstLine="648"/>
        <w:spacing w:after="0" w:line="277" w:lineRule="auto"/>
        <w:rPr>
          <w:sz w:val="20"/>
          <w:szCs w:val="20"/>
          <w:color w:val="auto"/>
        </w:rPr>
      </w:pPr>
      <w:r>
        <w:rPr>
          <w:rFonts w:ascii="Arial" w:cs="Arial" w:eastAsia="Arial" w:hAnsi="Arial"/>
          <w:sz w:val="18"/>
          <w:szCs w:val="18"/>
          <w:color w:val="auto"/>
        </w:rPr>
        <w:t>“Authenticating Agent” means any Person authorized by the Trustee pursuant to Section 6.14 to act on behalf of the Trustee to authenticate Securities of one or more series.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“Board of Directors” means either the board of directors of the Company or any duly authorized committee of that board empowered to act for it with respect to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provided, however, subject to the provisions of Section 14.9, shares issuable upon conversion of Securities shall include only shares of the class designated as Common Stock of the Company at the date of this Indenture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provided, further,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“Company” means the corporation named as the “Company”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“Company Request” or “Company Order” means a written request or order signed in the name of the Company by its Chairman of the Board, its Vice Chairman of the Board, its Chief Executive Officer, its President or a Vice President, and by its principal financial officer, its Treasurer, an Assistant Treasurer, its Secretary or an Assistant Secretary, and delivered to the Trustee.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“Constituent Person” has the meaning specified in Section 14.9.</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“Corporate Trust Office” means the corporate trust office of the Trustee at , Attention: Corporate Trust Department, or such other office, designated by the Trustee by written notice to the Company, at which at any particular time its corporate trust business shall be administered.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“corporation” means a corporation, association, company, joint-stock company or business trust. “Covenant Defeasance” has the meaning specified in Section 13.3.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“Defaulted Interest” has the meaning specified in Section 3.7.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color w:val="auto"/>
        </w:rPr>
        <w:t>“Defeasance” has the meaning specified in Section 13.2.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3.1.</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“euro” or “euros” means the currency adopted by those nations participating in the third stage of the economic and monetary union provisions of the Treaty on European Union, signed at Maastricht on February 7, 1992.</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“European Economic Area” means the member nations of the European Economic Area pursuant to the Oporto Agreement on the European Economic Area dated May 2, 1992, as amended.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“European Union” means the member nations of the European Union established by the Treaty of European Union, signed at Maastricht on February 7, 1992, which amended the Treaty of Rome establishing the European Community.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has the meaning specified in Section 5.1.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“Exchange Act” means the Securities Exchange Act of 1934 and any statute successor thereto, in each case as amended from time to time.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 has the meaning specified in Section 1.4.</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“Foreign Government Obligation” means with respect to Securities of any series which are not denominated in the currency of the United States of America (x) any security which is (i) a direct obligation of the government which issued or caused to be issued the currency in which such security is denominated and for the payment of which obligations its full faith and credit is pledged or, with respect to Securities of any series which are denominated in euros, a direct obligation of any member nation of the European Union for the payment of which obligation the full faith and credit of the respective nation is pledged so long as such nation has a credit rating at least equal to that of the highest rated member nation of the European Economic Area, or (ii) an obligation of a Person controlled or supervised by and acting as an agency or instrumentality of a government specified in clause (i) above the payment of which is unconditionally guaranteed as a full faith and credit obligation by the such government, which, in either case (i) or (ii), is not callable or redeemable at the option of the issuer thereof, and (y) any depositary receipt issued by a bank (as defined in Section 3(a)(2) of the Securities Act) as custodian with respect to any Foreign Government Obligation which is specified in clause (x) above and held by such bank for the account of the holder of such depositary receipt, or with respect to any specific payment of principal of or interest on any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“Global Security” means a Security that evidences all or part of the Securities of any series and bears the legend set forth in Section 2.4 (or such legend as may be specified as contemplated by Section 3.1 for such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 means a Person in whose name a Security is registered in the Security Register.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 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jc w:val="both"/>
        <w:ind w:firstLine="648"/>
        <w:spacing w:after="0" w:line="277" w:lineRule="auto"/>
        <w:rPr>
          <w:sz w:val="20"/>
          <w:szCs w:val="20"/>
          <w:color w:val="auto"/>
        </w:rPr>
      </w:pPr>
      <w:r>
        <w:rPr>
          <w:rFonts w:ascii="Arial" w:cs="Arial" w:eastAsia="Arial" w:hAnsi="Arial"/>
          <w:sz w:val="18"/>
          <w:szCs w:val="18"/>
          <w:color w:val="auto"/>
        </w:rPr>
        <w:t>“interest,” when used with respect to an Original Issue Discount Security, which by its terms bears interest only after Maturity, means interest payable after Maturity.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Payment Date,” when used with respect to any Security, means the Stated Maturity of an installment of interest on such Security.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“Investment Company Act” means the Investment Company Act of 1940 and any statute successor thereto, in each case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“Maturity,” when used with respect to any Security, means the date on which the principal of such Security or an installment of principal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becomes due and payable as therein or herein provided, whether at the Stated Maturity or by declaration of acceleration, repurchase at the option of the Holder, upon redemption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“Non-electing Share” has the meaning specified in Section 14.9.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Default” means a written notice of the kind specified in Section 5.1(4).</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“Officers’ Certificate” means a certificate signed by the Chairman of the Board, a Vice Chairman of the Board, the Chief Executive Officer, the President or a Vice President, and by the principal financial officer, the Treasurer, an Assistant Treasurer, the Secretary or an Assistant Secretary, of the Company, and delivered to the Trustee. One of the officers signing an Officers’ Certificate given pursuant to Section 10.4 shall be the principal executive, financial or accounting officer of the Company.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for, or an employee of, the Company, and who shall be reasonably acceptable to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“Original Issue Discount Security” means any Security that provides for an amount less than the principal amount thereof to be due and payable upon a declaration of acceleration of the Maturity thereof pursuant to Section 5.2.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“Outstanding,” when used with respect to Securities, means, as of the date of determination, all Securities theretofore authenticated and delivered under this Indenture, except</w:t>
      </w:r>
    </w:p>
    <w:p>
      <w:pPr>
        <w:spacing w:after="0" w:line="170" w:lineRule="exact"/>
        <w:rPr>
          <w:sz w:val="20"/>
          <w:szCs w:val="20"/>
          <w:color w:val="auto"/>
        </w:rPr>
      </w:pPr>
    </w:p>
    <w:p>
      <w:pPr>
        <w:ind w:left="1240" w:hanging="260"/>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225" w:lineRule="exact"/>
        <w:rPr>
          <w:rFonts w:ascii="Arial" w:cs="Arial" w:eastAsia="Arial" w:hAnsi="Arial"/>
          <w:sz w:val="18"/>
          <w:szCs w:val="18"/>
          <w:color w:val="auto"/>
        </w:rPr>
      </w:pPr>
    </w:p>
    <w:p>
      <w:pPr>
        <w:jc w:val="both"/>
        <w:ind w:left="660" w:firstLine="320"/>
        <w:spacing w:after="0" w:line="259" w:lineRule="auto"/>
        <w:tabs>
          <w:tab w:leader="none" w:pos="12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186" w:lineRule="exact"/>
        <w:rPr>
          <w:rFonts w:ascii="Arial" w:cs="Arial" w:eastAsia="Arial" w:hAnsi="Arial"/>
          <w:sz w:val="18"/>
          <w:szCs w:val="18"/>
          <w:color w:val="auto"/>
        </w:rPr>
      </w:pPr>
    </w:p>
    <w:p>
      <w:pPr>
        <w:ind w:left="1240" w:hanging="260"/>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Securities as to which Defeasance has been effected pursuant to Section 13.2;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jc w:val="both"/>
        <w:ind w:left="660" w:firstLine="320"/>
        <w:spacing w:after="0" w:line="312" w:lineRule="auto"/>
        <w:tabs>
          <w:tab w:leader="none" w:pos="1246" w:val="left"/>
        </w:tabs>
        <w:numPr>
          <w:ilvl w:val="0"/>
          <w:numId w:val="39"/>
        </w:numPr>
        <w:rPr>
          <w:rFonts w:ascii="Arial" w:cs="Arial" w:eastAsia="Arial" w:hAnsi="Arial"/>
          <w:sz w:val="16"/>
          <w:szCs w:val="16"/>
          <w:color w:val="auto"/>
        </w:rPr>
      </w:pPr>
      <w:r>
        <w:rPr>
          <w:rFonts w:ascii="Arial" w:cs="Arial" w:eastAsia="Arial" w:hAnsi="Arial"/>
          <w:sz w:val="16"/>
          <w:szCs w:val="16"/>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5.2, (B) if, as of such date, the principal amount payable at the Stated Maturity of a Security is not determinable, the principal amount of such Security which shall be deemed to be Outstanding shall be the amount as specified or determined as contemplated by Section 3. 1, (C) the principal amount of a Security denominated in one or more non-U.S. dollar currencies or currency units which shall be deemed to be Outstanding shall be the U.S. dollar equivalent, determined as of such date in the manner provided as contemplated by Section 3. 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“Paying Agent” means any Person authorized by the Company to pay the principal of or any premium or interest on any Securities on behalf of the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trust, unincorporated organization or government or any agency or political subdivision thereof.</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“Place of Payment,” when used with respect to the Securities of any series, means the place or places where the principal of and any premium and interest on the Securities of that series are payable as specified as contemplated by Section 3.1.</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“Record Date” means any Regular Record Date or Special Record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“Redemption Date,” when used with respect to any Security to be redeemed, means the date fixed for such redemption by or pursuant to this Indenture.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“Redemption Price,” when used with respect to any Security to be redeemed, means the price at which it is to be redeemed pursuant to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“Regular Record Date” for the interest payable on any Interest Payment Date on the Securities of any series means the date specified for that purpose as contemplated by Section 3.1.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“Reporting Default” has the meaning specified in Section 5.2(b).</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“Responsible Officer” means, when used with respect to the Trustee, an officer of the Trustee in the Corporate Trust Office assigned and duly authorized by the Trustee to administer its corporate trust matters.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jc w:val="both"/>
        <w:ind w:firstLine="648"/>
        <w:spacing w:after="0" w:line="277" w:lineRule="auto"/>
        <w:rPr>
          <w:sz w:val="20"/>
          <w:szCs w:val="20"/>
          <w:color w:val="auto"/>
        </w:rPr>
      </w:pPr>
      <w:r>
        <w:rPr>
          <w:rFonts w:ascii="Arial" w:cs="Arial" w:eastAsia="Arial" w:hAnsi="Arial"/>
          <w:sz w:val="18"/>
          <w:szCs w:val="18"/>
          <w:color w:val="auto"/>
        </w:rPr>
        <w:t>“Securities” has the meaning stated in the first recital of this Indenture and more particularly means any Securities authenticated and delivered under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“Securities Act” means the Securities Act of 1933 and any statute successor thereto, in each case as amended from time to time. “Security Register” and “Security Registrar” have the respective meanings specified in Section 3.5.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3.7.</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“Subsidiary” means a Person of which at least a majority of the outstanding voting stock having the power to elect a majority of the board of directors of such Person (in the case of a corporation) is, or of which at least a majority of the equity interests (in the case of a Person which is not a corporation) are, at the time owned, directly or indirectly, by the Company or by one or more other Subsidiaries, or by the Company and one or more other Subsidiaries. For the purposes of this definition, “voting stock” means stock or similar interests to the Company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“Trust Indenture Act” means the Trust Indenture Act of 1939 as in force at the date as of which this instrument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“Vice President,” when used with respect to the Company or the Trustee, means any vice president, whether or not designated by a number or a word or words added before or after the title “vice president.”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Compliance Certificates and Opinions.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225" w:lineRule="exact"/>
        <w:rPr>
          <w:sz w:val="20"/>
          <w:szCs w:val="20"/>
          <w:color w:val="auto"/>
        </w:rPr>
      </w:pPr>
    </w:p>
    <w:p>
      <w:pPr>
        <w:ind w:left="1240" w:hanging="260"/>
        <w:spacing w:after="0"/>
        <w:tabs>
          <w:tab w:leader="none" w:pos="12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 relating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210" w:lineRule="exact"/>
        <w:rPr>
          <w:rFonts w:ascii="Arial" w:cs="Arial" w:eastAsia="Arial" w:hAnsi="Arial"/>
          <w:sz w:val="16"/>
          <w:szCs w:val="16"/>
          <w:color w:val="auto"/>
        </w:rPr>
      </w:pPr>
    </w:p>
    <w:p>
      <w:pPr>
        <w:ind w:left="660" w:firstLine="320"/>
        <w:spacing w:after="0" w:line="277" w:lineRule="auto"/>
        <w:tabs>
          <w:tab w:leader="none" w:pos="125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firstLine="320"/>
        <w:spacing w:after="0" w:line="277" w:lineRule="auto"/>
        <w:tabs>
          <w:tab w:leader="none" w:pos="12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1240" w:hanging="260"/>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Form of Documents Delivered to Trustee.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Section 1.4 Acts of Holders; Record Dates.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The Trustee shall promptly deliver to the Company copies of all such instrument or instruments delivered to the Trustee.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6.1) conclusive in favor of the Trustee and the Company, if made in the manner provided in this Section.</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that the Trustee deems sufficient.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color w:val="auto"/>
        </w:rPr>
        <w:t>The ownership of Securities shall be proved by the Security Register.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The Company may set any day as a record date for the purpose of determining the Holders of Outstanding Securities of any series entitled to give, make or take any request, demand, authorization, direction, vote, notice, consent, waiver or other action provided or permitted by this Indenture to be given, made or taken by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1.6.</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Trustee may set any day as a record date for the purpose of determining the Holders of Outstanding Securities of any series entitled to join in the giving or making of (i) any Notice of Default, (ii) any declaration of acceleration referred to in Section 5.2, (iii) any request to institute proceedings referred to in Section 5.7(2)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1.6.</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With respect to any record date set pursuant to this Section, the party hereto which sets such record dates may designate any day as the “Expiration Date” and from time to time may change the Expiration Date to any earlier or later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change shall be effective unless notice of the proposed new Expiration Date is given to the other party hereto in writing, and to each Holder of Securities of the relevant series in the manner set forth in Section 1.6,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jc w:val="both"/>
        <w:ind w:firstLine="648"/>
        <w:spacing w:after="0" w:line="264"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Notices, etc., to Trustee and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jc w:val="both"/>
        <w:ind w:left="660" w:firstLine="645"/>
        <w:spacing w:after="0" w:line="264" w:lineRule="auto"/>
        <w:tabs>
          <w:tab w:leader="none" w:pos="19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Trustee by any Holder or by the Company shall be sufficient for every purpose hereunder if made, given, furnished or filed in writing (or by facsimile transmissions,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oral confirmation of receipt shall have been received) to or with the Trustee at its Corporate Trust Office, Attention: Corporate Trust Department, or</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9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(unless otherwise herein expressly provided) if in writing and mailed, first-class postage prepaid, personally delivered or sent via overnight courier to the Company addressed to it at the address of its principal office specified in the first paragraph of this instrument or at any other address previously furnished in writing to the Trustee by the Company, Attention: Chief Financial Officer.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Notice to Holders; Waiver.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 this Indenture provides for notice to Holders of any event, such notice shall be sufficiently given (unless otherwise herein expressly provided) if in writing and mailed, first-class postage prepaid, or delivered by hand or overnight courier to each Holder affected by such event, at its address as it appears in the Security Register, not later than the latest date (if any), and not earlier than the earliest date (if any), prescribed for the giving of such notice. Neither the failure to mail or deliver by hand or overnight courier any notice, nor any defect in any notice so mailed or delivered by hand or overnight courier,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Waivers of notice by Holders shall be filed with the Trustee, but such filing shall not be a condition precedent to the validity of any action taken in reliance upon such waiver.</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Conflict with Trust Indenture Act.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provision hereof limits, qualifies or conflicts with a provision of the Trust Indenture Act that is required under the Trust Indenture Act to be a part of and govern this Indenture, the latter provision shall control. If any provision of this Indenture modifies or excludes any provision of the Trust Indenture Act, that may be so modified or excluded, the latter provision shall be deemed to apply to this Indenture as so modified or to be excluded, as the case may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Section 1.8 Effect of Headings and Table of Contents.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Article and Section headings herein and the Table of Contents are for convenience only and shall not affect the construction hereof.</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Successors and Assigns.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 Separability Clause.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Benefits of Indenture.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INDENTURE AND THE SECURITIES SHALL BE GOVERNED BY AND CONSTRUED IN ACCORDANCE WITH THE LAWS OF THE STATE OF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Legal Holidays.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any case where any Interest Payment Date, Redemption Date or Stated Maturity of any Security or the last date on which a Holder has the right to convert a Security at a particular conversion price or conversion rate, as the case may be,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if applicable to a particular series of Securities, conversion need not be made at such Place of Payment on such date, but may be made on the next succeeding Business Day at such Place of Payment with the same force and effect as if made on the Interest Payment Date or Redemption Date, at the Stated Maturity or on such last day for conversion, as the case may be.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Indenture and Securities Solely Corporate Obligations.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recourse for the payment of the principal of or premium, if any, or interest on any Security,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Indenture May be Executed in Counterparts.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FORMS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Forms Generally.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3.3 for the authentication and delivery of such Securities. Any such Board Resolution or record of such action shall have attached thereto a true and correct copy of the form of Security referred to therein approved by or pursuant to such Board Resolution.</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Form of Face of Security.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ANY LEGEND REQUIRED BY THE INTERNAL REVENUE CODE AND THE REGULATIONS THEREUNDER.]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ectPr>
          <w:pgSz w:w="11900" w:h="16838" w:orient="portrait"/>
          <w:cols w:equalWidth="0" w:num="1">
            <w:col w:w="11420"/>
          </w:cols>
          <w:pgMar w:left="240" w:top="661"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NO. 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$______</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CUSIP:______</w:t>
      </w:r>
    </w:p>
    <w:p>
      <w:pPr>
        <w:spacing w:after="0" w:line="200" w:lineRule="exact"/>
        <w:rPr>
          <w:sz w:val="20"/>
          <w:szCs w:val="20"/>
          <w:color w:val="auto"/>
        </w:rPr>
      </w:pPr>
    </w:p>
    <w:p>
      <w:pPr>
        <w:sectPr>
          <w:pgSz w:w="11900" w:h="16838" w:orient="portrait"/>
          <w:cols w:equalWidth="0" w:num="2">
            <w:col w:w="9600" w:space="720"/>
            <w:col w:w="1100"/>
          </w:cols>
          <w:pgMar w:left="240" w:top="661" w:right="239" w:bottom="1440" w:gutter="0" w:footer="0" w:header="0"/>
          <w:type w:val="continuous"/>
        </w:sectPr>
      </w:pPr>
    </w:p>
    <w:p>
      <w:pPr>
        <w:spacing w:after="0" w:line="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IMPRIMIS PHARMACEUTICALS, INC., a corporation duly organized and existing under the laws of Delaware (herein called the “Company,” which term includes any successor Person under the Indenture hereinafter referred to), for value received, hereby promises to pay to , or registered assigns, the principal sum of dollars on [</w:t>
      </w:r>
      <w:r>
        <w:rPr>
          <w:rFonts w:ascii="Arial" w:cs="Arial" w:eastAsia="Arial" w:hAnsi="Arial"/>
          <w:sz w:val="16"/>
          <w:szCs w:val="16"/>
          <w:b w:val="1"/>
          <w:bCs w:val="1"/>
          <w:color w:val="auto"/>
        </w:rPr>
        <w:t>if the Security is to bear interest prior to Maturity, insert —</w:t>
      </w:r>
      <w:r>
        <w:rPr>
          <w:rFonts w:ascii="Arial" w:cs="Arial" w:eastAsia="Arial" w:hAnsi="Arial"/>
          <w:sz w:val="16"/>
          <w:szCs w:val="16"/>
          <w:color w:val="auto"/>
        </w:rPr>
        <w:t xml:space="preserve"> , and to pay interest thereon from or from the most recent Interest Payment Date to which interest has been paid or duly provided for, semi-annually on and in each year, commencing , at the rate of % per annum, until the principal hereof is paid or made available for payment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principal and premium, and any such installment of interest, which is overdue shall bear interest at the rate of %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 or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51" w:name="page52"/>
    <w:bookmarkEnd w:id="51"/>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not to bear interest prior to Maturity, insert —</w:t>
      </w:r>
      <w:r>
        <w:rPr>
          <w:rFonts w:ascii="Arial" w:cs="Arial" w:eastAsia="Arial" w:hAnsi="Arial"/>
          <w:sz w:val="18"/>
          <w:szCs w:val="18"/>
          <w:color w:val="auto"/>
        </w:rPr>
        <w:t xml:space="preserve"> The principal of this Security shall not bear interest except in the case of a default in payment of principal upon acceleration, upon redemption or at Stated Maturity and in such case the overdue principal and any overdue premium shall bear interest at the rate of %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Payment of the principal of (and premium, if any) and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any such] interest on this Security will be made at the office or</w:t>
      </w:r>
    </w:p>
    <w:p>
      <w:pPr>
        <w:spacing w:after="0" w:line="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agency of the Company maintained for that purpose in , in such coin or currency of the United States of America as at the time of payment is legal tender for payment of public and private debts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the option of the Company payment of interest may be made by check mailed to the address of the Person entitled thereto as such address shall appear in the Security Register].</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Dated: _________</w:t>
            </w: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IMPRIMIS PHARMACEUTICALS, INC.</w:t>
            </w:r>
          </w:p>
        </w:tc>
      </w:tr>
      <w:tr>
        <w:trPr>
          <w:trHeight w:val="439"/>
        </w:trPr>
        <w:tc>
          <w:tcPr>
            <w:tcW w:w="3540" w:type="dxa"/>
            <w:vAlign w:val="bottom"/>
          </w:tcPr>
          <w:p>
            <w:pPr>
              <w:spacing w:after="0"/>
              <w:rPr>
                <w:sz w:val="24"/>
                <w:szCs w:val="24"/>
                <w:color w:val="auto"/>
              </w:rPr>
            </w:pPr>
          </w:p>
        </w:tc>
        <w:tc>
          <w:tcPr>
            <w:tcW w:w="2740" w:type="dxa"/>
            <w:vAlign w:val="bottom"/>
          </w:tcPr>
          <w:p>
            <w:pPr>
              <w:ind w:left="21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4"/>
                <w:szCs w:val="24"/>
                <w:color w:val="auto"/>
              </w:rPr>
            </w:pPr>
          </w:p>
        </w:tc>
      </w:tr>
      <w:tr>
        <w:trPr>
          <w:trHeight w:val="439"/>
        </w:trPr>
        <w:tc>
          <w:tcPr>
            <w:tcW w:w="3540" w:type="dxa"/>
            <w:vAlign w:val="bottom"/>
          </w:tcPr>
          <w:p>
            <w:pPr>
              <w:spacing w:after="0"/>
              <w:rPr>
                <w:sz w:val="24"/>
                <w:szCs w:val="24"/>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Title:</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ATTEST:</w:t>
            </w:r>
          </w:p>
        </w:tc>
        <w:tc>
          <w:tcPr>
            <w:tcW w:w="2740" w:type="dxa"/>
            <w:vAlign w:val="bottom"/>
          </w:tcPr>
          <w:p>
            <w:pPr>
              <w:spacing w:after="0"/>
              <w:rPr>
                <w:sz w:val="24"/>
                <w:szCs w:val="24"/>
                <w:color w:val="auto"/>
              </w:rPr>
            </w:pPr>
          </w:p>
        </w:tc>
        <w:tc>
          <w:tcPr>
            <w:tcW w:w="514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36188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Form of Reverse of Security.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Security is one of a duly authorized issue of securities of the Company (herein called the “Securities”), issued and to be issued in one or more</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series under an Indenture, dated as of (herein called the “Indenture,” which term shall have the meaning assigned to it in such instrument), between the Company and , as Trustee (herein called the “Trustee,” which term includes any successor trustee under the Indenture), and reference is hereby made to the</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Indenture and all indentures supplemental thereto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 limited in aggregate principal amount to $ ].</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The Securities of this series are subject to redemption upon not less than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30] days’ notice by mail, [</w:t>
      </w:r>
      <w:r>
        <w:rPr>
          <w:rFonts w:ascii="Arial" w:cs="Arial" w:eastAsia="Arial" w:hAnsi="Arial"/>
          <w:sz w:val="17"/>
          <w:szCs w:val="17"/>
          <w:b w:val="1"/>
          <w:bCs w:val="1"/>
          <w:color w:val="auto"/>
        </w:rPr>
        <w:t>if</w:t>
      </w:r>
    </w:p>
    <w:p>
      <w:pPr>
        <w:spacing w:after="0" w:line="39" w:lineRule="exact"/>
        <w:rPr>
          <w:sz w:val="20"/>
          <w:szCs w:val="20"/>
          <w:color w:val="auto"/>
        </w:rPr>
      </w:pPr>
    </w:p>
    <w:p>
      <w:pPr>
        <w:spacing w:after="0" w:line="265" w:lineRule="auto"/>
        <w:rPr>
          <w:sz w:val="20"/>
          <w:szCs w:val="20"/>
          <w:color w:val="auto"/>
        </w:rPr>
      </w:pPr>
      <w:r>
        <w:rPr>
          <w:rFonts w:ascii="Arial" w:cs="Arial" w:eastAsia="Arial" w:hAnsi="Arial"/>
          <w:sz w:val="17"/>
          <w:szCs w:val="17"/>
          <w:b w:val="1"/>
          <w:bCs w:val="1"/>
          <w:color w:val="auto"/>
        </w:rPr>
        <w:t xml:space="preserve">applicable, insert— </w:t>
      </w:r>
      <w:r>
        <w:rPr>
          <w:rFonts w:ascii="Arial" w:cs="Arial" w:eastAsia="Arial" w:hAnsi="Arial"/>
          <w:sz w:val="17"/>
          <w:szCs w:val="17"/>
          <w:color w:val="auto"/>
        </w:rPr>
        <w:t>(1) on in any year commencing with the year and ending with the year through operation of the sinking fund for this series at a</w:t>
      </w:r>
      <w:r>
        <w:rPr>
          <w:rFonts w:ascii="Arial" w:cs="Arial" w:eastAsia="Arial" w:hAnsi="Arial"/>
          <w:sz w:val="17"/>
          <w:szCs w:val="17"/>
          <w:b w:val="1"/>
          <w:bCs w:val="1"/>
          <w:color w:val="auto"/>
        </w:rPr>
        <w:t xml:space="preserve"> </w:t>
      </w:r>
      <w:r>
        <w:rPr>
          <w:rFonts w:ascii="Arial" w:cs="Arial" w:eastAsia="Arial" w:hAnsi="Arial"/>
          <w:sz w:val="17"/>
          <w:szCs w:val="17"/>
          <w:color w:val="auto"/>
        </w:rPr>
        <w:t>Redemption Price equal to 100% of the principal amount, and (2)] at any time [</w:t>
      </w:r>
      <w:r>
        <w:rPr>
          <w:rFonts w:ascii="Arial" w:cs="Arial" w:eastAsia="Arial" w:hAnsi="Arial"/>
          <w:sz w:val="17"/>
          <w:szCs w:val="17"/>
          <w:b w:val="1"/>
          <w:bCs w:val="1"/>
          <w:color w:val="auto"/>
        </w:rPr>
        <w:t>if applicable, insert—</w:t>
      </w:r>
      <w:r>
        <w:rPr>
          <w:rFonts w:ascii="Arial" w:cs="Arial" w:eastAsia="Arial" w:hAnsi="Arial"/>
          <w:sz w:val="17"/>
          <w:szCs w:val="17"/>
          <w:color w:val="auto"/>
        </w:rPr>
        <w:t xml:space="preserve"> on or after , 20 ], as a whole or in part, at the</w:t>
      </w:r>
    </w:p>
    <w:p>
      <w:pPr>
        <w:spacing w:after="0"/>
        <w:rPr>
          <w:sz w:val="20"/>
          <w:szCs w:val="20"/>
          <w:color w:val="auto"/>
        </w:rPr>
      </w:pPr>
      <w:r>
        <w:rPr>
          <w:rFonts w:ascii="Arial" w:cs="Arial" w:eastAsia="Arial" w:hAnsi="Arial"/>
          <w:sz w:val="16"/>
          <w:szCs w:val="16"/>
          <w:color w:val="auto"/>
        </w:rPr>
        <w:t>election of the Company, at the following Redemption Prices (expressed as percentages of the principal amount): If redeemed [</w:t>
      </w:r>
      <w:r>
        <w:rPr>
          <w:rFonts w:ascii="Arial" w:cs="Arial" w:eastAsia="Arial" w:hAnsi="Arial"/>
          <w:sz w:val="16"/>
          <w:szCs w:val="16"/>
          <w:b w:val="1"/>
          <w:bCs w:val="1"/>
          <w:color w:val="auto"/>
        </w:rPr>
        <w:t>if applicable, insert—</w:t>
      </w:r>
      <w:r>
        <w:rPr>
          <w:rFonts w:ascii="Arial" w:cs="Arial" w:eastAsia="Arial" w:hAnsi="Arial"/>
          <w:sz w:val="16"/>
          <w:szCs w:val="16"/>
          <w:color w:val="auto"/>
        </w:rPr>
        <w:t xml:space="preserve"> on or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before</w:t>
            </w:r>
          </w:p>
        </w:tc>
        <w:tc>
          <w:tcPr>
            <w:tcW w:w="10740" w:type="dxa"/>
            <w:vAlign w:val="bottom"/>
          </w:tcPr>
          <w:p>
            <w:pPr>
              <w:jc w:val="right"/>
              <w:ind w:right="4470"/>
              <w:spacing w:after="0"/>
              <w:rPr>
                <w:sz w:val="20"/>
                <w:szCs w:val="20"/>
                <w:color w:val="auto"/>
              </w:rPr>
            </w:pPr>
            <w:r>
              <w:rPr>
                <w:rFonts w:ascii="Arial" w:cs="Arial" w:eastAsia="Arial" w:hAnsi="Arial"/>
                <w:sz w:val="18"/>
                <w:szCs w:val="18"/>
                <w:color w:val="auto"/>
                <w:w w:val="93"/>
              </w:rPr>
              <w:t>, %, and if redeemed] during the 12-month period beginning of the years indicated,</w:t>
            </w:r>
          </w:p>
        </w:tc>
      </w:tr>
      <w:tr>
        <w:trPr>
          <w:trHeight w:val="425"/>
        </w:trPr>
        <w:tc>
          <w:tcPr>
            <w:tcW w:w="680" w:type="dxa"/>
            <w:vAlign w:val="bottom"/>
            <w:tcBorders>
              <w:bottom w:val="single" w:sz="8" w:color="auto"/>
            </w:tcBorders>
          </w:tcPr>
          <w:p>
            <w:pPr>
              <w:spacing w:after="0"/>
              <w:rPr>
                <w:sz w:val="24"/>
                <w:szCs w:val="24"/>
                <w:color w:val="auto"/>
              </w:rPr>
            </w:pPr>
          </w:p>
        </w:tc>
        <w:tc>
          <w:tcPr>
            <w:tcW w:w="10740" w:type="dxa"/>
            <w:vAlign w:val="bottom"/>
            <w:tcBorders>
              <w:bottom w:val="single" w:sz="8" w:color="auto"/>
            </w:tcBorders>
          </w:tcPr>
          <w:p>
            <w:pPr>
              <w:jc w:val="right"/>
              <w:ind w:right="547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661" w:right="239" w:bottom="1440" w:gutter="0" w:footer="0" w:header="0"/>
        </w:sectPr>
      </w:pPr>
    </w:p>
    <w:bookmarkStart w:id="52" w:name="page53"/>
    <w:bookmarkEnd w:id="52"/>
    <w:p>
      <w:pPr>
        <w:ind w:left="1440"/>
        <w:spacing w:after="0"/>
        <w:tabs>
          <w:tab w:leader="none" w:pos="3880" w:val="left"/>
          <w:tab w:leader="none" w:pos="7280" w:val="left"/>
          <w:tab w:leader="none" w:pos="8520" w:val="left"/>
        </w:tabs>
        <w:rPr>
          <w:sz w:val="20"/>
          <w:szCs w:val="20"/>
          <w:color w:val="auto"/>
        </w:rPr>
      </w:pPr>
      <w:r>
        <w:rPr>
          <w:rFonts w:ascii="Arial" w:cs="Arial" w:eastAsia="Arial" w:hAnsi="Arial"/>
          <w:sz w:val="18"/>
          <w:szCs w:val="18"/>
          <w:color w:val="auto"/>
        </w:rPr>
        <w:t>Year</w:t>
      </w:r>
      <w:r>
        <w:rPr>
          <w:sz w:val="20"/>
          <w:szCs w:val="20"/>
          <w:color w:val="auto"/>
        </w:rPr>
        <w:tab/>
      </w:r>
      <w:r>
        <w:rPr>
          <w:rFonts w:ascii="Arial" w:cs="Arial" w:eastAsia="Arial" w:hAnsi="Arial"/>
          <w:sz w:val="18"/>
          <w:szCs w:val="18"/>
          <w:color w:val="auto"/>
        </w:rPr>
        <w:t>Redemption Price</w:t>
      </w:r>
      <w:r>
        <w:rPr>
          <w:sz w:val="20"/>
          <w:szCs w:val="20"/>
          <w:color w:val="auto"/>
        </w:rPr>
        <w:tab/>
      </w:r>
      <w:r>
        <w:rPr>
          <w:rFonts w:ascii="Arial" w:cs="Arial" w:eastAsia="Arial" w:hAnsi="Arial"/>
          <w:sz w:val="18"/>
          <w:szCs w:val="18"/>
          <w:color w:val="auto"/>
        </w:rPr>
        <w:t>Year</w:t>
      </w:r>
      <w:r>
        <w:rPr>
          <w:sz w:val="20"/>
          <w:szCs w:val="20"/>
          <w:color w:val="auto"/>
        </w:rPr>
        <w:tab/>
      </w:r>
      <w:r>
        <w:rPr>
          <w:rFonts w:ascii="Arial" w:cs="Arial" w:eastAsia="Arial" w:hAnsi="Arial"/>
          <w:sz w:val="16"/>
          <w:szCs w:val="16"/>
          <w:color w:val="auto"/>
        </w:rPr>
        <w:t>Redemption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314960</wp:posOffset>
            </wp:positionV>
            <wp:extent cx="579755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23495</wp:posOffset>
            </wp:positionV>
            <wp:extent cx="579755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755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If applicable, insert—</w:t>
      </w:r>
      <w:r>
        <w:rPr>
          <w:rFonts w:ascii="Arial" w:cs="Arial" w:eastAsia="Arial" w:hAnsi="Arial"/>
          <w:sz w:val="17"/>
          <w:szCs w:val="17"/>
          <w:color w:val="auto"/>
        </w:rPr>
        <w:t xml:space="preserve"> The Securities of this series are subject to redemption upon not less than [</w:t>
      </w:r>
      <w:r>
        <w:rPr>
          <w:rFonts w:ascii="Arial" w:cs="Arial" w:eastAsia="Arial" w:hAnsi="Arial"/>
          <w:sz w:val="17"/>
          <w:szCs w:val="17"/>
          <w:b w:val="1"/>
          <w:bCs w:val="1"/>
          <w:color w:val="auto"/>
        </w:rPr>
        <w:t>if applicable, insert—</w:t>
      </w:r>
      <w:r>
        <w:rPr>
          <w:rFonts w:ascii="Arial" w:cs="Arial" w:eastAsia="Arial" w:hAnsi="Arial"/>
          <w:sz w:val="17"/>
          <w:szCs w:val="17"/>
          <w:color w:val="auto"/>
        </w:rPr>
        <w:t xml:space="preserve"> 30] days’ notice by mail, (1) on in any year commencing with the year and ending with the year through operation of the sinking fund for this series at the Redemption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Prices for redemption through operation of the sinking fund (expressed as percentages of the principal amount) set forth in the table below, and (2) at any time</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on or after ], as a whole or in part, at the election of the Company, at the Redemption Prices for redemption otherwise than through operation of the sinking fund (expressed as percentages of the principal amount) set forth in the table below: If redeemed during the 12-month period beginning of the years indicated,</w:t>
      </w:r>
    </w:p>
    <w:p>
      <w:pPr>
        <w:spacing w:after="0" w:line="190"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Redemption Price For</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Redemption Price For</w:t>
            </w:r>
          </w:p>
        </w:tc>
      </w:tr>
      <w:tr>
        <w:trPr>
          <w:trHeight w:val="216"/>
        </w:trPr>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Redemption Through</w:t>
            </w:r>
          </w:p>
        </w:tc>
        <w:tc>
          <w:tcPr>
            <w:tcW w:w="3640" w:type="dxa"/>
            <w:vAlign w:val="bottom"/>
          </w:tcPr>
          <w:p>
            <w:pPr>
              <w:jc w:val="center"/>
              <w:spacing w:after="0"/>
              <w:rPr>
                <w:sz w:val="20"/>
                <w:szCs w:val="20"/>
                <w:color w:val="auto"/>
              </w:rPr>
            </w:pPr>
            <w:r>
              <w:rPr>
                <w:rFonts w:ascii="Arial" w:cs="Arial" w:eastAsia="Arial" w:hAnsi="Arial"/>
                <w:sz w:val="18"/>
                <w:szCs w:val="18"/>
                <w:color w:val="auto"/>
                <w:w w:val="90"/>
              </w:rPr>
              <w:t>Redemption Otherwise Than Through</w:t>
            </w:r>
          </w:p>
        </w:tc>
      </w:tr>
      <w:tr>
        <w:trPr>
          <w:trHeight w:val="216"/>
        </w:trPr>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Operation of the</w:t>
            </w: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Operation of the</w:t>
            </w:r>
          </w:p>
        </w:tc>
      </w:tr>
      <w:tr>
        <w:trPr>
          <w:trHeight w:val="237"/>
        </w:trPr>
        <w:tc>
          <w:tcPr>
            <w:tcW w:w="1660" w:type="dxa"/>
            <w:vAlign w:val="bottom"/>
            <w:gridSpan w:val="2"/>
          </w:tcPr>
          <w:p>
            <w:pPr>
              <w:ind w:left="560"/>
              <w:spacing w:after="0"/>
              <w:rPr>
                <w:sz w:val="20"/>
                <w:szCs w:val="20"/>
                <w:color w:val="auto"/>
              </w:rPr>
            </w:pPr>
            <w:r>
              <w:rPr>
                <w:rFonts w:ascii="Arial" w:cs="Arial" w:eastAsia="Arial" w:hAnsi="Arial"/>
                <w:sz w:val="18"/>
                <w:szCs w:val="18"/>
                <w:color w:val="auto"/>
              </w:rPr>
              <w:t>Year</w:t>
            </w:r>
          </w:p>
        </w:tc>
        <w:tc>
          <w:tcPr>
            <w:tcW w:w="38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Sinking Fund</w:t>
            </w:r>
          </w:p>
        </w:tc>
        <w:tc>
          <w:tcPr>
            <w:tcW w:w="3640" w:type="dxa"/>
            <w:vAlign w:val="bottom"/>
          </w:tcPr>
          <w:p>
            <w:pPr>
              <w:jc w:val="center"/>
              <w:spacing w:after="0"/>
              <w:rPr>
                <w:sz w:val="20"/>
                <w:szCs w:val="20"/>
                <w:color w:val="auto"/>
              </w:rPr>
            </w:pPr>
            <w:r>
              <w:rPr>
                <w:rFonts w:ascii="Arial" w:cs="Arial" w:eastAsia="Arial" w:hAnsi="Arial"/>
                <w:sz w:val="18"/>
                <w:szCs w:val="18"/>
                <w:color w:val="auto"/>
                <w:w w:val="93"/>
              </w:rPr>
              <w:t>Sinking Fund</w:t>
            </w:r>
          </w:p>
        </w:tc>
      </w:tr>
      <w:tr>
        <w:trPr>
          <w:trHeight w:val="216"/>
        </w:trPr>
        <w:tc>
          <w:tcPr>
            <w:tcW w:w="1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6"/>
        </w:trPr>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(whether through operation of the sinking fund or otherwise) with accrued interest to the Redemption Date,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43" w:lineRule="exact"/>
        <w:rPr>
          <w:sz w:val="20"/>
          <w:szCs w:val="20"/>
          <w:color w:val="auto"/>
        </w:rPr>
      </w:pPr>
    </w:p>
    <w:p>
      <w:pPr>
        <w:jc w:val="both"/>
        <w:ind w:right="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Notwithstanding the foregoing, the Company may not, prior to , redeem any Securities of this series as contemplated by [</w:t>
      </w:r>
      <w:r>
        <w:rPr>
          <w:rFonts w:ascii="Arial" w:cs="Arial" w:eastAsia="Arial" w:hAnsi="Arial"/>
          <w:sz w:val="16"/>
          <w:szCs w:val="16"/>
          <w:b w:val="1"/>
          <w:bCs w:val="1"/>
          <w:color w:val="auto"/>
        </w:rPr>
        <w:t>if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applicable, insert— </w:t>
      </w:r>
      <w:r>
        <w:rPr>
          <w:rFonts w:ascii="Arial" w:cs="Arial" w:eastAsia="Arial" w:hAnsi="Arial"/>
          <w:sz w:val="16"/>
          <w:szCs w:val="16"/>
          <w:color w:val="auto"/>
        </w:rPr>
        <w:t>clause (2) of] the preceding paragraph as a part of, or in anticipation of, any refunding operation by the application, directly or indirectly,</w:t>
      </w:r>
      <w:r>
        <w:rPr>
          <w:rFonts w:ascii="Arial" w:cs="Arial" w:eastAsia="Arial" w:hAnsi="Arial"/>
          <w:sz w:val="16"/>
          <w:szCs w:val="16"/>
          <w:b w:val="1"/>
          <w:bCs w:val="1"/>
          <w:color w:val="auto"/>
        </w:rPr>
        <w:t xml:space="preserve"> </w:t>
      </w:r>
      <w:r>
        <w:rPr>
          <w:rFonts w:ascii="Arial" w:cs="Arial" w:eastAsia="Arial" w:hAnsi="Arial"/>
          <w:sz w:val="16"/>
          <w:szCs w:val="16"/>
          <w:color w:val="auto"/>
        </w:rPr>
        <w:t>of moneys borrowed having an interest cost to the Company (calculated in accordance with generally accepted financial practice) of less than % per annum.]</w:t>
      </w:r>
    </w:p>
    <w:p>
      <w:pPr>
        <w:spacing w:after="0" w:line="1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The sinking fund for this series provides for the redemption on in each year beginning with the year and ending with the year of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not less than $ (“mandatory sinking fund”) and not more than] $ aggregate principal amount of Securities of this series. Securities of this series acquired or redeemed by the Company otherwise than through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mandatory] sinking fund payments may be credited against subsequent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mandatory] sinking fund payments otherwise required to be made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 in the inverse order in which they become due].]</w:t>
      </w:r>
    </w:p>
    <w:p>
      <w:pPr>
        <w:spacing w:after="0" w:line="18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subject to redemption of any kind, insert —</w:t>
      </w:r>
      <w:r>
        <w:rPr>
          <w:rFonts w:ascii="Arial" w:cs="Arial" w:eastAsia="Arial" w:hAnsi="Arial"/>
          <w:sz w:val="16"/>
          <w:szCs w:val="16"/>
          <w:color w:val="auto"/>
        </w:rPr>
        <w:t xml:space="preserve"> In the event of redemption of this Security in part only, a new Security or Securities of this series and of like tenor for the unredeemed portion hereof will be issued in the name of the Holder hereof upon the cancellation hereof.]</w:t>
      </w:r>
    </w:p>
    <w:p>
      <w:pPr>
        <w:spacing w:after="0" w:line="11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applicable, insert—</w:t>
      </w:r>
      <w:r>
        <w:rPr>
          <w:rFonts w:ascii="Arial" w:cs="Arial" w:eastAsia="Arial" w:hAnsi="Arial"/>
          <w:sz w:val="16"/>
          <w:szCs w:val="16"/>
          <w:color w:val="auto"/>
        </w:rPr>
        <w:t xml:space="preserve">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convertible into other securities of the Company, specify the conversion features.</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3" w:name="page54"/>
    <w:bookmarkEnd w:id="53"/>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not an Original Issue Discount Security, insert —</w:t>
      </w:r>
      <w:r>
        <w:rPr>
          <w:rFonts w:ascii="Arial" w:cs="Arial" w:eastAsia="Arial" w:hAnsi="Arial"/>
          <w:sz w:val="16"/>
          <w:szCs w:val="16"/>
          <w:color w:val="auto"/>
        </w:rPr>
        <w:t xml:space="preserve"> If an Event of Default with respect to Securities of this series shall occur and be continuing, the principal of the Securities of this series may be declared due and payable in the manner and with the effect provided in the Indenture.]</w:t>
      </w:r>
    </w:p>
    <w:p>
      <w:pPr>
        <w:spacing w:after="0" w:line="1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an Original Issue Discount Security, insert —</w:t>
      </w:r>
      <w:r>
        <w:rPr>
          <w:rFonts w:ascii="Arial" w:cs="Arial" w:eastAsia="Arial" w:hAnsi="Arial"/>
          <w:sz w:val="18"/>
          <w:szCs w:val="18"/>
          <w:color w:val="auto"/>
        </w:rPr>
        <w:t xml:space="preserve"> If an Event of Default with respect to Securities of this series shall occur and be continuing, an amount of principal of the Securities of this series may be declared due and payable in the manner and with the effect provided in the Indenture. Such amount shall be equal to </w:t>
      </w:r>
      <w:r>
        <w:rPr>
          <w:rFonts w:ascii="Arial" w:cs="Arial" w:eastAsia="Arial" w:hAnsi="Arial"/>
          <w:sz w:val="18"/>
          <w:szCs w:val="18"/>
          <w:b w:val="1"/>
          <w:bCs w:val="1"/>
          <w:color w:val="auto"/>
        </w:rPr>
        <w:t>— insert formula for determining the amount</w:t>
      </w:r>
      <w:r>
        <w:rPr>
          <w:rFonts w:ascii="Arial" w:cs="Arial" w:eastAsia="Arial" w:hAnsi="Arial"/>
          <w:sz w:val="18"/>
          <w:szCs w:val="18"/>
          <w:color w:val="auto"/>
        </w:rPr>
        <w: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a majority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Securities of this series are issuable only in registered form without coupons in denominations of $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4" w:name="page55"/>
    <w:bookmarkEnd w:id="54"/>
    <w:p>
      <w:pPr>
        <w:jc w:val="both"/>
        <w:ind w:firstLine="648"/>
        <w:spacing w:after="0" w:line="264"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Form of Legend for Global Securities.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otherwise specified as contemplated by Section 3.1 for the Securities evidenced thereby, every Global Security authenticated and delivered hereunder shall bear a legend in substantially the following form:</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Form of Trustee’s Certificate of Authentication.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herein referred to in the within-mentioned Indenture.</w:t>
      </w:r>
    </w:p>
    <w:p>
      <w:pPr>
        <w:spacing w:after="0" w:line="22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7975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97560" cy="17145"/>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Authorized Officer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Form of Conversion Notice.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notices shall be in substantially the following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IMPRIMIS PHARMACEUTICALS, INC.:</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on a date after the close of business on a Regular Record Date and prior to the opening of business on the related Interest Payment Date (unless this Security or the portion thereof being converted has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color w:val="auto"/>
        </w:rPr>
        <w:t>Principal Amount to be Converted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an integral multiple of $1,000, if less than all)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Signature(s) must be guaranteed by an eligible guarantor institution (banks,</w:t>
      </w:r>
    </w:p>
    <w:p>
      <w:pPr>
        <w:spacing w:after="0" w:line="46"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stock  brokers,  savings  and  loan  associations  and  credit  unions  with</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membership  in  an  approved  signature  guarantee  medallion  program)</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pursuant to Securities and Exchange Commission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280035</wp:posOffset>
            </wp:positionV>
            <wp:extent cx="355028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5028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Signature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Fill in for registration of shares of Common Stock and Security if to be issued otherwise than to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355917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355917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Please print Name and Address (including zip code)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Social Security or Other Taxpayer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1513" w:lineRule="exact"/>
        <w:rPr>
          <w:sz w:val="20"/>
          <w:szCs w:val="20"/>
          <w:color w:val="auto"/>
        </w:rPr>
      </w:pPr>
    </w:p>
    <w:p>
      <w:pPr>
        <w:sectPr>
          <w:pgSz w:w="11900" w:h="16838" w:orient="portrait"/>
          <w:cols w:equalWidth="0" w:num="2">
            <w:col w:w="5100" w:space="720"/>
            <w:col w:w="5600"/>
          </w:cols>
          <w:pgMar w:left="240" w:top="88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[The above conversion notice is to be modified, as appropriate, for conversion into other securities or property of the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Amount Unlimited; Issuable in Series.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Securities may be issued in one or more series. There shall be established in or pursuant to a Board Resolution and, subject to Section 3.3, set forth, or determined in the manner provided, in an Officers’ Certificate, or established in one or more indentures supplemental hereto, prior to the issuance of Securities of any series,</w:t>
      </w:r>
    </w:p>
    <w:p>
      <w:pPr>
        <w:spacing w:after="0" w:line="181" w:lineRule="exact"/>
        <w:rPr>
          <w:sz w:val="20"/>
          <w:szCs w:val="20"/>
          <w:color w:val="auto"/>
        </w:rPr>
      </w:pPr>
    </w:p>
    <w:p>
      <w:pPr>
        <w:ind w:left="1820" w:hanging="515"/>
        <w:spacing w:after="0"/>
        <w:tabs>
          <w:tab w:leader="none" w:pos="1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title of the Securities of the series (which shall distinguish the Securities of the series from Securities of any other series);</w:t>
      </w:r>
    </w:p>
    <w:p>
      <w:pPr>
        <w:spacing w:after="0" w:line="236" w:lineRule="exact"/>
        <w:rPr>
          <w:rFonts w:ascii="Arial" w:cs="Arial" w:eastAsia="Arial" w:hAnsi="Arial"/>
          <w:sz w:val="17"/>
          <w:szCs w:val="17"/>
          <w:color w:val="auto"/>
        </w:rPr>
      </w:pPr>
    </w:p>
    <w:p>
      <w:pPr>
        <w:jc w:val="both"/>
        <w:ind w:left="660" w:firstLine="645"/>
        <w:spacing w:after="0" w:line="259" w:lineRule="auto"/>
        <w:tabs>
          <w:tab w:leader="none" w:pos="19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3.4, 3.5, 3.6, 9.6 or 11.7 and except for any Securities which, pursuant to Section 3.3, are deemed never to have been authenticated and delivered hereunder);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56" w:name="page57"/>
    <w:bookmarkEnd w:id="56"/>
    <w:p>
      <w:pPr>
        <w:ind w:right="20" w:firstLine="645"/>
        <w:spacing w:after="0" w:line="308" w:lineRule="auto"/>
        <w:tabs>
          <w:tab w:leader="none" w:pos="1182"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46" w:lineRule="exact"/>
        <w:rPr>
          <w:rFonts w:ascii="Arial" w:cs="Arial" w:eastAsia="Arial" w:hAnsi="Arial"/>
          <w:sz w:val="17"/>
          <w:szCs w:val="17"/>
          <w:color w:val="auto"/>
        </w:rPr>
      </w:pPr>
    </w:p>
    <w:p>
      <w:pPr>
        <w:ind w:left="1160" w:hanging="515"/>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or dates on which the principal of any Securities of the series is payable;</w:t>
      </w:r>
    </w:p>
    <w:p>
      <w:pPr>
        <w:spacing w:after="0" w:line="225" w:lineRule="exact"/>
        <w:rPr>
          <w:rFonts w:ascii="Arial" w:cs="Arial" w:eastAsia="Arial" w:hAnsi="Arial"/>
          <w:sz w:val="18"/>
          <w:szCs w:val="18"/>
          <w:color w:val="auto"/>
        </w:rPr>
      </w:pPr>
    </w:p>
    <w:p>
      <w:pPr>
        <w:jc w:val="both"/>
        <w:ind w:firstLine="645"/>
        <w:spacing w:after="0" w:line="286" w:lineRule="auto"/>
        <w:tabs>
          <w:tab w:leader="none" w:pos="125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rate or rates (which may be fixed or variable)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 (or the method for determining the dates and rates);</w:t>
      </w:r>
    </w:p>
    <w:p>
      <w:pPr>
        <w:spacing w:after="0" w:line="165" w:lineRule="exact"/>
        <w:rPr>
          <w:rFonts w:ascii="Arial" w:cs="Arial" w:eastAsia="Arial" w:hAnsi="Arial"/>
          <w:sz w:val="17"/>
          <w:szCs w:val="17"/>
          <w:color w:val="auto"/>
        </w:rPr>
      </w:pPr>
    </w:p>
    <w:p>
      <w:pPr>
        <w:ind w:left="1160" w:hanging="515"/>
        <w:spacing w:after="0"/>
        <w:tabs>
          <w:tab w:leader="none" w:pos="11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any Securities of the series shall be payable;</w:t>
      </w:r>
    </w:p>
    <w:p>
      <w:pPr>
        <w:spacing w:after="0" w:line="225" w:lineRule="exact"/>
        <w:rPr>
          <w:rFonts w:ascii="Arial" w:cs="Arial" w:eastAsia="Arial" w:hAnsi="Arial"/>
          <w:sz w:val="18"/>
          <w:szCs w:val="18"/>
          <w:color w:val="auto"/>
        </w:rPr>
      </w:pPr>
    </w:p>
    <w:p>
      <w:pPr>
        <w:jc w:val="both"/>
        <w:ind w:firstLine="645"/>
        <w:spacing w:after="0" w:line="264" w:lineRule="auto"/>
        <w:tabs>
          <w:tab w:leader="none" w:pos="11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81" w:lineRule="exact"/>
        <w:rPr>
          <w:rFonts w:ascii="Arial" w:cs="Arial" w:eastAsia="Arial" w:hAnsi="Arial"/>
          <w:sz w:val="18"/>
          <w:szCs w:val="18"/>
          <w:color w:val="auto"/>
        </w:rPr>
      </w:pPr>
    </w:p>
    <w:p>
      <w:pPr>
        <w:jc w:val="both"/>
        <w:ind w:firstLine="645"/>
        <w:spacing w:after="0" w:line="286" w:lineRule="auto"/>
        <w:tabs>
          <w:tab w:leader="none" w:pos="1212"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165" w:lineRule="exact"/>
        <w:rPr>
          <w:rFonts w:ascii="Arial" w:cs="Arial" w:eastAsia="Arial" w:hAnsi="Arial"/>
          <w:sz w:val="17"/>
          <w:szCs w:val="17"/>
          <w:color w:val="auto"/>
        </w:rPr>
      </w:pPr>
    </w:p>
    <w:p>
      <w:pPr>
        <w:ind w:left="1180" w:hanging="535"/>
        <w:spacing w:after="0"/>
        <w:tabs>
          <w:tab w:leader="none" w:pos="11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any Securities of the series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issuable;</w:t>
      </w:r>
    </w:p>
    <w:p>
      <w:pPr>
        <w:spacing w:after="0" w:line="210" w:lineRule="exact"/>
        <w:rPr>
          <w:rFonts w:ascii="Arial" w:cs="Arial" w:eastAsia="Arial" w:hAnsi="Arial"/>
          <w:sz w:val="16"/>
          <w:szCs w:val="16"/>
          <w:color w:val="auto"/>
        </w:rPr>
      </w:pPr>
    </w:p>
    <w:p>
      <w:pPr>
        <w:ind w:firstLine="645"/>
        <w:spacing w:after="0" w:line="277" w:lineRule="auto"/>
        <w:tabs>
          <w:tab w:leader="none" w:pos="13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170" w:lineRule="exact"/>
        <w:rPr>
          <w:rFonts w:ascii="Arial" w:cs="Arial" w:eastAsia="Arial" w:hAnsi="Arial"/>
          <w:sz w:val="18"/>
          <w:szCs w:val="18"/>
          <w:color w:val="auto"/>
        </w:rPr>
      </w:pPr>
    </w:p>
    <w:p>
      <w:pPr>
        <w:jc w:val="both"/>
        <w:ind w:right="20" w:firstLine="645"/>
        <w:spacing w:after="0" w:line="286" w:lineRule="auto"/>
        <w:tabs>
          <w:tab w:leader="none" w:pos="1322"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1.1;</w:t>
      </w:r>
    </w:p>
    <w:p>
      <w:pPr>
        <w:spacing w:after="0" w:line="165" w:lineRule="exact"/>
        <w:rPr>
          <w:rFonts w:ascii="Arial" w:cs="Arial" w:eastAsia="Arial" w:hAnsi="Arial"/>
          <w:sz w:val="17"/>
          <w:szCs w:val="17"/>
          <w:color w:val="auto"/>
        </w:rPr>
      </w:pPr>
    </w:p>
    <w:p>
      <w:pPr>
        <w:jc w:val="both"/>
        <w:ind w:firstLine="645"/>
        <w:spacing w:after="0" w:line="257" w:lineRule="auto"/>
        <w:tabs>
          <w:tab w:leader="none" w:pos="12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88" w:lineRule="exact"/>
        <w:rPr>
          <w:rFonts w:ascii="Arial" w:cs="Arial" w:eastAsia="Arial" w:hAnsi="Arial"/>
          <w:sz w:val="18"/>
          <w:szCs w:val="18"/>
          <w:color w:val="auto"/>
        </w:rPr>
      </w:pPr>
    </w:p>
    <w:p>
      <w:pPr>
        <w:ind w:firstLine="645"/>
        <w:spacing w:after="0" w:line="277" w:lineRule="auto"/>
        <w:tabs>
          <w:tab w:leader="none" w:pos="13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any Securities of the series which shall be payable upon declaration of acceleration of the Maturity thereof pursuant to Section 5.2;</w:t>
      </w:r>
    </w:p>
    <w:p>
      <w:pPr>
        <w:spacing w:after="0" w:line="170" w:lineRule="exact"/>
        <w:rPr>
          <w:rFonts w:ascii="Arial" w:cs="Arial" w:eastAsia="Arial" w:hAnsi="Arial"/>
          <w:sz w:val="18"/>
          <w:szCs w:val="18"/>
          <w:color w:val="auto"/>
        </w:rPr>
      </w:pPr>
    </w:p>
    <w:p>
      <w:pPr>
        <w:jc w:val="both"/>
        <w:ind w:firstLine="645"/>
        <w:spacing w:after="0" w:line="257" w:lineRule="auto"/>
        <w:tabs>
          <w:tab w:leader="none" w:pos="12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8"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57" w:name="page58"/>
    <w:bookmarkEnd w:id="57"/>
    <w:p>
      <w:pPr>
        <w:jc w:val="both"/>
        <w:ind w:left="660" w:firstLine="645"/>
        <w:spacing w:after="0" w:line="264" w:lineRule="auto"/>
        <w:tabs>
          <w:tab w:leader="none" w:pos="19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that the Securities of the series, in whole or any specified part, shall be defeasible pursuant to Section 13.2 or Section 13.3 or both such Sections, or any other defeasance provisions applicable to any Securities of the series, and, if other than by a Board Resolution, the manner in which any election by the Company to defease such Securities shall be evidenced;</w:t>
      </w:r>
    </w:p>
    <w:p>
      <w:pPr>
        <w:spacing w:after="0" w:line="181" w:lineRule="exact"/>
        <w:rPr>
          <w:rFonts w:ascii="Arial" w:cs="Arial" w:eastAsia="Arial" w:hAnsi="Arial"/>
          <w:sz w:val="18"/>
          <w:szCs w:val="18"/>
          <w:color w:val="auto"/>
        </w:rPr>
      </w:pPr>
    </w:p>
    <w:p>
      <w:pPr>
        <w:ind w:left="660" w:firstLine="645"/>
        <w:spacing w:after="0" w:line="277" w:lineRule="auto"/>
        <w:tabs>
          <w:tab w:leader="none" w:pos="1926"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terms of any right to convert or exchange Securities of the series into shares of Common Stock of the Company or other securities or property;</w:t>
      </w:r>
    </w:p>
    <w:p>
      <w:pPr>
        <w:spacing w:after="0" w:line="170" w:lineRule="exact"/>
        <w:rPr>
          <w:rFonts w:ascii="Arial" w:cs="Arial" w:eastAsia="Arial" w:hAnsi="Arial"/>
          <w:sz w:val="18"/>
          <w:szCs w:val="18"/>
          <w:color w:val="auto"/>
        </w:rPr>
      </w:pPr>
    </w:p>
    <w:p>
      <w:pPr>
        <w:jc w:val="both"/>
        <w:ind w:left="660" w:firstLine="645"/>
        <w:spacing w:after="0" w:line="255" w:lineRule="auto"/>
        <w:tabs>
          <w:tab w:leader="none" w:pos="193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2.4 and any circumstances in addition to or in lieu of those set forth in clause (2) of the last paragraph of Section 3.5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93" w:lineRule="exact"/>
        <w:rPr>
          <w:rFonts w:ascii="Arial" w:cs="Arial" w:eastAsia="Arial" w:hAnsi="Arial"/>
          <w:sz w:val="18"/>
          <w:szCs w:val="18"/>
          <w:color w:val="auto"/>
        </w:rPr>
      </w:pPr>
    </w:p>
    <w:p>
      <w:pPr>
        <w:ind w:left="660" w:firstLine="645"/>
        <w:spacing w:after="0" w:line="308" w:lineRule="auto"/>
        <w:tabs>
          <w:tab w:leader="none" w:pos="1976"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5.2;</w:t>
      </w:r>
    </w:p>
    <w:p>
      <w:pPr>
        <w:spacing w:after="0" w:line="146" w:lineRule="exact"/>
        <w:rPr>
          <w:rFonts w:ascii="Arial" w:cs="Arial" w:eastAsia="Arial" w:hAnsi="Arial"/>
          <w:sz w:val="17"/>
          <w:szCs w:val="17"/>
          <w:color w:val="auto"/>
        </w:rPr>
      </w:pPr>
    </w:p>
    <w:p>
      <w:pPr>
        <w:ind w:left="1920" w:hanging="615"/>
        <w:spacing w:after="0"/>
        <w:tabs>
          <w:tab w:leader="none" w:pos="1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10 which applies to Securities of the series;</w:t>
      </w:r>
    </w:p>
    <w:p>
      <w:pPr>
        <w:spacing w:after="0" w:line="225" w:lineRule="exact"/>
        <w:rPr>
          <w:rFonts w:ascii="Arial" w:cs="Arial" w:eastAsia="Arial" w:hAnsi="Arial"/>
          <w:sz w:val="18"/>
          <w:szCs w:val="18"/>
          <w:color w:val="auto"/>
        </w:rPr>
      </w:pPr>
    </w:p>
    <w:p>
      <w:pPr>
        <w:ind w:left="660" w:firstLine="645"/>
        <w:spacing w:after="0" w:line="277" w:lineRule="auto"/>
        <w:tabs>
          <w:tab w:leader="none" w:pos="19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Authenticating Agents, Paying Agents, Security Registrars or such other agents necessary in connection with the issuance of the Securities of such series, including, without limitation, exchange rate agents and calculation agents;</w:t>
      </w:r>
    </w:p>
    <w:p>
      <w:pPr>
        <w:spacing w:after="0" w:line="170" w:lineRule="exact"/>
        <w:rPr>
          <w:rFonts w:ascii="Arial" w:cs="Arial" w:eastAsia="Arial" w:hAnsi="Arial"/>
          <w:sz w:val="18"/>
          <w:szCs w:val="18"/>
          <w:color w:val="auto"/>
        </w:rPr>
      </w:pPr>
    </w:p>
    <w:p>
      <w:pPr>
        <w:ind w:left="660" w:firstLine="645"/>
        <w:spacing w:after="0" w:line="277" w:lineRule="auto"/>
        <w:tabs>
          <w:tab w:leader="none" w:pos="2063"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terms of any security that will be provided for a series of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9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terms of any guaranties for the Securities and any circumstances under which there may be additional obligors on the Securities;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other terms of the series (which terms shall not be inconsistent with the provisions of this Indenture, except as permitted by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9.1(5)).</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3.3) set forth, or determined in the manner provided, in the Officers’ Certificate referred to above or in any such indenture supplemental hereto.</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Denominations.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Securities of each series shall be issuable only in registered form without coupons and only in such denominations as shall be specified as contemplated by Section 3.1. In the absence of any such specified denomination with respect to the Securities of any series, the Securities of such series shall be issuable in denominations of $1,000 and any integral multiple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Section 3.3 Execution, Authentication, Delivery and Dating.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Securities shall be executed on behalf of the Company by its Chairman of the Board, its Vice Chairman of the Board, its Chief Executive Officer, its principal financial officer, its President or one of its Vice Presidents, attested by its Treasurer, its Secretary or one of its Assistant Treasurers or Assistant Secretaries. The signature of any of these officers on the Securities may be manual or facsimile.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2.1 and 3. 1, in authenticating such Securities, and accepting the additional responsibilities under this Indenture in relation to such Securities, the Trustee shall be entitled to receive, and (subject to Section 6.1) shall be fully protected in relying upon, a copy of such Board Resolution, the Officers’ Certificate setting forth the terms of the series and an Opinion of Counsel, with such Opinion of Counsel stating,</w:t>
      </w:r>
    </w:p>
    <w:p>
      <w:pPr>
        <w:spacing w:after="0" w:line="189" w:lineRule="exact"/>
        <w:rPr>
          <w:sz w:val="20"/>
          <w:szCs w:val="20"/>
          <w:color w:val="auto"/>
        </w:rPr>
      </w:pPr>
    </w:p>
    <w:p>
      <w:pPr>
        <w:ind w:left="660" w:firstLine="645"/>
        <w:spacing w:after="0" w:line="277" w:lineRule="auto"/>
        <w:tabs>
          <w:tab w:leader="none" w:pos="1884"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form of such Securities has been established by or pursuant to Board Resolution as permitted by Section 2. 1, that such form has been established in conformity with the provisions of this Indenture;</w:t>
      </w:r>
    </w:p>
    <w:p>
      <w:pPr>
        <w:spacing w:after="0" w:line="170" w:lineRule="exact"/>
        <w:rPr>
          <w:rFonts w:ascii="Arial" w:cs="Arial" w:eastAsia="Arial" w:hAnsi="Arial"/>
          <w:sz w:val="18"/>
          <w:szCs w:val="18"/>
          <w:color w:val="auto"/>
        </w:rPr>
      </w:pPr>
    </w:p>
    <w:p>
      <w:pPr>
        <w:ind w:left="660" w:firstLine="645"/>
        <w:spacing w:after="0" w:line="277" w:lineRule="auto"/>
        <w:tabs>
          <w:tab w:leader="none" w:pos="1836"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terms of such Securities have been established by or pursuant to Board Resolution as permitted by Section 3. 1, that such terms have been established in conformity with the provisions of this Indenture; and</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provisions of Section 3.1 and of the preceding paragraph, if all Securities of a series are not to be originally issued at one time, it shall not be necessary to deliver the Officers’ Certificate otherwise required pursuant to Section 3.1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3.9, for all purposes of this Indenture such Security shall be deemed never to have been authenticated and delivered hereunder and shall never be entitled to the benefits of this Indenture.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9" w:name="page60"/>
    <w:bookmarkEnd w:id="59"/>
    <w:p>
      <w:pPr>
        <w:jc w:val="both"/>
        <w:ind w:firstLine="648"/>
        <w:spacing w:after="0" w:line="286" w:lineRule="auto"/>
        <w:rPr>
          <w:sz w:val="20"/>
          <w:szCs w:val="20"/>
          <w:color w:val="auto"/>
        </w:rPr>
      </w:pPr>
      <w:r>
        <w:rPr>
          <w:rFonts w:ascii="Arial" w:cs="Arial" w:eastAsia="Arial" w:hAnsi="Arial"/>
          <w:sz w:val="17"/>
          <w:szCs w:val="17"/>
          <w:color w:val="auto"/>
        </w:rPr>
        <w:t>Neither the Company nor the Trustee shall have any responsibility for any defect in the CUSIP number that appears on any Security, check, advice of payment or redemption notice, and any such document may contain a statement to the effect that CUSIP numbers have been assigned by an independent service for convenience of reference and that neither the Company nor the Trustee shall be liable for any inaccuracy in such numbers.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Temporary Securities.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Registration; Registration of Transfer and Exchange.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0" w:name="page61"/>
    <w:bookmarkEnd w:id="60"/>
    <w:p>
      <w:pPr>
        <w:jc w:val="both"/>
        <w:ind w:firstLine="648"/>
        <w:spacing w:after="0" w:line="264"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3.4, 9.6 or 11.7 not involving any transfer.</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11.3 and ending at the close of business on the day of such mailing, or (B) to register the transfer of or exchange any Security so selected for redemption in whole or in part, except the unredeemed portion of any Security being redeemed in part.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clauses (1), (2), (3) and (4) below shall apply only to Global Securities:</w:t>
      </w:r>
    </w:p>
    <w:p>
      <w:pPr>
        <w:spacing w:after="0" w:line="225" w:lineRule="exact"/>
        <w:rPr>
          <w:sz w:val="20"/>
          <w:szCs w:val="20"/>
          <w:color w:val="auto"/>
        </w:rPr>
      </w:pPr>
    </w:p>
    <w:p>
      <w:pPr>
        <w:jc w:val="both"/>
        <w:ind w:left="660" w:right="20" w:firstLine="645"/>
        <w:spacing w:after="0" w:line="264" w:lineRule="auto"/>
        <w:tabs>
          <w:tab w:leader="none" w:pos="18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81" w:lineRule="exact"/>
        <w:rPr>
          <w:rFonts w:ascii="Arial" w:cs="Arial" w:eastAsia="Arial" w:hAnsi="Arial"/>
          <w:sz w:val="18"/>
          <w:szCs w:val="18"/>
          <w:color w:val="auto"/>
        </w:rPr>
      </w:pPr>
    </w:p>
    <w:p>
      <w:pPr>
        <w:jc w:val="both"/>
        <w:ind w:left="660" w:firstLine="645"/>
        <w:spacing w:after="0" w:line="273" w:lineRule="auto"/>
        <w:tabs>
          <w:tab w:leader="none" w:pos="1968"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3.1.</w:t>
      </w:r>
    </w:p>
    <w:p>
      <w:pPr>
        <w:spacing w:after="0" w:line="178" w:lineRule="exact"/>
        <w:rPr>
          <w:rFonts w:ascii="Arial" w:cs="Arial" w:eastAsia="Arial" w:hAnsi="Arial"/>
          <w:sz w:val="17"/>
          <w:szCs w:val="17"/>
          <w:color w:val="auto"/>
        </w:rPr>
      </w:pPr>
    </w:p>
    <w:p>
      <w:pPr>
        <w:jc w:val="both"/>
        <w:ind w:left="660" w:firstLine="645"/>
        <w:spacing w:after="0" w:line="264" w:lineRule="auto"/>
        <w:tabs>
          <w:tab w:leader="none" w:pos="1994"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8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Every Security authenticated and delivered upon registration of transfer of, or in exchange for or in lieu of, a Global Security or any portion thereof, whether pursuant to this Section, Section 3.4, 3.6, 9.6 or 11.7 or otherwise, shall be authenticated and delivered in the form of, and shall be, a Global Security, unless such Security is registered in the name of a Person other than the Depositary for such Global Security or a nominee thereof.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Mutilated, Destroyed, Lost and Stolen Securities.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1" w:name="page62"/>
    <w:bookmarkEnd w:id="61"/>
    <w:p>
      <w:pPr>
        <w:jc w:val="both"/>
        <w:ind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Payment of Interest; Interest Rights Preserved.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otherwise provided as contemplated by Section 3.1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66" w:lineRule="exact"/>
        <w:rPr>
          <w:sz w:val="20"/>
          <w:szCs w:val="20"/>
          <w:color w:val="auto"/>
        </w:rPr>
      </w:pPr>
    </w:p>
    <w:p>
      <w:pPr>
        <w:jc w:val="both"/>
        <w:ind w:left="660" w:firstLine="645"/>
        <w:spacing w:after="0" w:line="286" w:lineRule="auto"/>
        <w:tabs>
          <w:tab w:leader="none" w:pos="1866"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71" w:lineRule="exact"/>
        <w:rPr>
          <w:rFonts w:ascii="Arial" w:cs="Arial" w:eastAsia="Arial" w:hAnsi="Arial"/>
          <w:sz w:val="16"/>
          <w:szCs w:val="16"/>
          <w:color w:val="auto"/>
        </w:rPr>
      </w:pPr>
    </w:p>
    <w:p>
      <w:pPr>
        <w:jc w:val="both"/>
        <w:ind w:left="660" w:firstLine="645"/>
        <w:spacing w:after="0" w:line="259" w:lineRule="auto"/>
        <w:tabs>
          <w:tab w:leader="none" w:pos="203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2" w:name="page63"/>
    <w:bookmarkEnd w:id="62"/>
    <w:p>
      <w:pPr>
        <w:jc w:val="both"/>
        <w:ind w:firstLine="648"/>
        <w:spacing w:after="0" w:line="291" w:lineRule="auto"/>
        <w:rPr>
          <w:sz w:val="20"/>
          <w:szCs w:val="20"/>
          <w:color w:val="auto"/>
        </w:rPr>
      </w:pPr>
      <w:r>
        <w:rPr>
          <w:rFonts w:ascii="Arial" w:cs="Arial" w:eastAsia="Arial" w:hAnsi="Arial"/>
          <w:sz w:val="16"/>
          <w:szCs w:val="16"/>
          <w:color w:val="auto"/>
        </w:rPr>
        <w:t>Subject to the provisions of Section 14.2, in the case of any Security (or any part thereof) which is converted after any Regular Record Date and on or prior to the next succeeding Interest Payment Date (other than any Security the principal of (or premium, if any, on) which shall become due and payable, whether at Stated Maturity or by declaration of acceleration or otherwise prior to such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any one or more Predecessor Securities) is registered at the close of business on such Regular Record Date. Except as otherwise expressly provided in the immediately preceding sentence or in Section 14.2, in the case of any Security (or any part thereof) which is converted, interest whose Stated Maturity is after the date of conversion of such Security (or such part thereof) shall not be payable.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 Persons Deemed Owners.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3.7) any interest on such Security and for all other purposes whatsoever, whether or not such Security be overdue, and neither the Company, the Trustee nor any agent of the Company or the Trustee shall be affected by notice to the contrary.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Cancellation.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in accordance with its customary procedures.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Computation of Interest.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otherwise specified as contemplated by Section 3.1 for Securities of any series, interest on the Securities of each series shall be computed on the basis of a 360-day year of twelve 30-day months.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Satisfaction and Discharge of Indenture.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181" w:lineRule="exact"/>
        <w:rPr>
          <w:sz w:val="20"/>
          <w:szCs w:val="20"/>
          <w:color w:val="auto"/>
        </w:rPr>
      </w:pPr>
    </w:p>
    <w:p>
      <w:pPr>
        <w:ind w:left="1820" w:hanging="515"/>
        <w:spacing w:after="0"/>
        <w:tabs>
          <w:tab w:leader="none" w:pos="1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980" w:firstLine="649"/>
        <w:spacing w:after="0" w:line="259" w:lineRule="auto"/>
        <w:tabs>
          <w:tab w:leader="none" w:pos="22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(i) Securities which have been destroyed, lost or stolen and which have been replaced or paid as provided in Section 3.6 and (ii) Securities for whose payment money has theretofore been deposited in trust or segregated and held in trust by the Trustee or the Company and thereafter repaid to the Company or discharged from such trust, as provided in Section 10.3) have been delivered to the Trustee for cancellation; 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3" w:name="page64"/>
    <w:bookmarkEnd w:id="63"/>
    <w:p>
      <w:pPr>
        <w:ind w:left="2180" w:hanging="551"/>
        <w:spacing w:after="0"/>
        <w:tabs>
          <w:tab w:leader="none" w:pos="2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2480" w:hanging="527"/>
        <w:spacing w:after="0"/>
        <w:tabs>
          <w:tab w:leader="none" w:pos="24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1300" w:firstLine="653"/>
        <w:spacing w:after="0" w:line="277" w:lineRule="auto"/>
        <w:tabs>
          <w:tab w:leader="none" w:pos="2593" w:val="left"/>
        </w:tabs>
        <w:numPr>
          <w:ilvl w:val="1"/>
          <w:numId w:val="49"/>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Company, 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87" w:lineRule="exact"/>
        <w:rPr>
          <w:sz w:val="20"/>
          <w:szCs w:val="20"/>
          <w:color w:val="auto"/>
        </w:rPr>
      </w:pPr>
    </w:p>
    <w:p>
      <w:pPr>
        <w:ind w:left="1820" w:hanging="515"/>
        <w:spacing w:after="0"/>
        <w:tabs>
          <w:tab w:leader="none" w:pos="18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left="660" w:firstLine="645"/>
        <w:spacing w:after="0" w:line="277" w:lineRule="auto"/>
        <w:tabs>
          <w:tab w:leader="none" w:pos="2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6.7, the obligations of the Trustee to any Authenticating Agent under Section 6.14 and, if money shall have been deposited with the Trustee pursuant to subclause (B) of clause (1) of this Section, the obligations of the Trustee under Section 4.2 and the last paragraph of Section 10.3 shall survive.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Application of Trust Money.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provisions of the last paragraph of Section 10.3,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Events of Default.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in the Board Resolution, supplemental indenture or Officers’ Certificate establishing such series, it is provided that such series shall not have the benefit of said Event of Default:</w:t>
      </w:r>
    </w:p>
    <w:p>
      <w:pPr>
        <w:spacing w:after="0" w:line="171" w:lineRule="exact"/>
        <w:rPr>
          <w:sz w:val="20"/>
          <w:szCs w:val="20"/>
          <w:color w:val="auto"/>
        </w:rPr>
      </w:pPr>
    </w:p>
    <w:p>
      <w:pPr>
        <w:ind w:left="660" w:firstLine="645"/>
        <w:spacing w:after="0" w:line="277" w:lineRule="auto"/>
        <w:tabs>
          <w:tab w:leader="none" w:pos="1898"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60 days; or</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at its Maturity; or</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4" w:name="page65"/>
    <w:bookmarkEnd w:id="64"/>
    <w:p>
      <w:pPr>
        <w:jc w:val="both"/>
        <w:ind w:left="660" w:firstLine="645"/>
        <w:spacing w:after="0" w:line="273" w:lineRule="auto"/>
        <w:tabs>
          <w:tab w:leader="none" w:pos="1965"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8" w:lineRule="exact"/>
        <w:rPr>
          <w:rFonts w:ascii="Arial" w:cs="Arial" w:eastAsia="Arial" w:hAnsi="Arial"/>
          <w:sz w:val="17"/>
          <w:szCs w:val="17"/>
          <w:color w:val="auto"/>
        </w:rPr>
      </w:pPr>
    </w:p>
    <w:p>
      <w:pPr>
        <w:jc w:val="both"/>
        <w:ind w:left="660" w:firstLine="645"/>
        <w:spacing w:after="0" w:line="255" w:lineRule="auto"/>
        <w:tabs>
          <w:tab w:leader="none" w:pos="183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89" w:lineRule="exact"/>
        <w:rPr>
          <w:rFonts w:ascii="Arial" w:cs="Arial" w:eastAsia="Arial" w:hAnsi="Arial"/>
          <w:sz w:val="18"/>
          <w:szCs w:val="18"/>
          <w:color w:val="auto"/>
        </w:rPr>
      </w:pPr>
    </w:p>
    <w:p>
      <w:pPr>
        <w:jc w:val="both"/>
        <w:ind w:left="660" w:firstLine="645"/>
        <w:spacing w:after="0" w:line="253" w:lineRule="auto"/>
        <w:tabs>
          <w:tab w:leader="none" w:pos="1841"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7" w:lineRule="exact"/>
        <w:rPr>
          <w:rFonts w:ascii="Arial" w:cs="Arial" w:eastAsia="Arial" w:hAnsi="Arial"/>
          <w:sz w:val="18"/>
          <w:szCs w:val="18"/>
          <w:color w:val="auto"/>
        </w:rPr>
      </w:pPr>
    </w:p>
    <w:p>
      <w:pPr>
        <w:ind w:left="660" w:firstLine="645"/>
        <w:spacing w:after="0" w:line="277" w:lineRule="auto"/>
        <w:tabs>
          <w:tab w:leader="none" w:pos="19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in the Board Resolution, supplemental indenture or Officers’ Certificate establishing that series.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Acceleration of Maturity; Rescission and Annulment.</w:t>
      </w:r>
    </w:p>
    <w:p>
      <w:pPr>
        <w:spacing w:after="0" w:line="229" w:lineRule="exact"/>
        <w:rPr>
          <w:sz w:val="20"/>
          <w:szCs w:val="20"/>
          <w:color w:val="auto"/>
        </w:rPr>
      </w:pPr>
    </w:p>
    <w:p>
      <w:pPr>
        <w:jc w:val="both"/>
        <w:ind w:firstLine="656"/>
        <w:spacing w:after="0" w:line="287" w:lineRule="auto"/>
        <w:tabs>
          <w:tab w:leader="none" w:pos="1309" w:val="left"/>
        </w:tabs>
        <w:numPr>
          <w:ilvl w:val="0"/>
          <w:numId w:val="53"/>
        </w:numPr>
        <w:rPr>
          <w:rFonts w:ascii="Arial" w:cs="Arial" w:eastAsia="Arial" w:hAnsi="Arial"/>
          <w:sz w:val="16"/>
          <w:szCs w:val="16"/>
          <w:color w:val="auto"/>
        </w:rPr>
      </w:pPr>
      <w:r>
        <w:rPr>
          <w:rFonts w:ascii="Arial" w:cs="Arial" w:eastAsia="Arial" w:hAnsi="Arial"/>
          <w:sz w:val="16"/>
          <w:szCs w:val="16"/>
          <w:color w:val="auto"/>
        </w:rPr>
        <w:t>Unless the Board Resolution, supplemental indenture or Officers’ Certificate establishing such series provides otherwise, if an Event of Default (other than an Event of Default specified in Section 5.1(5) or 5.1(6))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to be due and payable immediately, by a notice in writing to the Company (and to the Trustee if given by the Holders), and upon any such declaration such principal amount (or specified amount), and premium, if any, together with accrued and unpaid interest, if any, thereon, shall become immediately due and payable. If an Event of Default specified in Section 5.1(5) or 5.1(6)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shall automatically, and without any declaration or other action on the part of the Trustee or any Holder, become immediately due and payable.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5" w:name="page66"/>
    <w:bookmarkEnd w:id="65"/>
    <w:p>
      <w:pPr>
        <w:jc w:val="both"/>
        <w:ind w:firstLine="656"/>
        <w:spacing w:after="0" w:line="269" w:lineRule="auto"/>
        <w:tabs>
          <w:tab w:leader="none" w:pos="1268"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Notwithstanding the foregoing, at the election of the Company, the sole remedy with respect to an Event of Default for the failure by the Company to comply with its obligations under Section 314(a)(1) of the Trust Indenture Act relating to the Company’s failure to file any documents or reports that the Company is required to file with the SEC pursuant to Section 13 or 15(d) of the Exchange Act or of its covenants set forth in Section 7.4 (any such Event of Default, a “Reporting Default”), shall for the first 180 calendar days after the occurrence of such Reporting Default consist exclusively of the right to receive additional interest (the “Additional Interest”) on the Securities at an annual rate equal to (i) 0.25% of the principal amount of the Securities for the first 90 calendar days after the occurrence of such Reporting Default and (ii) 0.50% of the principal amount of the Securities from the 91st day to, and including, the 180th day after the occurrence of such Reporting Default. If the Company so elects, the Additional Interest shall accrue on all Outstanding Securities from and including the date on which such Reporting Default first occurs until such violation is cured or waived and shall be payable as provided in Section 3.7. On the 181 st day after such Reporting Default (if such violation is not cured or waived prior to such 181 st calendar day), then the Trustee or the Holders of not less than 25% in principal amount of the Outstanding securities may declare the principal of, and premium, if any, together with accrued and unpaid interest, if any, on all such Securities to be due and payable immediately.</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Company elects to pay the Additional Interest as the sole remedy for the Reporting Default, the Company shall notify in writing, by a certificate, the Holders, the Paying Agent and the Trustee of such election at any time on or before the close of business on the first Business Day following the date on which such Event of Default first occurs. Unless and until a Responsible Officer of the Trustee receives at the Corporate Trust Office such a certificate, the Trustee may assume without inquiry that Additional Interest is not payable. The Company shall pay the Additional Interest semi-annually in arrears, with the first semi-annual payment due on the first Interest Payment Date following the date of such Reporting Default, in the same manner as described on the face of the Security.</w:t>
      </w:r>
    </w:p>
    <w:p>
      <w:pPr>
        <w:spacing w:after="0" w:line="193" w:lineRule="exact"/>
        <w:rPr>
          <w:sz w:val="20"/>
          <w:szCs w:val="20"/>
          <w:color w:val="auto"/>
        </w:rPr>
      </w:pPr>
    </w:p>
    <w:p>
      <w:pPr>
        <w:jc w:val="both"/>
        <w:ind w:firstLine="656"/>
        <w:spacing w:after="0" w:line="312" w:lineRule="auto"/>
        <w:tabs>
          <w:tab w:leader="none" w:pos="1159" w:val="left"/>
        </w:tabs>
        <w:numPr>
          <w:ilvl w:val="0"/>
          <w:numId w:val="55"/>
        </w:numPr>
        <w:rPr>
          <w:rFonts w:ascii="Arial" w:cs="Arial" w:eastAsia="Arial" w:hAnsi="Arial"/>
          <w:sz w:val="16"/>
          <w:szCs w:val="16"/>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46" w:lineRule="exact"/>
        <w:rPr>
          <w:rFonts w:ascii="Arial" w:cs="Arial" w:eastAsia="Arial" w:hAnsi="Arial"/>
          <w:sz w:val="16"/>
          <w:szCs w:val="16"/>
          <w:color w:val="auto"/>
        </w:rPr>
      </w:pPr>
    </w:p>
    <w:p>
      <w:pPr>
        <w:ind w:left="1820" w:hanging="515"/>
        <w:spacing w:after="0"/>
        <w:tabs>
          <w:tab w:leader="none" w:pos="18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225" w:lineRule="exact"/>
        <w:rPr>
          <w:rFonts w:ascii="Arial" w:cs="Arial" w:eastAsia="Arial" w:hAnsi="Arial"/>
          <w:sz w:val="18"/>
          <w:szCs w:val="18"/>
          <w:color w:val="auto"/>
        </w:rPr>
      </w:pPr>
    </w:p>
    <w:p>
      <w:pPr>
        <w:ind w:left="2200" w:hanging="571"/>
        <w:spacing w:after="0"/>
        <w:tabs>
          <w:tab w:leader="none" w:pos="2200" w:val="left"/>
        </w:tabs>
        <w:numPr>
          <w:ilvl w:val="2"/>
          <w:numId w:val="55"/>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225" w:lineRule="exact"/>
        <w:rPr>
          <w:rFonts w:ascii="Arial" w:cs="Arial" w:eastAsia="Arial" w:hAnsi="Arial"/>
          <w:sz w:val="18"/>
          <w:szCs w:val="18"/>
          <w:color w:val="auto"/>
        </w:rPr>
      </w:pPr>
    </w:p>
    <w:p>
      <w:pPr>
        <w:ind w:left="980" w:firstLine="649"/>
        <w:spacing w:after="0" w:line="277" w:lineRule="auto"/>
        <w:tabs>
          <w:tab w:leader="none" w:pos="2376"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70" w:lineRule="exact"/>
        <w:rPr>
          <w:rFonts w:ascii="Arial" w:cs="Arial" w:eastAsia="Arial" w:hAnsi="Arial"/>
          <w:sz w:val="18"/>
          <w:szCs w:val="18"/>
          <w:color w:val="auto"/>
        </w:rPr>
      </w:pPr>
    </w:p>
    <w:p>
      <w:pPr>
        <w:ind w:left="2180" w:hanging="551"/>
        <w:spacing w:after="0"/>
        <w:tabs>
          <w:tab w:leader="none" w:pos="2180" w:val="left"/>
        </w:tabs>
        <w:numPr>
          <w:ilvl w:val="2"/>
          <w:numId w:val="55"/>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or rates prescribed therefor in such</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Securities, and</w:t>
      </w:r>
    </w:p>
    <w:p>
      <w:pPr>
        <w:spacing w:after="0" w:line="210" w:lineRule="exact"/>
        <w:rPr>
          <w:rFonts w:ascii="Arial" w:cs="Arial" w:eastAsia="Arial" w:hAnsi="Arial"/>
          <w:sz w:val="16"/>
          <w:szCs w:val="16"/>
          <w:color w:val="auto"/>
        </w:rPr>
      </w:pPr>
    </w:p>
    <w:p>
      <w:pPr>
        <w:ind w:left="980" w:firstLine="649"/>
        <w:spacing w:after="0" w:line="277" w:lineRule="auto"/>
        <w:tabs>
          <w:tab w:leader="none" w:pos="2201" w:val="left"/>
        </w:tabs>
        <w:numPr>
          <w:ilvl w:val="2"/>
          <w:numId w:val="55"/>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rFonts w:ascii="Arial" w:cs="Arial" w:eastAsia="Arial" w:hAnsi="Arial"/>
          <w:sz w:val="18"/>
          <w:szCs w:val="18"/>
          <w:color w:val="auto"/>
        </w:rPr>
      </w:pPr>
    </w:p>
    <w:p>
      <w:pPr>
        <w:ind w:left="660" w:firstLine="645"/>
        <w:spacing w:after="0" w:line="277" w:lineRule="auto"/>
        <w:tabs>
          <w:tab w:leader="none" w:pos="1866"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Securities of that series which have become due solely by such declaration of acceleration, have been cured or waived as provided in Section 5.13.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5.3 Collection of Indebtedness and Suits for Enforcement by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left="660" w:firstLine="645"/>
        <w:spacing w:after="0" w:line="277" w:lineRule="auto"/>
        <w:tabs>
          <w:tab w:leader="none" w:pos="1989"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6" w:name="page67"/>
    <w:bookmarkEnd w:id="66"/>
    <w:p>
      <w:pPr>
        <w:jc w:val="both"/>
        <w:ind w:left="660" w:firstLine="645"/>
        <w:spacing w:after="0" w:line="255" w:lineRule="auto"/>
        <w:tabs>
          <w:tab w:leader="none" w:pos="1884"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 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5.4 Trustee May File Proofs of Claim.</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6.7.</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Trustee may, on behalf of the Holders, vote for the election of a trustee in bankruptcy or similar official and be a member of a creditors’ or other similar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5.5 Trustee May Enforce Claims Without Possession of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5.6 Application of Money Collected.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6.7;</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any premium, if any, and interest on the Securities in respect of which or for the benefit of which such money has been collected, ratably, without preference or priority of any kind, according to the amounts due and payable on such Securities for principal and any premium, if any, and interest, respectively;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color w:val="auto"/>
        </w:rPr>
        <w:t>THIRD: The balance, if any, to the Company or any other Person or Persons entitled thereto.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5.7 Limitation on Suits.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1860" w:hanging="555"/>
        <w:spacing w:after="0"/>
        <w:tabs>
          <w:tab w:leader="none" w:pos="18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 that</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w:t>
      </w:r>
    </w:p>
    <w:p>
      <w:pPr>
        <w:spacing w:after="0" w:line="211" w:lineRule="exact"/>
        <w:rPr>
          <w:sz w:val="20"/>
          <w:szCs w:val="20"/>
          <w:color w:val="auto"/>
        </w:rPr>
      </w:pPr>
    </w:p>
    <w:p>
      <w:pPr>
        <w:ind w:left="660" w:firstLine="645"/>
        <w:spacing w:after="0" w:line="277" w:lineRule="auto"/>
        <w:tabs>
          <w:tab w:leader="none" w:pos="183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left="660" w:firstLine="645"/>
        <w:spacing w:after="0" w:line="277" w:lineRule="auto"/>
        <w:tabs>
          <w:tab w:leader="none" w:pos="1865"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48" w:lineRule="exact"/>
        <w:rPr>
          <w:rFonts w:ascii="Arial" w:cs="Arial" w:eastAsia="Arial" w:hAnsi="Arial"/>
          <w:sz w:val="16"/>
          <w:szCs w:val="16"/>
          <w:color w:val="auto"/>
        </w:rPr>
      </w:pPr>
    </w:p>
    <w:p>
      <w:pPr>
        <w:ind w:left="660" w:firstLine="645"/>
        <w:spacing w:after="0" w:line="277" w:lineRule="auto"/>
        <w:tabs>
          <w:tab w:leader="none" w:pos="19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5.8 Unconditional Right of Holders to Receive Principal, Premium and Interest and to Convert.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any premium and (subject to Section 3.7) interest on such Security on the respective Stated Maturities expressed in such Security (or, in the case of redemption, on the Redemption Date), to convert such Securities in accordance with Article 14 to the extent that such right to convert is applicable to such Security, and to institute suit for the enforcement of any such payment, and such rights shall not be impaired without the consent of such 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5.9 Restoration of Rights and Remedies.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5.10 Rights and Remedies Cumulative.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Section 5.11 Delay or Omission Not Waiver.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(subject to the limitations contained in this Indenture) or by the Holders, as the case may be.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5.12 Control by 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1" w:lineRule="exact"/>
        <w:rPr>
          <w:sz w:val="20"/>
          <w:szCs w:val="20"/>
          <w:color w:val="auto"/>
        </w:rPr>
      </w:pPr>
    </w:p>
    <w:p>
      <w:pPr>
        <w:ind w:left="660" w:right="20" w:firstLine="645"/>
        <w:spacing w:after="0" w:line="342" w:lineRule="auto"/>
        <w:tabs>
          <w:tab w:leader="none" w:pos="1876"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such direction shall not be in conflict with any rule of law or with this Indenture and the Trustee shall not have determined that the action so directed would be unjustly prejudicial to Holders of Securities of that series, or any other series, not taking part in such direction; and</w:t>
      </w:r>
    </w:p>
    <w:p>
      <w:pPr>
        <w:spacing w:after="0" w:line="123" w:lineRule="exact"/>
        <w:rPr>
          <w:rFonts w:ascii="Arial" w:cs="Arial" w:eastAsia="Arial" w:hAnsi="Arial"/>
          <w:sz w:val="16"/>
          <w:szCs w:val="16"/>
          <w:color w:val="auto"/>
        </w:rPr>
      </w:pPr>
    </w:p>
    <w:p>
      <w:pPr>
        <w:ind w:left="1820" w:hanging="515"/>
        <w:spacing w:after="0"/>
        <w:tabs>
          <w:tab w:leader="none" w:pos="18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Trustee may take any other action deemed proper by the Trustee which is not inconsistent with such direction or this Indenture.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5.13 Waiver of Past Defaults.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w:t>
      </w:r>
    </w:p>
    <w:p>
      <w:pPr>
        <w:spacing w:after="0" w:line="170" w:lineRule="exact"/>
        <w:rPr>
          <w:sz w:val="20"/>
          <w:szCs w:val="20"/>
          <w:color w:val="auto"/>
        </w:rPr>
      </w:pPr>
    </w:p>
    <w:p>
      <w:pPr>
        <w:jc w:val="both"/>
        <w:ind w:left="660" w:right="20" w:firstLine="645"/>
        <w:spacing w:after="0" w:line="264" w:lineRule="auto"/>
        <w:tabs>
          <w:tab w:leader="none" w:pos="1907"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default in the payment of the principal of or any premium or interest on any Security of such series as and when the same shall become due and payable by the terms thereof, otherwise than by acceleration (unless such default has been cured and a sum sufficient to pay all matured installments of interest, principal and premium, if any, has been deposited with the Trustee), or</w:t>
      </w:r>
    </w:p>
    <w:p>
      <w:pPr>
        <w:spacing w:after="0" w:line="181" w:lineRule="exact"/>
        <w:rPr>
          <w:rFonts w:ascii="Arial" w:cs="Arial" w:eastAsia="Arial" w:hAnsi="Arial"/>
          <w:sz w:val="18"/>
          <w:szCs w:val="18"/>
          <w:color w:val="auto"/>
        </w:rPr>
      </w:pPr>
    </w:p>
    <w:p>
      <w:pPr>
        <w:ind w:left="1900" w:hanging="595"/>
        <w:spacing w:after="0"/>
        <w:tabs>
          <w:tab w:leader="none" w:pos="1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the extent such right is applicable to such Security, a failure by the Company on request to convert any Security into Common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Stock; or</w:t>
      </w:r>
    </w:p>
    <w:p>
      <w:pPr>
        <w:spacing w:after="0" w:line="210" w:lineRule="exact"/>
        <w:rPr>
          <w:rFonts w:ascii="Arial" w:cs="Arial" w:eastAsia="Arial" w:hAnsi="Arial"/>
          <w:sz w:val="16"/>
          <w:szCs w:val="16"/>
          <w:color w:val="auto"/>
        </w:rPr>
      </w:pPr>
    </w:p>
    <w:p>
      <w:pPr>
        <w:ind w:left="660" w:right="20" w:firstLine="645"/>
        <w:spacing w:after="0" w:line="277" w:lineRule="auto"/>
        <w:tabs>
          <w:tab w:leader="none" w:pos="1843"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9 cannot be modified or amended without the consent of the Holder of each Outstanding Security of such series affected.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5.14 Undertaking for Costs.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this Section nor the Trust Indenture Act shall be deemed to authorize any court to require such an undertaking or to make such an assessment in any suit instituted by the Company or in any suit for the enforcement of the right to convert any Security in accordance with Article 14.</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Section 5.15 Waiver of Usury, Stay or Extension Laws.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Certain Duties and Responsibilities.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Notice of Defaults.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If a default occurs hereunder with respect to Securities of any series, the Trustee shall give the Holders of Securities of such series notice of such default as and to the extent provided by the Trust Indenture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in the case of a default in the payment of principal of (or premium, if any) or interest on any Securities of such series or in the payment of any sinking fund installment or any conversion right applicable to Securities of such series, the Trustee shall be protected in withholding such notice if and so long as a trust committee of directors and/or Responsible Officers of the Trustee in good faith determine that the withholding of such notice is in the interests of the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any default of the character specified in Section 5.1(4) with respect to Securities of such series, no such notice to Holders shall be given until at least 60 days after the occurrence thereof. For the purpose of this Section, the term “default” means any event which is, or after notice or lapse of time or both would become, an Event of Default with respect to Securities of such series.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with respect to Section 10. 1, the Trustee shall have no duty to inquire as to the performance of the Company with respect to the covenants contained in Article 10. In addition, the Trustee shall not be deemed to have knowledge of an Event of Default except (i) any Default or Event of Default occurring pursuant to Sections 5.1(1), 5.1(2) and 5.1(3) (defaults in payments on the Securities) or (ii) any Default or Event of Default of which the Trustee shall have received written notification or obtained actual knowledge.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Delivery of reports, information and documents to the Trustee under Section 7.4 is for informational purposes only and the Trustee’s receipt of the foregoing shall not constitute constructive notice of any information contained therein or determinable from information contained therein, including the Company’s compliance with any of their covenants hereunder (as to which the Trustee is entitled to rely conclusively on Officers’ Certificates).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Section 6.3 Certain Rights of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provisions of Section 6.1:</w:t>
      </w:r>
    </w:p>
    <w:p>
      <w:pPr>
        <w:spacing w:after="0" w:line="225" w:lineRule="exact"/>
        <w:rPr>
          <w:sz w:val="20"/>
          <w:szCs w:val="20"/>
          <w:color w:val="auto"/>
        </w:rPr>
      </w:pPr>
    </w:p>
    <w:p>
      <w:pPr>
        <w:jc w:val="both"/>
        <w:ind w:left="660" w:firstLine="645"/>
        <w:spacing w:after="0" w:line="312" w:lineRule="auto"/>
        <w:tabs>
          <w:tab w:leader="none" w:pos="1866"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the absence of bad faith on the part of the Trustee, 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46" w:lineRule="exact"/>
        <w:rPr>
          <w:rFonts w:ascii="Arial" w:cs="Arial" w:eastAsia="Arial" w:hAnsi="Arial"/>
          <w:sz w:val="16"/>
          <w:szCs w:val="16"/>
          <w:color w:val="auto"/>
        </w:rPr>
      </w:pPr>
    </w:p>
    <w:p>
      <w:pPr>
        <w:ind w:left="660" w:firstLine="645"/>
        <w:spacing w:after="0" w:line="277" w:lineRule="auto"/>
        <w:tabs>
          <w:tab w:leader="none" w:pos="1969"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0" w:lineRule="exact"/>
        <w:rPr>
          <w:rFonts w:ascii="Arial" w:cs="Arial" w:eastAsia="Arial" w:hAnsi="Arial"/>
          <w:sz w:val="18"/>
          <w:szCs w:val="18"/>
          <w:color w:val="auto"/>
        </w:rPr>
      </w:pPr>
    </w:p>
    <w:p>
      <w:pPr>
        <w:jc w:val="both"/>
        <w:ind w:left="660" w:right="20" w:firstLine="645"/>
        <w:spacing w:after="0" w:line="264" w:lineRule="auto"/>
        <w:tabs>
          <w:tab w:leader="none" w:pos="1904"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is entitled to and may, in the absence of bad faith on its part, rely upon an Officers’ Certificate;</w:t>
      </w:r>
    </w:p>
    <w:p>
      <w:pPr>
        <w:spacing w:after="0" w:line="181" w:lineRule="exact"/>
        <w:rPr>
          <w:rFonts w:ascii="Arial" w:cs="Arial" w:eastAsia="Arial" w:hAnsi="Arial"/>
          <w:sz w:val="18"/>
          <w:szCs w:val="18"/>
          <w:color w:val="auto"/>
        </w:rPr>
      </w:pPr>
    </w:p>
    <w:p>
      <w:pPr>
        <w:ind w:left="660" w:right="20" w:firstLine="645"/>
        <w:spacing w:after="0" w:line="308" w:lineRule="auto"/>
        <w:tabs>
          <w:tab w:leader="none" w:pos="1889"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jc w:val="both"/>
        <w:ind w:left="660" w:firstLine="645"/>
        <w:spacing w:after="0" w:line="286" w:lineRule="auto"/>
        <w:tabs>
          <w:tab w:leader="none" w:pos="1977"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65" w:lineRule="exact"/>
        <w:rPr>
          <w:rFonts w:ascii="Arial" w:cs="Arial" w:eastAsia="Arial" w:hAnsi="Arial"/>
          <w:sz w:val="17"/>
          <w:szCs w:val="17"/>
          <w:color w:val="auto"/>
        </w:rPr>
      </w:pPr>
    </w:p>
    <w:p>
      <w:pPr>
        <w:jc w:val="both"/>
        <w:ind w:left="660" w:firstLine="645"/>
        <w:spacing w:after="0" w:line="257" w:lineRule="auto"/>
        <w:tabs>
          <w:tab w:leader="none" w:pos="194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88" w:lineRule="exact"/>
        <w:rPr>
          <w:rFonts w:ascii="Arial" w:cs="Arial" w:eastAsia="Arial" w:hAnsi="Arial"/>
          <w:sz w:val="18"/>
          <w:szCs w:val="18"/>
          <w:color w:val="auto"/>
        </w:rPr>
      </w:pPr>
    </w:p>
    <w:p>
      <w:pPr>
        <w:jc w:val="both"/>
        <w:ind w:left="660" w:firstLine="645"/>
        <w:spacing w:after="0" w:line="264" w:lineRule="auto"/>
        <w:tabs>
          <w:tab w:leader="none" w:pos="19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6.4 Not Responsible for Recitals or Issuance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sufficiency or priority of this Indenture or of the Securities. Neither the Trustee nor any Authenticating Agent shall be accountable for the use or application by the Company of Securities or the proceeds thereof.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6.5 May Hold Securities and Act as Trustee under Other Indentures.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Trustee, any Authenticating Agent, any Paying Agent, any Security Registrar or any other agent of the Company, in its individual or any other capacity, may become the owner or pledgee of Securities and, subject to Sections 6.8 and 6.13, may otherwise deal with the Company with the same rights it would have if it were not Trustee, Authenticating Agent, Paying Agent, Security Registrar or such other agent.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1" w:name="page72"/>
    <w:bookmarkEnd w:id="71"/>
    <w:p>
      <w:pPr>
        <w:jc w:val="both"/>
        <w:ind w:firstLine="648"/>
        <w:spacing w:after="0" w:line="264" w:lineRule="auto"/>
        <w:rPr>
          <w:sz w:val="20"/>
          <w:szCs w:val="20"/>
          <w:color w:val="auto"/>
        </w:rPr>
      </w:pPr>
      <w:r>
        <w:rPr>
          <w:rFonts w:ascii="Arial" w:cs="Arial" w:eastAsia="Arial" w:hAnsi="Arial"/>
          <w:sz w:val="18"/>
          <w:szCs w:val="18"/>
          <w:color w:val="auto"/>
        </w:rPr>
        <w:t>Subject to the limitations imposed by the Trust Indenture Act, nothing in this Indenture shall prohibit the Trustee from becoming and acting as trustee under other indentures under which other securities, or certificates of interest of participation in other securities, of the Company are outstanding in the same manner as if it were not Trustee 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6.6 Money Held in Trust.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6.7 Compensation and Reimbursement.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agrees:</w:t>
      </w:r>
    </w:p>
    <w:p>
      <w:pPr>
        <w:spacing w:after="0" w:line="225" w:lineRule="exact"/>
        <w:rPr>
          <w:sz w:val="20"/>
          <w:szCs w:val="20"/>
          <w:color w:val="auto"/>
        </w:rPr>
      </w:pPr>
    </w:p>
    <w:p>
      <w:pPr>
        <w:ind w:left="660" w:firstLine="645"/>
        <w:spacing w:after="0" w:line="277" w:lineRule="auto"/>
        <w:tabs>
          <w:tab w:leader="none" w:pos="1847"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873"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86" w:lineRule="exact"/>
        <w:rPr>
          <w:rFonts w:ascii="Arial" w:cs="Arial" w:eastAsia="Arial" w:hAnsi="Arial"/>
          <w:sz w:val="18"/>
          <w:szCs w:val="18"/>
          <w:color w:val="auto"/>
        </w:rPr>
      </w:pPr>
    </w:p>
    <w:p>
      <w:pPr>
        <w:jc w:val="both"/>
        <w:ind w:left="660" w:firstLine="645"/>
        <w:spacing w:after="0" w:line="312" w:lineRule="auto"/>
        <w:tabs>
          <w:tab w:leader="none" w:pos="1884" w:val="left"/>
        </w:tabs>
        <w:numPr>
          <w:ilvl w:val="0"/>
          <w:numId w:val="63"/>
        </w:numPr>
        <w:rPr>
          <w:rFonts w:ascii="Arial" w:cs="Arial" w:eastAsia="Arial" w:hAnsi="Arial"/>
          <w:sz w:val="16"/>
          <w:szCs w:val="16"/>
          <w:color w:val="auto"/>
        </w:rPr>
      </w:pPr>
      <w:r>
        <w:rPr>
          <w:rFonts w:ascii="Arial" w:cs="Arial" w:eastAsia="Arial" w:hAnsi="Arial"/>
          <w:sz w:val="16"/>
          <w:szCs w:val="16"/>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5.1(5) or Section 5.1(6) hereof occurs, the expenses and the compensation for the services (including the fees and expenses of its agents and counsel) are intended to constitute expenses of administration under any applicable bankruptcy, insolvency, reorganization or similar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6.8 Conflicting Interests.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Trustee has or shall acquire a conflicting interest within the meaning of the Trust Indenture Act and there is an Event of Default under the Securities of that series,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6.9 Corporate Trustee Required; Eligibility.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(or if the Trustee is a member of a bank holding company system, its bank holding company has) a combined capital and surplus of at least $50,000,000. If any such Person or bank holding company publishes reports of condition at least annually, pursuant to law or to the requirements of its supervising or examining authority, then for the purposes of this Section and to the extent permitted by the Trust Indenture Act, the combined capital and surplus of such Person or bank holding company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Section 6.10 Resignation and Removal; Appointment of Successor.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left="660" w:firstLine="645"/>
        <w:spacing w:after="0" w:line="277" w:lineRule="auto"/>
        <w:tabs>
          <w:tab w:leader="none" w:pos="19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shall fail to comply with Section 6.8 after written request therefor by the Company or by any Holder who has been a bona fide Holder of a Security for at least six months, or</w:t>
      </w:r>
    </w:p>
    <w:p>
      <w:pPr>
        <w:spacing w:after="0" w:line="170" w:lineRule="exact"/>
        <w:rPr>
          <w:rFonts w:ascii="Arial" w:cs="Arial" w:eastAsia="Arial" w:hAnsi="Arial"/>
          <w:sz w:val="18"/>
          <w:szCs w:val="18"/>
          <w:color w:val="auto"/>
        </w:rPr>
      </w:pPr>
    </w:p>
    <w:p>
      <w:pPr>
        <w:ind w:left="660" w:firstLine="645"/>
        <w:spacing w:after="0" w:line="277" w:lineRule="auto"/>
        <w:tabs>
          <w:tab w:leader="none" w:pos="1896"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6.9 and shall fail to resign after written request therefor by the Company or by any such Holder,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97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the retiring Trustee may petition, or any Holder who has been a bona fide Holder of a Security of such series for at least six months may petition, on behalf of himself and all others similarly situated, any court of competent jurisdiction for the appointment of a successor Trustee with respect to the Securities of such series.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3" w:name="page74"/>
    <w:bookmarkEnd w:id="73"/>
    <w:p>
      <w:pPr>
        <w:jc w:val="both"/>
        <w:ind w:firstLine="648"/>
        <w:spacing w:after="0" w:line="312" w:lineRule="auto"/>
        <w:rPr>
          <w:sz w:val="20"/>
          <w:szCs w:val="20"/>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1.6. Each notice shall include the name of the successor Trustee with respect to the Securities of such series and the address of its Corporate Trust Office.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6.11 Acceptance of Appointment by Successor.</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6.12 Merger, Conversion, Consolidation or Succession to Business.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the event that any Securities shall not have been authenticated by such predecessor Trustee, any such successor Trustee may authenticate and deliver such Securities in either its own name or that of such predecessor Trustee, with the full force and effect which this Indenture provides for the certificate of authentication of the Trustee.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Section 6.13 Preferential Collection of Claims Against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6.14 Appointment of Authenticating Agent.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(or if the Authenticating Agent is a member of a bank holding company system, its bank holding company has)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6.7.</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6.14, the Securities of such series may have endorsed thereon, in lieu of the Trustee’s certificate of authentication, an alternative certificate of authentication in the following form: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94361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4361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339598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As Authenticating Officer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Company to Furnish Trustee Names and Addresses of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furnish or cause to be furnished to the Trustee</w:t>
      </w:r>
    </w:p>
    <w:p>
      <w:pPr>
        <w:spacing w:after="0" w:line="225" w:lineRule="exact"/>
        <w:rPr>
          <w:sz w:val="20"/>
          <w:szCs w:val="20"/>
          <w:color w:val="auto"/>
        </w:rPr>
      </w:pPr>
    </w:p>
    <w:p>
      <w:pPr>
        <w:jc w:val="both"/>
        <w:ind w:left="660" w:firstLine="645"/>
        <w:spacing w:after="0" w:line="264" w:lineRule="auto"/>
        <w:tabs>
          <w:tab w:leader="none" w:pos="18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each respective series of Securities, a list, in such form as the Trustee may reasonably require, of the names and addresses of the Holders of Securities of each series as of such Regular Record Date, as the case may be, or if there is no Regular Record Date for such series of Securities, semi-annually, and</w:t>
      </w:r>
    </w:p>
    <w:p>
      <w:pPr>
        <w:spacing w:after="0" w:line="181" w:lineRule="exact"/>
        <w:rPr>
          <w:rFonts w:ascii="Arial" w:cs="Arial" w:eastAsia="Arial" w:hAnsi="Arial"/>
          <w:sz w:val="18"/>
          <w:szCs w:val="18"/>
          <w:color w:val="auto"/>
        </w:rPr>
      </w:pPr>
    </w:p>
    <w:p>
      <w:pPr>
        <w:ind w:left="660" w:firstLine="645"/>
        <w:spacing w:after="0" w:line="277" w:lineRule="auto"/>
        <w:tabs>
          <w:tab w:leader="none" w:pos="1854"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provided that no such list need be furnished by the Company to the Trustee so long as the Trustee is acting as Security Registrar.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Preservation of Information; Communications to Holders.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7.1 and the names and addresses of Holders received by the Trustee in its capacity as Security Registrar. The Trustee may destroy any list furnished to it as provided in Section 7.1 upon receipt of a new list so furnished.</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7.3 Reports by Trustee.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6" w:name="page77"/>
    <w:bookmarkEnd w:id="76"/>
    <w:p>
      <w:pPr>
        <w:jc w:val="both"/>
        <w:ind w:firstLine="648"/>
        <w:spacing w:after="0" w:line="277" w:lineRule="auto"/>
        <w:rPr>
          <w:sz w:val="20"/>
          <w:szCs w:val="20"/>
          <w:color w:val="auto"/>
        </w:rPr>
      </w:pPr>
      <w:r>
        <w:rPr>
          <w:rFonts w:ascii="Arial" w:cs="Arial" w:eastAsia="Arial" w:hAnsi="Arial"/>
          <w:sz w:val="18"/>
          <w:szCs w:val="18"/>
          <w:color w:val="auto"/>
        </w:rPr>
        <w:t>Reports so required to be transmitted at stated intervals of not more than 12 months shall be transmitted no later than July 15 in each calendar year, commencing with the first July 15 after the first issuance of Securities pursuant to this Indenture.</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7.4 Reports by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Any information, documents or other reports that the Company shall file with the Commission pursuant to Section 13 or 15(d) of the Exchange Act shall be filed with the Trustee within 15 days after the same is filed with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information, documents or reports filed or furnished with the Commission pursuant to its Electronic Data Gathering, Analysis and Retrieval (or EDGAR) system shall be deemed to be filed with the Trustee as of the time such information, documents or reports are filed or furnished via EDGAR.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Company May Consolidate, etc., Only on Certain Terms.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shall not consolidate with or merge into any other Person (other than a Subsidiary of the Company) (in a transaction in which the Company is not the surviving corporation) or convey, transfer or lease its properties and assets substantially as an entirety to any Person (other than a Subsidiary of the Company), unless:</w:t>
      </w:r>
    </w:p>
    <w:p>
      <w:pPr>
        <w:spacing w:after="0" w:line="181" w:lineRule="exact"/>
        <w:rPr>
          <w:sz w:val="20"/>
          <w:szCs w:val="20"/>
          <w:color w:val="auto"/>
        </w:rPr>
      </w:pPr>
    </w:p>
    <w:p>
      <w:pPr>
        <w:jc w:val="both"/>
        <w:ind w:left="660" w:firstLine="645"/>
        <w:spacing w:after="0" w:line="269" w:lineRule="auto"/>
        <w:tabs>
          <w:tab w:leader="none" w:pos="1836"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case the Company shall consolidate with or merge into another Person (in a transaction in which the Company is not the surviving corporation)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limited liability company, partnership, trust or other business entity,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and the conversion rights shall be provided for in accordance with Article 14, if applicable, or as otherwise specified pursuant to Section 3. 1, by supplemental indenture satisfactory in form to the Trustee, executed and delivered to the Trustee, by the Person (if other than the Company) formed by such consolidation or into which the Company shall have been merged or by the Person which shall have acquired the Company’s assets;</w:t>
      </w:r>
    </w:p>
    <w:p>
      <w:pPr>
        <w:spacing w:after="0" w:line="182" w:lineRule="exact"/>
        <w:rPr>
          <w:rFonts w:ascii="Arial" w:cs="Arial" w:eastAsia="Arial" w:hAnsi="Arial"/>
          <w:sz w:val="17"/>
          <w:szCs w:val="17"/>
          <w:color w:val="auto"/>
        </w:rPr>
      </w:pPr>
    </w:p>
    <w:p>
      <w:pPr>
        <w:jc w:val="both"/>
        <w:ind w:left="660" w:firstLine="645"/>
        <w:spacing w:after="0" w:line="312" w:lineRule="auto"/>
        <w:tabs>
          <w:tab w:leader="none" w:pos="1898" w:val="left"/>
        </w:tabs>
        <w:numPr>
          <w:ilvl w:val="0"/>
          <w:numId w:val="66"/>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occurred and be continuing; and</w:t>
      </w:r>
    </w:p>
    <w:p>
      <w:pPr>
        <w:spacing w:after="0" w:line="146" w:lineRule="exact"/>
        <w:rPr>
          <w:rFonts w:ascii="Arial" w:cs="Arial" w:eastAsia="Arial" w:hAnsi="Arial"/>
          <w:sz w:val="16"/>
          <w:szCs w:val="16"/>
          <w:color w:val="auto"/>
        </w:rPr>
      </w:pPr>
    </w:p>
    <w:p>
      <w:pPr>
        <w:jc w:val="both"/>
        <w:ind w:left="660" w:firstLine="645"/>
        <w:spacing w:after="0" w:line="312" w:lineRule="auto"/>
        <w:tabs>
          <w:tab w:leader="none" w:pos="1888"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Section 8.2 Successor Substituted.</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Upon any consolidation of the Company with, or merger of the Company into, any other Person or any conveyance, transfer or lease of the properties and assets of the Company substantially as an entirety in accordance with Section 8.1,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Supplemental Indentures Without Consent of 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70" w:lineRule="exact"/>
        <w:rPr>
          <w:sz w:val="20"/>
          <w:szCs w:val="20"/>
          <w:color w:val="auto"/>
        </w:rPr>
      </w:pPr>
    </w:p>
    <w:p>
      <w:pPr>
        <w:ind w:left="660" w:firstLine="645"/>
        <w:spacing w:after="0" w:line="277" w:lineRule="auto"/>
        <w:tabs>
          <w:tab w:leader="none" w:pos="187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or successive successions, and the assumption by any such successor of the covenants of the Company herein and in the Securities in compliance with Article 8;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865" w:val="left"/>
        </w:tabs>
        <w:numPr>
          <w:ilvl w:val="1"/>
          <w:numId w:val="67"/>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855" w:val="left"/>
        </w:tabs>
        <w:numPr>
          <w:ilvl w:val="1"/>
          <w:numId w:val="67"/>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866" w:val="left"/>
        </w:tabs>
        <w:numPr>
          <w:ilvl w:val="1"/>
          <w:numId w:val="67"/>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81" w:lineRule="exact"/>
        <w:rPr>
          <w:rFonts w:ascii="Arial" w:cs="Arial" w:eastAsia="Arial" w:hAnsi="Arial"/>
          <w:sz w:val="18"/>
          <w:szCs w:val="18"/>
          <w:color w:val="auto"/>
        </w:rPr>
      </w:pPr>
    </w:p>
    <w:p>
      <w:pPr>
        <w:jc w:val="both"/>
        <w:ind w:left="660" w:firstLine="645"/>
        <w:spacing w:after="0" w:line="288" w:lineRule="auto"/>
        <w:tabs>
          <w:tab w:leader="none" w:pos="1843"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to add to, change or eliminate any of the provisions of this Indenture in respect of one or more series of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w:t>
      </w:r>
    </w:p>
    <w:p>
      <w:pPr>
        <w:ind w:left="940" w:hanging="284"/>
        <w:spacing w:after="0"/>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shall become effective only when there is no such Security Outstanding; or</w:t>
      </w:r>
    </w:p>
    <w:p>
      <w:pPr>
        <w:spacing w:after="0" w:line="210" w:lineRule="exact"/>
        <w:rPr>
          <w:rFonts w:ascii="Arial" w:cs="Arial" w:eastAsia="Arial" w:hAnsi="Arial"/>
          <w:sz w:val="18"/>
          <w:szCs w:val="18"/>
          <w:color w:val="auto"/>
        </w:rPr>
      </w:pPr>
    </w:p>
    <w:p>
      <w:pPr>
        <w:ind w:left="1820" w:hanging="515"/>
        <w:spacing w:after="0"/>
        <w:tabs>
          <w:tab w:leader="none" w:pos="18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to secure the Securities, including provisions regarding the circumstances under which collateral may be released or substituted; or</w:t>
      </w:r>
    </w:p>
    <w:p>
      <w:pPr>
        <w:spacing w:after="0" w:line="248" w:lineRule="exact"/>
        <w:rPr>
          <w:rFonts w:ascii="Arial" w:cs="Arial" w:eastAsia="Arial" w:hAnsi="Arial"/>
          <w:sz w:val="16"/>
          <w:szCs w:val="16"/>
          <w:color w:val="auto"/>
        </w:rPr>
      </w:pPr>
    </w:p>
    <w:p>
      <w:pPr>
        <w:ind w:left="1820" w:hanging="515"/>
        <w:spacing w:after="0"/>
        <w:tabs>
          <w:tab w:leader="none" w:pos="18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to add or provide for a guaranty of the Securities or additional obligors on the Securities; or</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2.1 and 3.1; or</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864" w:val="left"/>
        </w:tabs>
        <w:numPr>
          <w:ilvl w:val="1"/>
          <w:numId w:val="6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8" w:name="page79"/>
    <w:bookmarkEnd w:id="78"/>
    <w:p>
      <w:pPr>
        <w:jc w:val="both"/>
        <w:ind w:left="660" w:firstLine="645"/>
        <w:spacing w:after="0" w:line="286" w:lineRule="auto"/>
        <w:tabs>
          <w:tab w:leader="none" w:pos="2090"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to cure any ambiguity, to correct or supplement any provision herein which may be defective or inconsistent with any other provision herein, or to make any other provisions with respect to matters or questions arising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action pursuant to this clause (10) shall not adversely affect the interests of the Holders of Securities of any series in any material respect; or</w:t>
      </w:r>
    </w:p>
    <w:p>
      <w:pPr>
        <w:spacing w:after="0" w:line="165" w:lineRule="exact"/>
        <w:rPr>
          <w:rFonts w:ascii="Arial" w:cs="Arial" w:eastAsia="Arial" w:hAnsi="Arial"/>
          <w:sz w:val="17"/>
          <w:szCs w:val="17"/>
          <w:color w:val="auto"/>
        </w:rPr>
      </w:pPr>
    </w:p>
    <w:p>
      <w:pPr>
        <w:jc w:val="both"/>
        <w:ind w:left="660" w:firstLine="645"/>
        <w:spacing w:after="0" w:line="264" w:lineRule="auto"/>
        <w:tabs>
          <w:tab w:leader="none" w:pos="1959"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the Indenture to such extent as shall be necessary to permit or facilitate the defeasance and discharge of any series of Securities pursuant to Articles 4 and 13,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such series or any other series of Securities in any material respect.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Supplemental Indentures with Consent of Holders.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supplemental indenture shall, without the consent of the Holder of each Outstanding Security affected thereby,</w:t>
      </w:r>
    </w:p>
    <w:p>
      <w:pPr>
        <w:spacing w:after="0" w:line="173" w:lineRule="exact"/>
        <w:rPr>
          <w:sz w:val="20"/>
          <w:szCs w:val="20"/>
          <w:color w:val="auto"/>
        </w:rPr>
      </w:pPr>
    </w:p>
    <w:p>
      <w:pPr>
        <w:jc w:val="both"/>
        <w:ind w:left="660" w:firstLine="645"/>
        <w:spacing w:after="0" w:line="254" w:lineRule="auto"/>
        <w:tabs>
          <w:tab w:leader="none" w:pos="1869" w:val="left"/>
        </w:tabs>
        <w:numPr>
          <w:ilvl w:val="0"/>
          <w:numId w:val="7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5.2, or change the place of payment or the coin or currency in which, any Security or any premium or interest thereon is payable, or impair the right to institute suit for the enforcement of any such payment on or after the Stated Maturity thereof (or, in the case of redemption, on or after the Redemption Date), or modify the provisions of this Indenture in the case of Securities of any series that are convertible into Securities or other securities of the Company, adversely affect the right of Holders to convert any of the Securities of such series other than as provided in or pursuant to this Indenture, or</w:t>
      </w:r>
    </w:p>
    <w:p>
      <w:pPr>
        <w:spacing w:after="0" w:line="192" w:lineRule="exact"/>
        <w:rPr>
          <w:rFonts w:ascii="Arial" w:cs="Arial" w:eastAsia="Arial" w:hAnsi="Arial"/>
          <w:sz w:val="18"/>
          <w:szCs w:val="18"/>
          <w:color w:val="auto"/>
        </w:rPr>
      </w:pPr>
    </w:p>
    <w:p>
      <w:pPr>
        <w:jc w:val="both"/>
        <w:ind w:left="660" w:firstLine="645"/>
        <w:spacing w:after="0" w:line="264" w:lineRule="auto"/>
        <w:tabs>
          <w:tab w:leader="none" w:pos="1879"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1" w:lineRule="exact"/>
        <w:rPr>
          <w:rFonts w:ascii="Arial" w:cs="Arial" w:eastAsia="Arial" w:hAnsi="Arial"/>
          <w:sz w:val="18"/>
          <w:szCs w:val="18"/>
          <w:color w:val="auto"/>
        </w:rPr>
      </w:pPr>
    </w:p>
    <w:p>
      <w:pPr>
        <w:jc w:val="both"/>
        <w:ind w:left="660" w:firstLine="645"/>
        <w:spacing w:after="0" w:line="257" w:lineRule="auto"/>
        <w:tabs>
          <w:tab w:leader="none" w:pos="1863" w:val="left"/>
        </w:tabs>
        <w:numPr>
          <w:ilvl w:val="0"/>
          <w:numId w:val="70"/>
        </w:numPr>
        <w:rPr>
          <w:rFonts w:ascii="Arial" w:cs="Arial" w:eastAsia="Arial" w:hAnsi="Arial"/>
          <w:sz w:val="18"/>
          <w:szCs w:val="18"/>
          <w:color w:val="auto"/>
        </w:rPr>
      </w:pPr>
      <w:r>
        <w:rPr>
          <w:rFonts w:ascii="Arial" w:cs="Arial" w:eastAsia="Arial" w:hAnsi="Arial"/>
          <w:sz w:val="18"/>
          <w:szCs w:val="18"/>
          <w:color w:val="auto"/>
        </w:rPr>
        <w:t>modify any of the provisions of this Section, Section 5.13 or Section 10.8,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10.8, or the deletion of this proviso, in accordance with the requirements of Sections 6.11 and 9.1(8), or</w:t>
      </w:r>
    </w:p>
    <w:p>
      <w:pPr>
        <w:spacing w:after="0" w:line="188" w:lineRule="exact"/>
        <w:rPr>
          <w:rFonts w:ascii="Arial" w:cs="Arial" w:eastAsia="Arial" w:hAnsi="Arial"/>
          <w:sz w:val="18"/>
          <w:szCs w:val="18"/>
          <w:color w:val="auto"/>
        </w:rPr>
      </w:pPr>
    </w:p>
    <w:p>
      <w:pPr>
        <w:ind w:left="660" w:right="20" w:firstLine="645"/>
        <w:spacing w:after="0" w:line="277" w:lineRule="auto"/>
        <w:tabs>
          <w:tab w:leader="none" w:pos="1972"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applicable, make any change that adversely affects the right to convert any security as provided in Article 14 or pursuant to Section 3.1 (except as permitted by Section 9.1(9)).</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9" w:name="page80"/>
    <w:bookmarkEnd w:id="79"/>
    <w:p>
      <w:pPr>
        <w:jc w:val="both"/>
        <w:ind w:right="20" w:firstLine="648"/>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Execution of Supplemental Indentures.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Sections 6.1 and 6.3)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Effect of Supplemental Indentures.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9.5 Conformity with Trust Indenture Act.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supplemental indenture executed pursuant to this Article shall conform to the requirements of the Trust Indenture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Reference in Securities to Supplemental Indentures.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Payment of Principal, Premium and Interest.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Maintenance of Office or Agency.</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Unless otherwise provided in a supplemental indenture or pursuant to Section 3.1 hereof, the Place of Payment for any series of Securities shall be the Corporate Trust Office of the Trustee.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0" w:name="page81"/>
    <w:bookmarkEnd w:id="80"/>
    <w:p>
      <w:pPr>
        <w:jc w:val="both"/>
        <w:ind w:firstLine="648"/>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Money for Securities Payments To Be Held in Trust.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Whenever the Company shall have one or more Paying Agents for any series of Securities, it will, on or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Any money deposited with the Trustee or any Paying Agent, or then held by the Company, in trust for the payment of the principal of or any premium or interest on any Security of any series and remaining unclaimed for a period ending on the earlier of the date that is ten Business Days prior to the date such money would escheat to the State 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10.4 Statement by Officers as to Default.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 The fiscal year of the Company currently ends on December 31; and the Company will give the Trustee prompt written notice of any change of its fiscal year.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Section 10.5 Existence.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Article 8, the Company will do or cause to be done all things necessary to preserve and keep in full force and effect its existence.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10.6 Maintenance of Properties.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will cause all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10.7 Payment of Taxes and Other Claims.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will pay or discharge or cause to be paid or discharged, before the same shall become delinquent, (1) all taxes, assessments and governmental charges levied or imposed upon the Company or upon the income, profits or property of the Company, and (2) all lawful claims for labor, materials and supplies which, if unpaid, might by law become a lien upon the property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pay or discharge or cause to be paid or discharged any such tax, assessment, charge or claim (i) whose amount, applicability or validity is being contested in good faith by appropriate proceedings or (ii) if the failure to pay or discharge would not have a material adverse effect on the assets, business, operations, properties or condition (financial or otherwise) of the Company and its subsidiaries, taken as a whole.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10.8 Waiver of Certain Covenants.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as otherwise specified as contemplated by Section 3.1 for Securities of such series, the Company may, with respect to the Securities of any series, omit in any particular instance to comply with any term, provision or condition set forth in any covenant provided pursuant to Section 3.1(19), 9.1(2), 9.1(7), 10.6 or 10.7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Applicability of Article.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Securities of any series that are redeemable before their Stated Maturity shall be redeemable in accordance with their terms and (except as otherwise specified as contemplated by Section 3.1 for such Securities) in accordance with this Article.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Section 11.2 Election to Redeem; Notice to Trustee.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election of the Company to redeem any Securities shall be evidenced by a Board Resolution or in another manner specified as contemplated by Section 3.1 for such Securities. In case of any redemption at the election of the Company of less than all the Securities of any series (including any such redemption affecting only a single Security),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Selection by Trustee of Securities to Be Redeemed.</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prior to the Redemption Date by the Trustee, from the Outstanding Securities of such series not previously called for redemption, by lot, or in the Trustee’s discretion, on a pro-rata basis,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45 days prior to the Redemption Date by the Trustee, from the Outstanding Securities of such series and specified tenor not previously called for redemption in accordance with the preceding sentence.</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that have been converted during a selection of Securities to be redeemed shall be treated by the Trustee as Outstanding for the purpose of such selection.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provisions of the three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Notice of Redemption.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Notice of redemption shall be given by first-class mail, postage prepaid, mailed not fewer than 30 nor more than 60 days prior to the Redemption Date, unless a shorter period is specified in the Securities to be redeemed, to each Holder of Securities to be redeemed, at its address appearing in the Security Register.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820" w:hanging="515"/>
        <w:spacing w:after="0"/>
        <w:tabs>
          <w:tab w:leader="none" w:pos="1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5560" w:right="5460" w:hanging="4255"/>
        <w:spacing w:after="0" w:line="624" w:lineRule="auto"/>
        <w:tabs>
          <w:tab w:leader="none" w:pos="182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Redemption Price (including accrued interest, if any),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3" w:name="page84"/>
    <w:bookmarkEnd w:id="83"/>
    <w:p>
      <w:pPr>
        <w:jc w:val="both"/>
        <w:ind w:left="660" w:firstLine="645"/>
        <w:spacing w:after="0" w:line="259" w:lineRule="auto"/>
        <w:tabs>
          <w:tab w:leader="none" w:pos="2076"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86" w:lineRule="exact"/>
        <w:rPr>
          <w:rFonts w:ascii="Arial" w:cs="Arial" w:eastAsia="Arial" w:hAnsi="Arial"/>
          <w:sz w:val="18"/>
          <w:szCs w:val="18"/>
          <w:color w:val="auto"/>
        </w:rPr>
      </w:pPr>
    </w:p>
    <w:p>
      <w:pPr>
        <w:jc w:val="both"/>
        <w:ind w:left="660" w:firstLine="645"/>
        <w:spacing w:after="0" w:line="264" w:lineRule="auto"/>
        <w:tabs>
          <w:tab w:leader="none" w:pos="1833"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that on and after the Redemption Date, upon surrender of the Security, the Holder of such Security will receive, without charge, a new Security or Securities of authorized denominations for the principal amount thereof remaining unredeemed;</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9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70" w:lineRule="exact"/>
        <w:rPr>
          <w:rFonts w:ascii="Arial" w:cs="Arial" w:eastAsia="Arial" w:hAnsi="Arial"/>
          <w:sz w:val="18"/>
          <w:szCs w:val="18"/>
          <w:color w:val="auto"/>
        </w:rPr>
      </w:pPr>
    </w:p>
    <w:p>
      <w:pPr>
        <w:ind w:left="1820" w:hanging="515"/>
        <w:spacing w:after="0"/>
        <w:tabs>
          <w:tab w:leader="none" w:pos="1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w:t>
      </w:r>
    </w:p>
    <w:p>
      <w:pPr>
        <w:spacing w:after="0" w:line="225" w:lineRule="exact"/>
        <w:rPr>
          <w:rFonts w:ascii="Arial" w:cs="Arial" w:eastAsia="Arial" w:hAnsi="Arial"/>
          <w:sz w:val="18"/>
          <w:szCs w:val="18"/>
          <w:color w:val="auto"/>
        </w:rPr>
      </w:pPr>
    </w:p>
    <w:p>
      <w:pPr>
        <w:jc w:val="both"/>
        <w:ind w:left="660" w:firstLine="645"/>
        <w:spacing w:after="0" w:line="342" w:lineRule="auto"/>
        <w:tabs>
          <w:tab w:leader="none" w:pos="1873"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applicable, the conversion price or the conversion rate, as the case may be, the date on which the right to convert the principal of the Securities or the portions thereof to be redeemed will terminate, and the place or places where such Securities may be surrendered for conversion,</w:t>
      </w:r>
    </w:p>
    <w:p>
      <w:pPr>
        <w:spacing w:after="0" w:line="123" w:lineRule="exact"/>
        <w:rPr>
          <w:rFonts w:ascii="Arial" w:cs="Arial" w:eastAsia="Arial" w:hAnsi="Arial"/>
          <w:sz w:val="16"/>
          <w:szCs w:val="16"/>
          <w:color w:val="auto"/>
        </w:rPr>
      </w:pPr>
    </w:p>
    <w:p>
      <w:pPr>
        <w:ind w:left="1820" w:hanging="515"/>
        <w:spacing w:after="0"/>
        <w:tabs>
          <w:tab w:leader="none" w:pos="1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CUSIP number or numbers and/or common code(s) of the Security being redeemed.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Deposit of Redemption Price.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or prior to any Redemption Date, the Company shall deposit with the Trustee or with a Paying Agent (or, if the Company is acting as its own Paying Agent, segregate and hold in trust as provided in Section 10.3) an amount of money sufficient to pay the Redemption Price of, and (except if the Redemption Date shall be an Interest Payment Date) accrued interest on, all the Securities which are to be redeemed on that date.</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Security called for redemption is converted, any money deposited with the Trustee or with a Paying Agent or so segregated and held in trust for the redemption of such Security shall (subject to the right of any Holder of such Security to receive interest as provided in the last paragraph of Section 3.7) be paid to the Company on Company Request, or if then held by the Company, shall be discharged from such trust.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11.6 Securities Payable on Redemption Date.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otherwise specified as contemplated by Section 3.1,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3.7.</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4" w:name="page85"/>
    <w:bookmarkEnd w:id="84"/>
    <w:p>
      <w:pPr>
        <w:jc w:val="both"/>
        <w:ind w:firstLine="648"/>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11.7 Securities Redeemed in Part.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Applicability of Article.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any series except as otherwise specified as contemplated by Section 3.1 for such Securities.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12.2. Each sinking fund payment shall be applied to the redemption of Securities as provided for by the terms of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 Satisfaction of Sinking Fund Payments with Securities.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12.3 Redemption of Securities for Sinking Fund.</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 fewer than 60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12.2 and will also deliver to the Trustee any Securities to be so delivered. Not fewer than 30 days prior to each such sinking fund payment date, the Trustee shall select the Securities to be redeemed upon such sinking fund payment date in the manner specified in Section 11.3 and cause notice of the redemption thereof to be given in the name of and at the expense of the Company in the manner provided in Section 11.4. Such notice having been duly given, the redemption of such Securities shall be made upon the terms and in the manner stated in Sections 11.6 and 11.7.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DEFEASANCE AND COVENANT DEFEASANCE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13.1 Company’s Option to Effect Defeasance or Covenant Defeasance.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may elect, at its option at any time, to have Section 13.2 or Section 13.3 applied to any Securities or any series of Securities, as the case may be, designated pursuant to Section 3.1 as being defeasible pursuant to such Section 13.2 or 13.3, in accordance with any applicable requirements provided pursuant to Section 3.1 and upon compliance with the conditions set forth below in this Article. Any such election shall be evidenced by a Board Resolution or in another manner specified as contemplated by Section 3.1 for such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13.2 Defeasance and Discharge.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the Company’s exercise of its option (if any) to have this Section applied to any Securities or any series of Securities, as the case may be, the Company shall be deemed to have been discharged from its obligations with respect to such Securities as provided in this Section on and after the date the conditions set forth in Section 13.4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w:t>
      </w:r>
    </w:p>
    <w:p>
      <w:pPr>
        <w:spacing w:after="0" w:line="178" w:lineRule="exact"/>
        <w:rPr>
          <w:sz w:val="20"/>
          <w:szCs w:val="20"/>
          <w:color w:val="auto"/>
        </w:rPr>
      </w:pPr>
    </w:p>
    <w:p>
      <w:pPr>
        <w:ind w:left="660" w:firstLine="645"/>
        <w:spacing w:after="0" w:line="308" w:lineRule="auto"/>
        <w:tabs>
          <w:tab w:leader="none" w:pos="1861"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rights of Holders of such Securities to receive, solely from the trust fund described in Section 13.4 and as more fully set forth in such Section, payments in respect of the principal of and any premium and interest on such Securities when payments are due,</w:t>
      </w:r>
    </w:p>
    <w:p>
      <w:pPr>
        <w:spacing w:after="0" w:line="146" w:lineRule="exact"/>
        <w:rPr>
          <w:rFonts w:ascii="Arial" w:cs="Arial" w:eastAsia="Arial" w:hAnsi="Arial"/>
          <w:sz w:val="17"/>
          <w:szCs w:val="17"/>
          <w:color w:val="auto"/>
        </w:rPr>
      </w:pPr>
    </w:p>
    <w:p>
      <w:pPr>
        <w:ind w:left="1820" w:hanging="515"/>
        <w:spacing w:after="0"/>
        <w:tabs>
          <w:tab w:leader="none" w:pos="18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Company’s obligations with respect to such Securities under Sections 3.4, 3.5, 3.6, 10.2 and 10.3, and, if applicable, Article 14,</w:t>
      </w:r>
    </w:p>
    <w:p>
      <w:pPr>
        <w:spacing w:after="0" w:line="248" w:lineRule="exact"/>
        <w:rPr>
          <w:rFonts w:ascii="Arial" w:cs="Arial" w:eastAsia="Arial" w:hAnsi="Arial"/>
          <w:sz w:val="16"/>
          <w:szCs w:val="16"/>
          <w:color w:val="auto"/>
        </w:rPr>
      </w:pPr>
    </w:p>
    <w:p>
      <w:pPr>
        <w:ind w:left="1820" w:hanging="515"/>
        <w:spacing w:after="0"/>
        <w:tabs>
          <w:tab w:leader="none" w:pos="1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w:t>
      </w:r>
    </w:p>
    <w:p>
      <w:pPr>
        <w:spacing w:after="0" w:line="225" w:lineRule="exact"/>
        <w:rPr>
          <w:rFonts w:ascii="Arial" w:cs="Arial" w:eastAsia="Arial" w:hAnsi="Arial"/>
          <w:sz w:val="18"/>
          <w:szCs w:val="18"/>
          <w:color w:val="auto"/>
        </w:rPr>
      </w:pPr>
    </w:p>
    <w:p>
      <w:pPr>
        <w:ind w:left="1820" w:hanging="515"/>
        <w:spacing w:after="0"/>
        <w:tabs>
          <w:tab w:leader="none" w:pos="18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Article.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Subject to compliance with this Article, the Company may exercise its option (if any) to have this Section applied to any Securities notwithstanding the prior exercise of its option (if any) to have Section 13.3 applied to such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13.3 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the Company’s exercise of its option (if any) to have this Section applied to any Securities or any series of Securities, as the case may be,</w:t>
      </w:r>
    </w:p>
    <w:p>
      <w:pPr>
        <w:spacing w:after="0" w:line="248" w:lineRule="exact"/>
        <w:rPr>
          <w:sz w:val="20"/>
          <w:szCs w:val="20"/>
          <w:color w:val="auto"/>
        </w:rPr>
      </w:pPr>
    </w:p>
    <w:p>
      <w:pPr>
        <w:ind w:left="660" w:firstLine="645"/>
        <w:spacing w:after="0" w:line="277" w:lineRule="auto"/>
        <w:tabs>
          <w:tab w:leader="none" w:pos="18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be released from its obligations under Sections 10.6 and 10.7 and any covenants provided pursuant to Sections 3.1(19), 9.1(2) or 9.1(7) for the benefit of the Holders of such Securities and</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9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occurrence of any event specified in Section 5.1(4) (with respect to any of Sections 10.6 and 10.7 and any such covenants provided pursuant to Section 3.1(19), 9.1(2) or 9.1(7)) and the occurrence of any other Event of Default specified pursuant to Section 3.1 shall be deemed not to be or result in an Event of Default,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each case with respect to such Securities or any series of Securities as provided in this Section on and after the date the conditions set forth in Section 13.4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5.1(4) and the occurrence of any other Event of Default specified pursuant to Section 3. 1),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Section 13.4 Conditions to Defeasance or 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shall be the conditions to the application of Section 13.2 or Section 13.3 to any Securities or any series of Securities, as the case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211" w:lineRule="exact"/>
        <w:rPr>
          <w:sz w:val="20"/>
          <w:szCs w:val="20"/>
          <w:color w:val="auto"/>
        </w:rPr>
      </w:pPr>
    </w:p>
    <w:p>
      <w:pPr>
        <w:jc w:val="both"/>
        <w:ind w:left="660" w:firstLine="645"/>
        <w:spacing w:after="0" w:line="259" w:lineRule="auto"/>
        <w:tabs>
          <w:tab w:leader="none" w:pos="19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shall irrevocably have deposited or caused to be deposited with the Trustee (or another trustee which satisfies the requirements contemplated by Section 6.9 and agrees to comply with the provisions of this Article applicable to it) as trust funds in trust for the purpose of making the following payments, specifically pledged as security for, and dedicated solely to, the benefits of the Holders of such Securities,</w:t>
      </w:r>
    </w:p>
    <w:p>
      <w:pPr>
        <w:spacing w:after="0" w:line="186" w:lineRule="exact"/>
        <w:rPr>
          <w:rFonts w:ascii="Arial" w:cs="Arial" w:eastAsia="Arial" w:hAnsi="Arial"/>
          <w:sz w:val="18"/>
          <w:szCs w:val="18"/>
          <w:color w:val="auto"/>
        </w:rPr>
      </w:pPr>
    </w:p>
    <w:p>
      <w:pPr>
        <w:ind w:left="2200" w:hanging="571"/>
        <w:spacing w:after="0"/>
        <w:tabs>
          <w:tab w:leader="none" w:pos="22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of the United States of America,</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2"/>
          <w:numId w:val="75"/>
        </w:numPr>
        <w:rPr>
          <w:rFonts w:ascii="Arial" w:cs="Arial" w:eastAsia="Arial" w:hAnsi="Arial"/>
          <w:sz w:val="18"/>
          <w:szCs w:val="18"/>
          <w:color w:val="auto"/>
        </w:rPr>
      </w:pPr>
      <w:r>
        <w:rPr>
          <w:rFonts w:ascii="Arial" w:cs="Arial" w:eastAsia="Arial" w:hAnsi="Arial"/>
          <w:sz w:val="18"/>
          <w:szCs w:val="18"/>
          <w:color w:val="auto"/>
        </w:rPr>
        <w:t>cash in currency of the United States of America in an amount, or</w:t>
      </w:r>
    </w:p>
    <w:p>
      <w:pPr>
        <w:spacing w:after="0" w:line="225" w:lineRule="exact"/>
        <w:rPr>
          <w:rFonts w:ascii="Arial" w:cs="Arial" w:eastAsia="Arial" w:hAnsi="Arial"/>
          <w:sz w:val="18"/>
          <w:szCs w:val="18"/>
          <w:color w:val="auto"/>
        </w:rPr>
      </w:pPr>
    </w:p>
    <w:p>
      <w:pPr>
        <w:ind w:left="1300" w:firstLine="653"/>
        <w:spacing w:after="0" w:line="308" w:lineRule="auto"/>
        <w:tabs>
          <w:tab w:leader="none" w:pos="2724" w:val="left"/>
        </w:tabs>
        <w:numPr>
          <w:ilvl w:val="2"/>
          <w:numId w:val="75"/>
        </w:numPr>
        <w:rPr>
          <w:rFonts w:ascii="Arial" w:cs="Arial" w:eastAsia="Arial" w:hAnsi="Arial"/>
          <w:sz w:val="17"/>
          <w:szCs w:val="17"/>
          <w:color w:val="auto"/>
        </w:rPr>
      </w:pPr>
      <w:r>
        <w:rPr>
          <w:rFonts w:ascii="Arial" w:cs="Arial" w:eastAsia="Arial" w:hAnsi="Arial"/>
          <w:sz w:val="17"/>
          <w:szCs w:val="17"/>
          <w:color w:val="auto"/>
        </w:rPr>
        <w:t>U.S. Government Obligations which through the scheduled payment of principal and interest in respect thereof in accordance with their terms will provide, not later than one day before the due date of any payment, an amount in cash, or</w:t>
      </w:r>
    </w:p>
    <w:p>
      <w:pPr>
        <w:spacing w:after="0" w:line="146" w:lineRule="exact"/>
        <w:rPr>
          <w:rFonts w:ascii="Arial" w:cs="Arial" w:eastAsia="Arial" w:hAnsi="Arial"/>
          <w:sz w:val="17"/>
          <w:szCs w:val="17"/>
          <w:color w:val="auto"/>
        </w:rPr>
      </w:pPr>
    </w:p>
    <w:p>
      <w:pPr>
        <w:ind w:left="2540" w:hanging="587"/>
        <w:spacing w:after="0"/>
        <w:tabs>
          <w:tab w:leader="none" w:pos="2540" w:val="left"/>
        </w:tabs>
        <w:numPr>
          <w:ilvl w:val="2"/>
          <w:numId w:val="75"/>
        </w:numPr>
        <w:rPr>
          <w:rFonts w:ascii="Arial" w:cs="Arial" w:eastAsia="Arial" w:hAnsi="Arial"/>
          <w:sz w:val="18"/>
          <w:szCs w:val="18"/>
          <w:color w:val="auto"/>
        </w:rPr>
      </w:pPr>
      <w:r>
        <w:rPr>
          <w:rFonts w:ascii="Arial" w:cs="Arial" w:eastAsia="Arial" w:hAnsi="Arial"/>
          <w:sz w:val="18"/>
          <w:szCs w:val="18"/>
          <w:color w:val="auto"/>
        </w:rPr>
        <w:t>a combination thereof, or</w:t>
      </w:r>
    </w:p>
    <w:p>
      <w:pPr>
        <w:spacing w:after="0" w:line="225" w:lineRule="exact"/>
        <w:rPr>
          <w:rFonts w:ascii="Arial" w:cs="Arial" w:eastAsia="Arial" w:hAnsi="Arial"/>
          <w:sz w:val="18"/>
          <w:szCs w:val="18"/>
          <w:color w:val="auto"/>
        </w:rPr>
      </w:pPr>
    </w:p>
    <w:p>
      <w:pPr>
        <w:ind w:left="2180" w:hanging="551"/>
        <w:spacing w:after="0"/>
        <w:tabs>
          <w:tab w:leader="none" w:pos="21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other than that of the United States of America,</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2"/>
          <w:numId w:val="75"/>
        </w:numPr>
        <w:rPr>
          <w:rFonts w:ascii="Arial" w:cs="Arial" w:eastAsia="Arial" w:hAnsi="Arial"/>
          <w:sz w:val="18"/>
          <w:szCs w:val="18"/>
          <w:color w:val="auto"/>
        </w:rPr>
      </w:pPr>
      <w:r>
        <w:rPr>
          <w:rFonts w:ascii="Arial" w:cs="Arial" w:eastAsia="Arial" w:hAnsi="Arial"/>
          <w:sz w:val="18"/>
          <w:szCs w:val="18"/>
          <w:color w:val="auto"/>
        </w:rPr>
        <w:t>cash in the currency in which such series of Securities is denominated in an amount, or</w:t>
      </w:r>
    </w:p>
    <w:p>
      <w:pPr>
        <w:spacing w:after="0" w:line="225" w:lineRule="exact"/>
        <w:rPr>
          <w:rFonts w:ascii="Arial" w:cs="Arial" w:eastAsia="Arial" w:hAnsi="Arial"/>
          <w:sz w:val="18"/>
          <w:szCs w:val="18"/>
          <w:color w:val="auto"/>
        </w:rPr>
      </w:pPr>
    </w:p>
    <w:p>
      <w:pPr>
        <w:ind w:left="1300" w:firstLine="653"/>
        <w:spacing w:after="0" w:line="308" w:lineRule="auto"/>
        <w:tabs>
          <w:tab w:leader="none" w:pos="2646" w:val="left"/>
        </w:tabs>
        <w:numPr>
          <w:ilvl w:val="2"/>
          <w:numId w:val="75"/>
        </w:numPr>
        <w:rPr>
          <w:rFonts w:ascii="Arial" w:cs="Arial" w:eastAsia="Arial" w:hAnsi="Arial"/>
          <w:sz w:val="17"/>
          <w:szCs w:val="17"/>
          <w:color w:val="auto"/>
        </w:rPr>
      </w:pPr>
      <w:r>
        <w:rPr>
          <w:rFonts w:ascii="Arial" w:cs="Arial" w:eastAsia="Arial" w:hAnsi="Arial"/>
          <w:sz w:val="17"/>
          <w:szCs w:val="17"/>
          <w:color w:val="auto"/>
        </w:rPr>
        <w:t>Foreign Government Obligations which through the scheduled payment of principal and interest in respect thereof in accordance with their terms will provide, not later than one day before the due date of any payment, an amount in cash, or</w:t>
      </w:r>
    </w:p>
    <w:p>
      <w:pPr>
        <w:spacing w:after="0" w:line="146" w:lineRule="exact"/>
        <w:rPr>
          <w:rFonts w:ascii="Arial" w:cs="Arial" w:eastAsia="Arial" w:hAnsi="Arial"/>
          <w:sz w:val="17"/>
          <w:szCs w:val="17"/>
          <w:color w:val="auto"/>
        </w:rPr>
      </w:pPr>
    </w:p>
    <w:p>
      <w:pPr>
        <w:ind w:left="2540" w:hanging="587"/>
        <w:spacing w:after="0"/>
        <w:tabs>
          <w:tab w:leader="none" w:pos="2540" w:val="left"/>
        </w:tabs>
        <w:numPr>
          <w:ilvl w:val="2"/>
          <w:numId w:val="75"/>
        </w:numPr>
        <w:rPr>
          <w:rFonts w:ascii="Arial" w:cs="Arial" w:eastAsia="Arial" w:hAnsi="Arial"/>
          <w:sz w:val="18"/>
          <w:szCs w:val="18"/>
          <w:color w:val="auto"/>
        </w:rPr>
      </w:pPr>
      <w:r>
        <w:rPr>
          <w:rFonts w:ascii="Arial" w:cs="Arial" w:eastAsia="Arial" w:hAnsi="Arial"/>
          <w:sz w:val="18"/>
          <w:szCs w:val="18"/>
          <w:color w:val="auto"/>
        </w:rPr>
        <w:t>a combination thereof,</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w:t>
      </w:r>
    </w:p>
    <w:p>
      <w:pPr>
        <w:spacing w:after="0" w:line="147" w:lineRule="exact"/>
        <w:rPr>
          <w:sz w:val="20"/>
          <w:szCs w:val="20"/>
          <w:color w:val="auto"/>
        </w:rPr>
      </w:pPr>
    </w:p>
    <w:p>
      <w:pPr>
        <w:jc w:val="both"/>
        <w:ind w:left="660" w:firstLine="645"/>
        <w:spacing w:after="0" w:line="255" w:lineRule="auto"/>
        <w:tabs>
          <w:tab w:leader="none" w:pos="18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event of an election to have Section 13.2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7" w:name="page88"/>
    <w:bookmarkEnd w:id="87"/>
    <w:p>
      <w:pPr>
        <w:jc w:val="both"/>
        <w:ind w:left="660" w:firstLine="645"/>
        <w:spacing w:after="0" w:line="257" w:lineRule="auto"/>
        <w:tabs>
          <w:tab w:leader="none" w:pos="18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event of an election to have Section 13.3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88" w:lineRule="exact"/>
        <w:rPr>
          <w:rFonts w:ascii="Arial" w:cs="Arial" w:eastAsia="Arial" w:hAnsi="Arial"/>
          <w:sz w:val="18"/>
          <w:szCs w:val="18"/>
          <w:color w:val="auto"/>
        </w:rPr>
      </w:pPr>
    </w:p>
    <w:p>
      <w:pPr>
        <w:ind w:left="660" w:firstLine="645"/>
        <w:spacing w:after="0" w:line="277" w:lineRule="auto"/>
        <w:tabs>
          <w:tab w:leader="none" w:pos="1946"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70" w:lineRule="exact"/>
        <w:rPr>
          <w:rFonts w:ascii="Arial" w:cs="Arial" w:eastAsia="Arial" w:hAnsi="Arial"/>
          <w:sz w:val="18"/>
          <w:szCs w:val="18"/>
          <w:color w:val="auto"/>
        </w:rPr>
      </w:pPr>
    </w:p>
    <w:p>
      <w:pPr>
        <w:jc w:val="both"/>
        <w:ind w:left="660" w:firstLine="645"/>
        <w:spacing w:after="0" w:line="291" w:lineRule="auto"/>
        <w:tabs>
          <w:tab w:leader="none" w:pos="1857"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5.1(5) and</w:t>
      </w:r>
    </w:p>
    <w:p>
      <w:pPr>
        <w:ind w:left="660"/>
        <w:spacing w:after="0" w:line="261" w:lineRule="auto"/>
        <w:rPr>
          <w:rFonts w:ascii="Arial" w:cs="Arial" w:eastAsia="Arial" w:hAnsi="Arial"/>
          <w:sz w:val="16"/>
          <w:szCs w:val="16"/>
          <w:color w:val="auto"/>
        </w:rPr>
      </w:pPr>
      <w:r>
        <w:rPr>
          <w:rFonts w:ascii="Arial" w:cs="Arial" w:eastAsia="Arial" w:hAnsi="Arial"/>
          <w:sz w:val="18"/>
          <w:szCs w:val="18"/>
          <w:color w:val="auto"/>
        </w:rPr>
        <w:t>(6), at any time on or prior to the 90th day after the date of such deposit (it being understood that this condition shall not be deemed satisfied until after such 90th day).</w:t>
      </w:r>
    </w:p>
    <w:p>
      <w:pPr>
        <w:spacing w:after="0" w:line="183" w:lineRule="exact"/>
        <w:rPr>
          <w:rFonts w:ascii="Arial" w:cs="Arial" w:eastAsia="Arial" w:hAnsi="Arial"/>
          <w:sz w:val="16"/>
          <w:szCs w:val="16"/>
          <w:color w:val="auto"/>
        </w:rPr>
      </w:pPr>
    </w:p>
    <w:p>
      <w:pPr>
        <w:ind w:left="660" w:firstLine="645"/>
        <w:spacing w:after="0" w:line="277" w:lineRule="auto"/>
        <w:tabs>
          <w:tab w:leader="none" w:pos="1882"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170" w:lineRule="exact"/>
        <w:rPr>
          <w:rFonts w:ascii="Arial" w:cs="Arial" w:eastAsia="Arial" w:hAnsi="Arial"/>
          <w:sz w:val="18"/>
          <w:szCs w:val="18"/>
          <w:color w:val="auto"/>
        </w:rPr>
      </w:pPr>
    </w:p>
    <w:p>
      <w:pPr>
        <w:ind w:left="660" w:firstLine="645"/>
        <w:spacing w:after="0" w:line="277" w:lineRule="auto"/>
        <w:tabs>
          <w:tab w:leader="none" w:pos="187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660" w:firstLine="645"/>
        <w:spacing w:after="0" w:line="342" w:lineRule="auto"/>
        <w:tabs>
          <w:tab w:leader="none" w:pos="1863"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123" w:lineRule="exact"/>
        <w:rPr>
          <w:rFonts w:ascii="Arial" w:cs="Arial" w:eastAsia="Arial" w:hAnsi="Arial"/>
          <w:sz w:val="16"/>
          <w:szCs w:val="16"/>
          <w:color w:val="auto"/>
        </w:rPr>
      </w:pPr>
    </w:p>
    <w:p>
      <w:pPr>
        <w:ind w:left="660" w:firstLine="645"/>
        <w:spacing w:after="0" w:line="277" w:lineRule="auto"/>
        <w:tabs>
          <w:tab w:leader="none" w:pos="185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13.5 Deposited Money, U.S. Government Obligations and Foreign Government Obligations to be Held in Trust; Miscellaneous Provisions.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Subject to the provisions of the last paragraph of Section 10.3, all money, U.S. Government Obligations and Foreign Government Obligations (including the proceeds thereof) deposited with the Trustee or other qualifying trustee (solely for purposes of this Section and Section 13.6, the Trustee and any such other trustee are referred to collectively as the “Trustee”) pursuant to Section 13.4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The Company shall pay and indemnify the Trustee against any tax, fee or other charge imposed on or assessed against the U.S. Government Obligations or Foreign Government Obligations deposited pursuant to Section 13.4 or the principal and interest received in respect thereof other than any such tax, fee or other charge which by law is for the account of the Holders of Outstanding Securities. Anything in this Article to the contrary notwithstanding, the Trustee shall deliver or pay to the Company from time to time upon Company Request any money, U.S. Government Obligations or Foreign Government Obligations held by it as provided in Section 13.4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Section 13.6 Reinstatement.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13.2 or 13.3 shall be revived and reinstated as though no deposit had occurred pursuant to this Article with respect to such Securities, until such time as the Trustee or Paying Agent is permitted to apply all money held in trust pursuant to Section 13.5 with respect to such Securities in accordance with this Article; provided, however,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 Applicability of Article.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provisions of this Article shall be applicable to the Securities of any series which are convertible into shares of Common Stock of the Company, and the issuance of such shares of Common Stock upon the conversion of such Securities, except as otherwise specified as contemplated by Section 3.1 for the Securities of such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14.2 Exercise of Conversion Privilege.</w:t>
      </w:r>
    </w:p>
    <w:p>
      <w:pPr>
        <w:spacing w:after="0" w:line="22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In order to exercise a conversion privilege, the Holder of a Security of a series with such a privilege shall surrender such Security to the Company at the office or agency maintained for that purpose pursuant to Section 10.2, accompanied by a duly executed conversion notice to the Company substantially in the form set forth in Section 2.6 stating that the Holder elects to convert such Security or a specified portion thereof. Such notice shall also state, if different from the name and address of such Holder, the name or names (with address) in which the certificate or certificates for shares of Common Stock which shall be issuable on such conversion shall be issued. Securities surrendered for conversion shall (if so required by the Company or the Trustee) be duly endorsed by or accompanied by instruments of transfer in forms satisfactory to the Company and the Trustee duly executed by the Holder or its attorney duly authorized in writing; and Securities so surrendered for conversion (in whole or in part) during the period from the close of business on any Regular Record Date to the opening of business on the next succeeding Interest Payment Date (excluding Securities or portions thereof called for redemption during the period beginning at the close of business on a Regular Record Date and ending at the opening of business on the first Business Day after the next succeeding Interest Payment Date, or if such Interest Payment Date is not a Business Day, the second such Business Day) shall also be accompanied by payment in funds acceptable to the Company of an amount equal to the interest payable on such Interest Payment Date on the principal amount of such Security then being converted, and such interest shall be payable to such Holder notwithstanding the conversion of such Security, subject to the provisions of Section 3.7 relating to the payment of Defaulted Interest by the Company. As promptly as practicable after the receipt of such notice and of any payment required pursuant to a Board Resolution and, subject to Section 3.3, set forth, or determined in the manner provided, in an Officers’ Certificate, or established in one or more indentures supplemental hereto setting forth the terms of such series of Security, and the surrender of such Security in accordance with such reasonable regulations as the Company may prescribe, the Company shall issue and shall deliver, at the office or agency at which such Security is surrendered, to such Holder or on its written order, a certificate or certificates for the number of full shares of Common Stock issuable upon the conversion of such Security (or specified portion thereof), in accordance with the provisions of such Board Resolution, Officers’ Certificate or supplemental indenture, and cash as provided therein in respect of any fractional share of such Common Stock otherwise issuable upon such conversion. Such conversion shall be deemed to have been effected immediately prior to the close of business on the date on which such notice and such payment, if required, shall have been received in proper order for conversion by the Company and such Security shall have been surrendered as aforesaid (unless such Holder shall have so surrendered such Security and shall have instructed the Company to effect the conversion on a particular date following such surrender and such Holder shall be entitled to convert such Security on such date, in which case such conversion shall be deemed to be effected immediately prior to the close of business on such date) and at such time the rights of the Holder of such Security as such Security Holder shall cease and the person or persons in whose name or names any certificate or certificates for shares of Common Stock of the Company shall be issuable upon such conversion shall be deemed to have become the Holder or Holders of record of the shares represented thereby. Except as set forth above and subject to the final paragraph of Section 3.7, no payment or adjustment shall be made upon any conversion on account of any interest accrued on the Securities (or any part thereof) surrendered for conversion or on account of any dividends on the Common Stock of the Company issued upon such conversion. In the case of any Security which is converted in part only, upon such conversion the Company shall execute and the Trustee shall authenticate and deliver to or on the order of the Holder thereof, at the expense of the Company, a new Security or Securities of the same series, of authorized denominations, in aggregate principal amount equal to the unconverted portion of such Security.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Section 14.3 No Fractional Shares.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 fractional share of Common Stock of the Company shall be issued upon conversions of Securities of any series. If more than one Security shall be surrendered for conversion at one time by the same Holder, the number of full shares which shall be issuable upon conversion shall be computed on the basis of the aggregate principal amount of the Securities (or specified portions thereof to the extent permitted hereby) so surrendered. If, except for the provisions of this Section 14.3, any Holder of a Security or Securities would be entitled to a fractional share of Common Stock of the Company upon the conversion of such Security or Securities, or specified portions thereof, the Company shall pay to such Holder an amount in cash equal to the current market value of such fractional share computed, (i) if such Common Stock is listed or admitted to unlisted trading privileges on a national securities exchange or market, on the basis of the last reported sale price regular way on such exchange or market on the last trading day prior to the date of conversion upon which such a sale shall have been effected, or (ii) if such Common Stock is not at the time so listed or admitted to unlisted trading privileges on a national securities exchange or market, on the basis of the average of the bid and asked prices of such Common Stock in the over-the-counter market, on the last trading day prior to the date of conversion, as reported by the National Quotation Bureau, Incorporated or similar organization if the National Quotation Bureau, Incorporated is no longer reporting such information, or if not so available, the fair market price as determined by the Board of Directors. For purposes of this Section, “trading day” shall mean each Monday, Tuesday, Wednesday, Thursday and Friday other than any day on which the Common Stock is not traded or quoted on the principal exchange or market on which the Common Stock is then traded or quoted.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14.4 Adjustment of Conversion Price or Conversion Rate.</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conversion price or conversion rate, as the case may be, of Securities of any series that is convertible into Common Stock of the Company shall be adjusted for any stock dividends, stock splits, reclassifications, combinations or similar transactions in accordance with the terms of the supplemental indenture or Board Resolutions setting forth the terms of the Securities of such series. Whenever the conversion price or conversion rate, as the case may be, is adjusted, the Company shall compute the adjusted conversion price or conversion rate, as the case may be, in accordance with terms of the applicable Board Resolution or supplemental indenture and shall prepare an Officers’ Certificate setting forth the adjusted conversion price or conversion rate, as the case may be, and showing in reasonable detail the facts upon which such adjustment is based, and such certificate shall forthwith be filed at each office or agency maintained for the purpose of conversion of Securities pursuant to Section 10.2 and, if different, with the Trustee. The Company shall forthwith cause a notice setting forth the adjusted conversion price or conversion rate, as the case may be, to be mailed, first class postage prepaid, to each Holder of Securities of such series at its address appearing on the Security Register and to any conversion agent other than the Trustee.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14.5 Notice of Certain Corporate Actions. In case:</w:t>
      </w:r>
    </w:p>
    <w:p>
      <w:pPr>
        <w:spacing w:after="0" w:line="229" w:lineRule="exact"/>
        <w:rPr>
          <w:sz w:val="20"/>
          <w:szCs w:val="20"/>
          <w:color w:val="auto"/>
        </w:rPr>
      </w:pPr>
    </w:p>
    <w:p>
      <w:pPr>
        <w:jc w:val="both"/>
        <w:ind w:left="660" w:firstLine="645"/>
        <w:spacing w:after="0" w:line="264" w:lineRule="auto"/>
        <w:tabs>
          <w:tab w:leader="none" w:pos="19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shall declare a dividend (or any other distribution) on its Common Stock payable otherwise than in cash out of its retained earnings (other than a dividend for which approval of any shareholders of the Company is required) that would require an adjustment pursuant to Section 14.4; or</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85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shall authorize the granting to all or substantially all of the holders of its Common Stock of rights, options or warrants to subscribe for or purchase any shares of capital stock of any class or of any other rights (other than any such grant for which approval of any shareholders of the Company is required);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0" w:name="page91"/>
    <w:bookmarkEnd w:id="90"/>
    <w:p>
      <w:pPr>
        <w:jc w:val="both"/>
        <w:ind w:left="660" w:firstLine="645"/>
        <w:spacing w:after="0" w:line="259" w:lineRule="auto"/>
        <w:tabs>
          <w:tab w:leader="none" w:pos="1886" w:val="left"/>
        </w:tabs>
        <w:numPr>
          <w:ilvl w:val="0"/>
          <w:numId w:val="79"/>
        </w:numPr>
        <w:rPr>
          <w:rFonts w:ascii="Arial" w:cs="Arial" w:eastAsia="Arial" w:hAnsi="Arial"/>
          <w:sz w:val="18"/>
          <w:szCs w:val="18"/>
          <w:color w:val="auto"/>
        </w:rPr>
      </w:pPr>
      <w:r>
        <w:rPr>
          <w:rFonts w:ascii="Arial" w:cs="Arial" w:eastAsia="Arial" w:hAnsi="Arial"/>
          <w:sz w:val="18"/>
          <w:szCs w:val="18"/>
          <w:color w:val="auto"/>
        </w:rPr>
        <w:t>of any reclassification of the Common Stock of the Company (other than a subdivision or combination of its outstanding shares of Common Stock, or of any consolidation, merger or share exchange to which the Company is a party and for which approval of any shareholders of the Company is required), or of the sale of all or substantially all of the assets of the Company; or (4) of the voluntary or involuntary dissolution, liquidation or winding up of the Company;</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then the Company shall cause to be filed with the Trustee, and shall cause to be mailed to all Holders at their last addresses as they shall appear in the Security Register, at least 20 days (or 10 days in any case specified in clause (1) or (2) above) prior to the applicable record date hereinafter specified, a notice stating</w:t>
      </w:r>
    </w:p>
    <w:p>
      <w:pPr>
        <w:jc w:val="both"/>
        <w:ind w:firstLine="8"/>
        <w:spacing w:after="0" w:line="290" w:lineRule="auto"/>
        <w:tabs>
          <w:tab w:leader="none" w:pos="215"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(ii) the date on which such reclassification, consolidation, merger, share exchange, sale,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share exchange, sale, dissolution, liquidation or winding up. If at any time the Trustee shall not be the conversion agent, a copy of such notice shall also forthwith be filed by the Company with the Trustee.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14.6 Reservation of Shares of Common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shall at all times reserve and keep available, free from preemptive rights, out of its authorized but unissued Common Stock, for the purpose of effecting the conversion of Securities, the full number of shares of Common Stock of the Company then issuable upon the conversion of all outstanding Securities of any series that has conversion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14.7 Payment of Certain Taxes upon Conversion.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provided in the next sentence, the Company will pay any and all taxes that may be payable in respect of the issue or delivery of shares of its Common Stock on conversion of Securities pursuant hereto. The Company shall not, however, be required to pay any tax which may be payable in respect of any transfer involved in the issue and delivery of shares of its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14.8 Nonassessability.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covenants that all shares of its Common Stock that may be issued upon conversion of Securities will upon issue in accordance with the terms hereof be duly and validly issued and fully paid and nonassessable.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Section 14.9 Provision in Case of Consolidation, Merger or Sale of Assets.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case of any consolidation or merger of the Company with or into any other Person, any merger of another Person with or into the Company (other than a merger which does not result in any reclassification, conversion, exchange or cancellation of outstanding shares of Common Stock of the Company) or any conveyance, sale, transfer or lease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of a series then Outstanding that is convertible into Common Stock of the Company shall have the right thereafter (which right shall be the exclusive conversion right thereafter available to said Holder), during the period such Security shall be convertible, to convert such Security only into the kind and amount of securities, cash and other property receivable upon such consolidation, merger, conveyance, sale, transfer or lease by a holder of the number of shares of Common Stock of the Company into which such Security might have been converted immediately prior to such consolidation, merger, conveyance, sale, transfer or lease, assuming such holder of Common Stock of the Company (i) is not a Person with which the Company consolidated or merged with or into or which merged into or with the Company or to which such conveyance, sale, transfer or lease was made, as the case may be (a “Constituent Person”), or an Affiliate of a Constituent Person and (ii) failed to exercise his rights of election, if any, as to the kind or amount of securities, cash and other property receivable upon such consolidation, merger, conveyance, sale, transfer or lease (provided that if the kind or amount of securities, cash and other property receivable upon such consolidation, merger, conveyance, sale, transfer, or lease is not the same for each share of Common Stock of the Company held immediately prior to such consolidation, merger, conveyance, sale, transfer or lease by others than a Constituent Person or an Affiliate thereof and in respect of which such rights of election shall not have been exercised (“Non-electing Share”), then for the purpose of this Section 14.9 the kind and amount of securities, cash and other property receivable upon such consolidation, merger, conveyance, sale, transfer or lease by the holders of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or in accordance with the terms of the supplemental indenture or Board Resolutions setting forth the terms of such adjustments. The above provisions of this Section 14.9 shall similarly apply to successive consolidations, mergers, conveyances, sales, transfers or leases. Notice of the execution of such a supplemental indenture shall be given by the Company to the Holder of each Security of a series that is convertible into Common Stock of the Company as provided in Section 1.6 promptly upon such execution. Neither the Trustee nor any conversion agent, if any, shall be under any responsibility to determine the correctness of any provisions contained in any such supplemental indenture relating either to the kind or amount of shares of stock or other securities or property or cash receivable by Holders of Securities of a series convertible into Common Stock of the Company upon the conversion of their Securities after any such consolidation, merger, conveyance, transfer, sale or lease or to any such adjustment, but may accept as conclusive evidence of the correctness of any such provisions, and shall be protected in relying upon, an Opinion of Counsel with respect thereto, which the Company shall cause to be furnished to the Trustee upon request.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14.10 Duties of Trustee Regarding Conversion.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Neither the Trustee nor any conversion agent shall at any time be under any duty or responsibility to any Holder of Securities of any series that is convertible into Common Stock of the Company to determine whether any facts exist which may require any adjustment of the conversion price or conversion rate, as the case may be, or with respect to the nature or extent of any such adjustment when made, or with respect to the method employed, whether herein or in any supplemental indenture, any resolutions of the Board of Directors or written instrument executed by one or more officers of the Company provided to be employed in making the same. Neither the Trustee nor any conversion agent shall be accountable with respect to the validity or value (or the kind or amount) of any shares of Common Stock of the Company, or of any securities or property, which may at any time be issued or delivered upon the conversion of any Securities and neither the Trustee nor any conversion agent makes any representation with respect thereto. Subject to the provisions of Section 6. 1, neither the Trustee nor any conversion agent shall be responsible for any failure of the Company to issue, transfer or deliver any shares of its Common Stock or stock certificates or other securities or property upon the surrender of any Security for the purpose of conversion or to comply with any of the covenants of the Company contained in this Article 14 or in the applicable supplemental indenture, resolutions of the Board of Directors or written instrument executed by one or more duly authorized officers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14.11 Repayment of Certain Funds upon Conversion.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funds which at any time shall have been deposited by the Company or on its behalf with the Trustee or any other paying agent for the purpose of paying the principal of, and premium, if any, and interest, if any, on any of the Securities (including, but not limited to, funds deposited for the sinking fund referred to in Article 12 hereof and funds deposited pursuant to Article 13 hereof) and which shall not be required for such purposes because of the conversion of such Securities as provided in this Article 14 shall after such conversion be repaid to the Company by the Trustee upon the Company’s written request.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22860</wp:posOffset>
            </wp:positionV>
            <wp:extent cx="324993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49930" cy="17145"/>
                    </a:xfrm>
                    <a:prstGeom prst="rect">
                      <a:avLst/>
                    </a:prstGeom>
                    <a:noFill/>
                  </pic:spPr>
                </pic:pic>
              </a:graphicData>
            </a:graphic>
          </wp:anchor>
        </w:drawing>
        <w:drawing>
          <wp:anchor simplePos="0" relativeHeight="251657728" behindDoc="1" locked="0" layoutInCell="0" allowOverlap="1">
            <wp:simplePos x="0" y="0"/>
            <wp:positionH relativeFrom="column">
              <wp:posOffset>3582035</wp:posOffset>
            </wp:positionH>
            <wp:positionV relativeFrom="paragraph">
              <wp:posOffset>-130810</wp:posOffset>
            </wp:positionV>
            <wp:extent cx="324993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24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23495</wp:posOffset>
            </wp:positionV>
            <wp:extent cx="108902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3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3582035</wp:posOffset>
            </wp:positionH>
            <wp:positionV relativeFrom="paragraph">
              <wp:posOffset>22860</wp:posOffset>
            </wp:positionV>
            <wp:extent cx="324993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49930" cy="17145"/>
                    </a:xfrm>
                    <a:prstGeom prst="rect">
                      <a:avLst/>
                    </a:prstGeom>
                    <a:noFill/>
                  </pic:spPr>
                </pic:pic>
              </a:graphicData>
            </a:graphic>
          </wp:anchor>
        </w:drawing>
        <w:drawing>
          <wp:anchor simplePos="0" relativeHeight="251657728" behindDoc="1" locked="0" layoutInCell="0" allowOverlap="1">
            <wp:simplePos x="0" y="0"/>
            <wp:positionH relativeFrom="column">
              <wp:posOffset>3582035</wp:posOffset>
            </wp:positionH>
            <wp:positionV relativeFrom="paragraph">
              <wp:posOffset>-130810</wp:posOffset>
            </wp:positionV>
            <wp:extent cx="324993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24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680"/>
          </w:cols>
          <w:pgMar w:left="900" w:top="665" w:right="1319" w:bottom="1440" w:gutter="0" w:footer="0" w:header="0"/>
        </w:sectPr>
      </w:pPr>
    </w:p>
    <w:bookmarkStart w:id="93" w:name="page94"/>
    <w:bookmarkEnd w:id="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jc w:val="right"/>
        <w:spacing w:after="0"/>
        <w:rPr>
          <w:sz w:val="20"/>
          <w:szCs w:val="20"/>
          <w:color w:val="auto"/>
        </w:rPr>
      </w:pPr>
      <w:r>
        <w:rPr>
          <w:rFonts w:ascii="Arial" w:cs="Arial" w:eastAsia="Arial" w:hAnsi="Arial"/>
          <w:sz w:val="18"/>
          <w:szCs w:val="18"/>
          <w:color w:val="auto"/>
        </w:rPr>
        <w:t>Exhibit 4.2</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IMPRIMIS PHARMACEUTICALS, INC.</w:t>
      </w:r>
    </w:p>
    <w:p>
      <w:pPr>
        <w:spacing w:after="0" w:line="2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1961515</wp:posOffset>
            </wp:positionH>
            <wp:positionV relativeFrom="paragraph">
              <wp:posOffset>152400</wp:posOffset>
            </wp:positionV>
            <wp:extent cx="18097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DATED AS OF ________, 20__</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41"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58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8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1</w:t>
            </w:r>
          </w:p>
        </w:tc>
        <w:tc>
          <w:tcPr>
            <w:tcW w:w="9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DEFINITIONS AND OTHER PROVISIONS OF GENERAL APPLICATION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1.1</w:t>
            </w:r>
          </w:p>
        </w:tc>
        <w:tc>
          <w:tcPr>
            <w:tcW w:w="9580" w:type="dxa"/>
            <w:vAlign w:val="bottom"/>
          </w:tcPr>
          <w:p>
            <w:pPr>
              <w:ind w:left="280"/>
              <w:spacing w:after="0"/>
              <w:rPr>
                <w:sz w:val="20"/>
                <w:szCs w:val="20"/>
                <w:color w:val="auto"/>
              </w:rPr>
            </w:pPr>
            <w:r>
              <w:rPr>
                <w:rFonts w:ascii="Arial" w:cs="Arial" w:eastAsia="Arial" w:hAnsi="Arial"/>
                <w:sz w:val="18"/>
                <w:szCs w:val="18"/>
                <w:color w:val="auto"/>
              </w:rPr>
              <w:t>Definitions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Compliance Certificates and Opinions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1.3</w:t>
            </w:r>
          </w:p>
        </w:tc>
        <w:tc>
          <w:tcPr>
            <w:tcW w:w="9580" w:type="dxa"/>
            <w:vAlign w:val="bottom"/>
          </w:tcPr>
          <w:p>
            <w:pPr>
              <w:ind w:left="280"/>
              <w:spacing w:after="0"/>
              <w:rPr>
                <w:sz w:val="20"/>
                <w:szCs w:val="20"/>
                <w:color w:val="auto"/>
              </w:rPr>
            </w:pPr>
            <w:r>
              <w:rPr>
                <w:rFonts w:ascii="Arial" w:cs="Arial" w:eastAsia="Arial" w:hAnsi="Arial"/>
                <w:sz w:val="18"/>
                <w:szCs w:val="18"/>
                <w:color w:val="auto"/>
              </w:rPr>
              <w:t>Form of Documents Delivered to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1.4</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Acts of Holders; Record Dates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1.5</w:t>
            </w:r>
          </w:p>
        </w:tc>
        <w:tc>
          <w:tcPr>
            <w:tcW w:w="9580" w:type="dxa"/>
            <w:vAlign w:val="bottom"/>
          </w:tcPr>
          <w:p>
            <w:pPr>
              <w:ind w:left="280"/>
              <w:spacing w:after="0"/>
              <w:rPr>
                <w:sz w:val="20"/>
                <w:szCs w:val="20"/>
                <w:color w:val="auto"/>
              </w:rPr>
            </w:pPr>
            <w:r>
              <w:rPr>
                <w:rFonts w:ascii="Arial" w:cs="Arial" w:eastAsia="Arial" w:hAnsi="Arial"/>
                <w:sz w:val="18"/>
                <w:szCs w:val="18"/>
                <w:color w:val="auto"/>
              </w:rPr>
              <w:t>Notices, etc., to Trustee and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1.6</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Notice to Holders; Waiver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1.7</w:t>
            </w:r>
          </w:p>
        </w:tc>
        <w:tc>
          <w:tcPr>
            <w:tcW w:w="9580" w:type="dxa"/>
            <w:vAlign w:val="bottom"/>
          </w:tcPr>
          <w:p>
            <w:pPr>
              <w:ind w:left="280"/>
              <w:spacing w:after="0"/>
              <w:rPr>
                <w:sz w:val="20"/>
                <w:szCs w:val="20"/>
                <w:color w:val="auto"/>
              </w:rPr>
            </w:pPr>
            <w:r>
              <w:rPr>
                <w:rFonts w:ascii="Arial" w:cs="Arial" w:eastAsia="Arial" w:hAnsi="Arial"/>
                <w:sz w:val="18"/>
                <w:szCs w:val="18"/>
                <w:color w:val="auto"/>
              </w:rPr>
              <w:t>Conflict with Trust Indenture Act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1.8</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of Headings and Table of Contents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1.9</w:t>
            </w:r>
          </w:p>
        </w:tc>
        <w:tc>
          <w:tcPr>
            <w:tcW w:w="9580" w:type="dxa"/>
            <w:vAlign w:val="bottom"/>
          </w:tcPr>
          <w:p>
            <w:pPr>
              <w:ind w:left="280"/>
              <w:spacing w:after="0"/>
              <w:rPr>
                <w:sz w:val="20"/>
                <w:szCs w:val="20"/>
                <w:color w:val="auto"/>
              </w:rPr>
            </w:pPr>
            <w:r>
              <w:rPr>
                <w:rFonts w:ascii="Arial" w:cs="Arial" w:eastAsia="Arial" w:hAnsi="Arial"/>
                <w:sz w:val="18"/>
                <w:szCs w:val="18"/>
                <w:color w:val="auto"/>
              </w:rPr>
              <w:t>Successors and Assigns</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Section 1.10</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Separability Clause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1.11</w:t>
            </w:r>
          </w:p>
        </w:tc>
        <w:tc>
          <w:tcPr>
            <w:tcW w:w="9580" w:type="dxa"/>
            <w:vAlign w:val="bottom"/>
          </w:tcPr>
          <w:p>
            <w:pPr>
              <w:ind w:left="280"/>
              <w:spacing w:after="0"/>
              <w:rPr>
                <w:sz w:val="20"/>
                <w:szCs w:val="20"/>
                <w:color w:val="auto"/>
              </w:rPr>
            </w:pPr>
            <w:r>
              <w:rPr>
                <w:rFonts w:ascii="Arial" w:cs="Arial" w:eastAsia="Arial" w:hAnsi="Arial"/>
                <w:sz w:val="18"/>
                <w:szCs w:val="18"/>
                <w:color w:val="auto"/>
              </w:rPr>
              <w:t>Benefits of Indenture</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Section 1.12</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Governing Law</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1.13</w:t>
            </w:r>
          </w:p>
        </w:tc>
        <w:tc>
          <w:tcPr>
            <w:tcW w:w="9580" w:type="dxa"/>
            <w:vAlign w:val="bottom"/>
          </w:tcPr>
          <w:p>
            <w:pPr>
              <w:ind w:left="280"/>
              <w:spacing w:after="0"/>
              <w:rPr>
                <w:sz w:val="20"/>
                <w:szCs w:val="20"/>
                <w:color w:val="auto"/>
              </w:rPr>
            </w:pPr>
            <w:r>
              <w:rPr>
                <w:rFonts w:ascii="Arial" w:cs="Arial" w:eastAsia="Arial" w:hAnsi="Arial"/>
                <w:sz w:val="18"/>
                <w:szCs w:val="18"/>
                <w:color w:val="auto"/>
              </w:rPr>
              <w:t>Legal Holidays</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Section 1.14</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Indenture and Securities Solely Corporate Obligations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1.15</w:t>
            </w:r>
          </w:p>
        </w:tc>
        <w:tc>
          <w:tcPr>
            <w:tcW w:w="9580" w:type="dxa"/>
            <w:vAlign w:val="bottom"/>
          </w:tcPr>
          <w:p>
            <w:pPr>
              <w:ind w:left="280"/>
              <w:spacing w:after="0"/>
              <w:rPr>
                <w:sz w:val="20"/>
                <w:szCs w:val="20"/>
                <w:color w:val="auto"/>
              </w:rPr>
            </w:pPr>
            <w:r>
              <w:rPr>
                <w:rFonts w:ascii="Arial" w:cs="Arial" w:eastAsia="Arial" w:hAnsi="Arial"/>
                <w:sz w:val="18"/>
                <w:szCs w:val="18"/>
                <w:color w:val="auto"/>
              </w:rPr>
              <w:t>Indenture May be Executed in Counterparts</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2</w:t>
            </w:r>
          </w:p>
        </w:tc>
        <w:tc>
          <w:tcPr>
            <w:tcW w:w="9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SECURITY FORMS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2.1</w:t>
            </w:r>
          </w:p>
        </w:tc>
        <w:tc>
          <w:tcPr>
            <w:tcW w:w="9580" w:type="dxa"/>
            <w:vAlign w:val="bottom"/>
          </w:tcPr>
          <w:p>
            <w:pPr>
              <w:ind w:left="280"/>
              <w:spacing w:after="0"/>
              <w:rPr>
                <w:sz w:val="20"/>
                <w:szCs w:val="20"/>
                <w:color w:val="auto"/>
              </w:rPr>
            </w:pPr>
            <w:r>
              <w:rPr>
                <w:rFonts w:ascii="Arial" w:cs="Arial" w:eastAsia="Arial" w:hAnsi="Arial"/>
                <w:sz w:val="18"/>
                <w:szCs w:val="18"/>
                <w:color w:val="auto"/>
              </w:rPr>
              <w:t>Forms Generally</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2.2</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 of Face of Security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2.3</w:t>
            </w:r>
          </w:p>
        </w:tc>
        <w:tc>
          <w:tcPr>
            <w:tcW w:w="9580" w:type="dxa"/>
            <w:vAlign w:val="bottom"/>
          </w:tcPr>
          <w:p>
            <w:pPr>
              <w:ind w:left="280"/>
              <w:spacing w:after="0"/>
              <w:rPr>
                <w:sz w:val="20"/>
                <w:szCs w:val="20"/>
                <w:color w:val="auto"/>
              </w:rPr>
            </w:pPr>
            <w:r>
              <w:rPr>
                <w:rFonts w:ascii="Arial" w:cs="Arial" w:eastAsia="Arial" w:hAnsi="Arial"/>
                <w:sz w:val="18"/>
                <w:szCs w:val="18"/>
                <w:color w:val="auto"/>
              </w:rPr>
              <w:t>Form of Reverse of Security</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2.4</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 of Legend for Global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2.5</w:t>
            </w:r>
          </w:p>
        </w:tc>
        <w:tc>
          <w:tcPr>
            <w:tcW w:w="9580" w:type="dxa"/>
            <w:vAlign w:val="bottom"/>
          </w:tcPr>
          <w:p>
            <w:pPr>
              <w:ind w:left="280"/>
              <w:spacing w:after="0"/>
              <w:rPr>
                <w:sz w:val="20"/>
                <w:szCs w:val="20"/>
                <w:color w:val="auto"/>
              </w:rPr>
            </w:pPr>
            <w:r>
              <w:rPr>
                <w:rFonts w:ascii="Arial" w:cs="Arial" w:eastAsia="Arial" w:hAnsi="Arial"/>
                <w:sz w:val="18"/>
                <w:szCs w:val="18"/>
                <w:color w:val="auto"/>
              </w:rPr>
              <w:t>Form of Trustee’s Certificate of Authentication</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2.6</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Form of Conversion Notice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ARTICLE 3</w:t>
            </w:r>
          </w:p>
        </w:tc>
        <w:tc>
          <w:tcPr>
            <w:tcW w:w="9580" w:type="dxa"/>
            <w:vAlign w:val="bottom"/>
          </w:tcPr>
          <w:p>
            <w:pPr>
              <w:ind w:left="100"/>
              <w:spacing w:after="0"/>
              <w:rPr>
                <w:sz w:val="20"/>
                <w:szCs w:val="20"/>
                <w:color w:val="auto"/>
              </w:rPr>
            </w:pPr>
            <w:r>
              <w:rPr>
                <w:rFonts w:ascii="Arial" w:cs="Arial" w:eastAsia="Arial" w:hAnsi="Arial"/>
                <w:sz w:val="18"/>
                <w:szCs w:val="18"/>
                <w:color w:val="auto"/>
              </w:rPr>
              <w:t>THE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3.1</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 Unlimited; Issuable in Series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3.2</w:t>
            </w:r>
          </w:p>
        </w:tc>
        <w:tc>
          <w:tcPr>
            <w:tcW w:w="9580" w:type="dxa"/>
            <w:vAlign w:val="bottom"/>
          </w:tcPr>
          <w:p>
            <w:pPr>
              <w:ind w:left="280"/>
              <w:spacing w:after="0"/>
              <w:rPr>
                <w:sz w:val="20"/>
                <w:szCs w:val="20"/>
                <w:color w:val="auto"/>
              </w:rPr>
            </w:pPr>
            <w:r>
              <w:rPr>
                <w:rFonts w:ascii="Arial" w:cs="Arial" w:eastAsia="Arial" w:hAnsi="Arial"/>
                <w:sz w:val="18"/>
                <w:szCs w:val="18"/>
                <w:color w:val="auto"/>
              </w:rPr>
              <w:t>Denominations</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3.3</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Execution, Authentication, Delivery and Dating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3.4</w:t>
            </w:r>
          </w:p>
        </w:tc>
        <w:tc>
          <w:tcPr>
            <w:tcW w:w="9580" w:type="dxa"/>
            <w:vAlign w:val="bottom"/>
          </w:tcPr>
          <w:p>
            <w:pPr>
              <w:ind w:left="280"/>
              <w:spacing w:after="0"/>
              <w:rPr>
                <w:sz w:val="20"/>
                <w:szCs w:val="20"/>
                <w:color w:val="auto"/>
              </w:rPr>
            </w:pPr>
            <w:r>
              <w:rPr>
                <w:rFonts w:ascii="Arial" w:cs="Arial" w:eastAsia="Arial" w:hAnsi="Arial"/>
                <w:sz w:val="18"/>
                <w:szCs w:val="18"/>
                <w:color w:val="auto"/>
              </w:rPr>
              <w:t>Temporary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3.5</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Registration; Registration of Transfer and Exchange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3.6</w:t>
            </w:r>
          </w:p>
        </w:tc>
        <w:tc>
          <w:tcPr>
            <w:tcW w:w="9580" w:type="dxa"/>
            <w:vAlign w:val="bottom"/>
          </w:tcPr>
          <w:p>
            <w:pPr>
              <w:ind w:left="280"/>
              <w:spacing w:after="0"/>
              <w:rPr>
                <w:sz w:val="20"/>
                <w:szCs w:val="20"/>
                <w:color w:val="auto"/>
              </w:rPr>
            </w:pPr>
            <w:r>
              <w:rPr>
                <w:rFonts w:ascii="Arial" w:cs="Arial" w:eastAsia="Arial" w:hAnsi="Arial"/>
                <w:sz w:val="18"/>
                <w:szCs w:val="18"/>
                <w:color w:val="auto"/>
              </w:rPr>
              <w:t>Mutilated, Destroyed, Lost and Stolen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3.7</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 of Interest; Interest Rights Preserved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3.8</w:t>
            </w:r>
          </w:p>
        </w:tc>
        <w:tc>
          <w:tcPr>
            <w:tcW w:w="9580" w:type="dxa"/>
            <w:vAlign w:val="bottom"/>
          </w:tcPr>
          <w:p>
            <w:pPr>
              <w:ind w:left="280"/>
              <w:spacing w:after="0"/>
              <w:rPr>
                <w:sz w:val="20"/>
                <w:szCs w:val="20"/>
                <w:color w:val="auto"/>
              </w:rPr>
            </w:pPr>
            <w:r>
              <w:rPr>
                <w:rFonts w:ascii="Arial" w:cs="Arial" w:eastAsia="Arial" w:hAnsi="Arial"/>
                <w:sz w:val="18"/>
                <w:szCs w:val="18"/>
                <w:color w:val="auto"/>
              </w:rPr>
              <w:t>Persons Deemed Owners</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3.9</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Cancellation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3.10</w:t>
            </w:r>
          </w:p>
        </w:tc>
        <w:tc>
          <w:tcPr>
            <w:tcW w:w="9580" w:type="dxa"/>
            <w:vAlign w:val="bottom"/>
          </w:tcPr>
          <w:p>
            <w:pPr>
              <w:ind w:left="280"/>
              <w:spacing w:after="0"/>
              <w:rPr>
                <w:sz w:val="20"/>
                <w:szCs w:val="20"/>
                <w:color w:val="auto"/>
              </w:rPr>
            </w:pPr>
            <w:r>
              <w:rPr>
                <w:rFonts w:ascii="Arial" w:cs="Arial" w:eastAsia="Arial" w:hAnsi="Arial"/>
                <w:sz w:val="18"/>
                <w:szCs w:val="18"/>
                <w:color w:val="auto"/>
              </w:rPr>
              <w:t>Computation of Interest</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4</w:t>
            </w:r>
          </w:p>
        </w:tc>
        <w:tc>
          <w:tcPr>
            <w:tcW w:w="9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SATISFACTION AND DISCHARGE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4.1</w:t>
            </w:r>
          </w:p>
        </w:tc>
        <w:tc>
          <w:tcPr>
            <w:tcW w:w="9580" w:type="dxa"/>
            <w:vAlign w:val="bottom"/>
          </w:tcPr>
          <w:p>
            <w:pPr>
              <w:ind w:left="280"/>
              <w:spacing w:after="0"/>
              <w:rPr>
                <w:sz w:val="20"/>
                <w:szCs w:val="20"/>
                <w:color w:val="auto"/>
              </w:rPr>
            </w:pPr>
            <w:r>
              <w:rPr>
                <w:rFonts w:ascii="Arial" w:cs="Arial" w:eastAsia="Arial" w:hAnsi="Arial"/>
                <w:sz w:val="18"/>
                <w:szCs w:val="18"/>
                <w:color w:val="auto"/>
              </w:rPr>
              <w:t>Satisfaction and Discharge of Indenture</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4.2</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Application of Trust Money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ARTICLE 5</w:t>
            </w:r>
          </w:p>
        </w:tc>
        <w:tc>
          <w:tcPr>
            <w:tcW w:w="9580" w:type="dxa"/>
            <w:vAlign w:val="bottom"/>
          </w:tcPr>
          <w:p>
            <w:pPr>
              <w:ind w:left="100"/>
              <w:spacing w:after="0"/>
              <w:rPr>
                <w:sz w:val="20"/>
                <w:szCs w:val="20"/>
                <w:color w:val="auto"/>
              </w:rPr>
            </w:pPr>
            <w:r>
              <w:rPr>
                <w:rFonts w:ascii="Arial" w:cs="Arial" w:eastAsia="Arial" w:hAnsi="Arial"/>
                <w:sz w:val="18"/>
                <w:szCs w:val="18"/>
                <w:color w:val="auto"/>
              </w:rPr>
              <w:t>REMEDIES</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5.1</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Events of Default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5.2</w:t>
            </w:r>
          </w:p>
        </w:tc>
        <w:tc>
          <w:tcPr>
            <w:tcW w:w="9580" w:type="dxa"/>
            <w:vAlign w:val="bottom"/>
          </w:tcPr>
          <w:p>
            <w:pPr>
              <w:ind w:left="280"/>
              <w:spacing w:after="0"/>
              <w:rPr>
                <w:sz w:val="20"/>
                <w:szCs w:val="20"/>
                <w:color w:val="auto"/>
              </w:rPr>
            </w:pPr>
            <w:r>
              <w:rPr>
                <w:rFonts w:ascii="Arial" w:cs="Arial" w:eastAsia="Arial" w:hAnsi="Arial"/>
                <w:sz w:val="18"/>
                <w:szCs w:val="18"/>
                <w:color w:val="auto"/>
              </w:rPr>
              <w:t>Acceleration of Maturity; Rescission and Annulment</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5.3</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Collection of Indebtedness and Suits for Enforcement by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5.4</w:t>
            </w:r>
          </w:p>
        </w:tc>
        <w:tc>
          <w:tcPr>
            <w:tcW w:w="9580" w:type="dxa"/>
            <w:vAlign w:val="bottom"/>
          </w:tcPr>
          <w:p>
            <w:pPr>
              <w:ind w:left="280"/>
              <w:spacing w:after="0"/>
              <w:rPr>
                <w:sz w:val="20"/>
                <w:szCs w:val="20"/>
                <w:color w:val="auto"/>
              </w:rPr>
            </w:pPr>
            <w:r>
              <w:rPr>
                <w:rFonts w:ascii="Arial" w:cs="Arial" w:eastAsia="Arial" w:hAnsi="Arial"/>
                <w:sz w:val="18"/>
                <w:szCs w:val="18"/>
                <w:color w:val="auto"/>
              </w:rPr>
              <w:t>Trustee May File Proofs of Claim</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5.5</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Trustee May Enforce Claims Without Possession of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5.6</w:t>
            </w:r>
          </w:p>
        </w:tc>
        <w:tc>
          <w:tcPr>
            <w:tcW w:w="9580" w:type="dxa"/>
            <w:vAlign w:val="bottom"/>
          </w:tcPr>
          <w:p>
            <w:pPr>
              <w:ind w:left="280"/>
              <w:spacing w:after="0"/>
              <w:rPr>
                <w:sz w:val="20"/>
                <w:szCs w:val="20"/>
                <w:color w:val="auto"/>
              </w:rPr>
            </w:pPr>
            <w:r>
              <w:rPr>
                <w:rFonts w:ascii="Arial" w:cs="Arial" w:eastAsia="Arial" w:hAnsi="Arial"/>
                <w:sz w:val="18"/>
                <w:szCs w:val="18"/>
                <w:color w:val="auto"/>
              </w:rPr>
              <w:t>Application of Money Collected</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5.7</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Limitation on Suits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5.8</w:t>
            </w:r>
          </w:p>
        </w:tc>
        <w:tc>
          <w:tcPr>
            <w:tcW w:w="9580" w:type="dxa"/>
            <w:vAlign w:val="bottom"/>
          </w:tcPr>
          <w:p>
            <w:pPr>
              <w:ind w:left="280"/>
              <w:spacing w:after="0"/>
              <w:rPr>
                <w:sz w:val="20"/>
                <w:szCs w:val="20"/>
                <w:color w:val="auto"/>
              </w:rPr>
            </w:pPr>
            <w:r>
              <w:rPr>
                <w:rFonts w:ascii="Arial" w:cs="Arial" w:eastAsia="Arial" w:hAnsi="Arial"/>
                <w:sz w:val="18"/>
                <w:szCs w:val="18"/>
                <w:color w:val="auto"/>
              </w:rPr>
              <w:t>Unconditional Right of Holders to Receive Principal, Premium and Interest and to Convert</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5.9</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Restoration of Rights and Remedies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5.10</w:t>
            </w:r>
          </w:p>
        </w:tc>
        <w:tc>
          <w:tcPr>
            <w:tcW w:w="9580" w:type="dxa"/>
            <w:vAlign w:val="bottom"/>
          </w:tcPr>
          <w:p>
            <w:pPr>
              <w:ind w:left="280"/>
              <w:spacing w:after="0"/>
              <w:rPr>
                <w:sz w:val="20"/>
                <w:szCs w:val="20"/>
                <w:color w:val="auto"/>
              </w:rPr>
            </w:pPr>
            <w:r>
              <w:rPr>
                <w:rFonts w:ascii="Arial" w:cs="Arial" w:eastAsia="Arial" w:hAnsi="Arial"/>
                <w:sz w:val="18"/>
                <w:szCs w:val="18"/>
                <w:color w:val="auto"/>
              </w:rPr>
              <w:t>Rights and Remedies Cumulative</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Section 5.11</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Delay or Omission Not Waiver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5.12</w:t>
            </w:r>
          </w:p>
        </w:tc>
        <w:tc>
          <w:tcPr>
            <w:tcW w:w="9580" w:type="dxa"/>
            <w:vAlign w:val="bottom"/>
          </w:tcPr>
          <w:p>
            <w:pPr>
              <w:ind w:left="280"/>
              <w:spacing w:after="0"/>
              <w:rPr>
                <w:sz w:val="20"/>
                <w:szCs w:val="20"/>
                <w:color w:val="auto"/>
              </w:rPr>
            </w:pPr>
            <w:r>
              <w:rPr>
                <w:rFonts w:ascii="Arial" w:cs="Arial" w:eastAsia="Arial" w:hAnsi="Arial"/>
                <w:sz w:val="18"/>
                <w:szCs w:val="18"/>
                <w:color w:val="auto"/>
              </w:rPr>
              <w:t>Control by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Section 5.13</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Waiver of Past Defaults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5.14</w:t>
            </w:r>
          </w:p>
        </w:tc>
        <w:tc>
          <w:tcPr>
            <w:tcW w:w="9580" w:type="dxa"/>
            <w:vAlign w:val="bottom"/>
          </w:tcPr>
          <w:p>
            <w:pPr>
              <w:ind w:left="280"/>
              <w:spacing w:after="0"/>
              <w:rPr>
                <w:sz w:val="20"/>
                <w:szCs w:val="20"/>
                <w:color w:val="auto"/>
              </w:rPr>
            </w:pPr>
            <w:r>
              <w:rPr>
                <w:rFonts w:ascii="Arial" w:cs="Arial" w:eastAsia="Arial" w:hAnsi="Arial"/>
                <w:sz w:val="18"/>
                <w:szCs w:val="18"/>
                <w:color w:val="auto"/>
              </w:rPr>
              <w:t>Undertaking for Costs</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Section 5.15</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Waiver of Usury, Stay or Extension Laws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58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580" w:type="dxa"/>
            <w:vAlign w:val="bottom"/>
          </w:tcPr>
          <w:p>
            <w:pPr>
              <w:ind w:left="4100"/>
              <w:spacing w:after="0"/>
              <w:rPr>
                <w:sz w:val="20"/>
                <w:szCs w:val="20"/>
                <w:color w:val="auto"/>
              </w:rPr>
            </w:pPr>
            <w:r>
              <w:rPr>
                <w:rFonts w:ascii="Arial" w:cs="Arial" w:eastAsia="Arial" w:hAnsi="Arial"/>
                <w:sz w:val="18"/>
                <w:szCs w:val="18"/>
                <w:color w:val="auto"/>
              </w:rPr>
              <w:t>(continued)</w:t>
            </w:r>
          </w:p>
        </w:tc>
        <w:tc>
          <w:tcPr>
            <w:tcW w:w="64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95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210"/>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6</w:t>
            </w:r>
          </w:p>
        </w:tc>
        <w:tc>
          <w:tcPr>
            <w:tcW w:w="9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6.1</w:t>
            </w:r>
          </w:p>
        </w:tc>
        <w:tc>
          <w:tcPr>
            <w:tcW w:w="9580" w:type="dxa"/>
            <w:vAlign w:val="bottom"/>
          </w:tcPr>
          <w:p>
            <w:pPr>
              <w:ind w:left="280"/>
              <w:spacing w:after="0"/>
              <w:rPr>
                <w:sz w:val="20"/>
                <w:szCs w:val="20"/>
                <w:color w:val="auto"/>
              </w:rPr>
            </w:pPr>
            <w:r>
              <w:rPr>
                <w:rFonts w:ascii="Arial" w:cs="Arial" w:eastAsia="Arial" w:hAnsi="Arial"/>
                <w:sz w:val="18"/>
                <w:szCs w:val="18"/>
                <w:color w:val="auto"/>
              </w:rPr>
              <w:t>Certain Duties and Responsibilities</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6.2</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Notice of Defaults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6.3</w:t>
            </w:r>
          </w:p>
        </w:tc>
        <w:tc>
          <w:tcPr>
            <w:tcW w:w="9580" w:type="dxa"/>
            <w:vAlign w:val="bottom"/>
          </w:tcPr>
          <w:p>
            <w:pPr>
              <w:ind w:left="280"/>
              <w:spacing w:after="0"/>
              <w:rPr>
                <w:sz w:val="20"/>
                <w:szCs w:val="20"/>
                <w:color w:val="auto"/>
              </w:rPr>
            </w:pPr>
            <w:r>
              <w:rPr>
                <w:rFonts w:ascii="Arial" w:cs="Arial" w:eastAsia="Arial" w:hAnsi="Arial"/>
                <w:sz w:val="18"/>
                <w:szCs w:val="18"/>
                <w:color w:val="auto"/>
              </w:rPr>
              <w:t>Certain Rights of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6.4</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 Responsible for Recitals or Issuance of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6.5</w:t>
            </w:r>
          </w:p>
        </w:tc>
        <w:tc>
          <w:tcPr>
            <w:tcW w:w="9580" w:type="dxa"/>
            <w:vAlign w:val="bottom"/>
          </w:tcPr>
          <w:p>
            <w:pPr>
              <w:ind w:left="280"/>
              <w:spacing w:after="0"/>
              <w:rPr>
                <w:sz w:val="20"/>
                <w:szCs w:val="20"/>
                <w:color w:val="auto"/>
              </w:rPr>
            </w:pPr>
            <w:r>
              <w:rPr>
                <w:rFonts w:ascii="Arial" w:cs="Arial" w:eastAsia="Arial" w:hAnsi="Arial"/>
                <w:sz w:val="18"/>
                <w:szCs w:val="18"/>
                <w:color w:val="auto"/>
              </w:rPr>
              <w:t>May Hold Securities and Act as Trustee under Other Indentures</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6.6</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Money Held in Trust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6.7</w:t>
            </w:r>
          </w:p>
        </w:tc>
        <w:tc>
          <w:tcPr>
            <w:tcW w:w="9580" w:type="dxa"/>
            <w:vAlign w:val="bottom"/>
          </w:tcPr>
          <w:p>
            <w:pPr>
              <w:ind w:left="280"/>
              <w:spacing w:after="0"/>
              <w:rPr>
                <w:sz w:val="20"/>
                <w:szCs w:val="20"/>
                <w:color w:val="auto"/>
              </w:rPr>
            </w:pPr>
            <w:r>
              <w:rPr>
                <w:rFonts w:ascii="Arial" w:cs="Arial" w:eastAsia="Arial" w:hAnsi="Arial"/>
                <w:sz w:val="18"/>
                <w:szCs w:val="18"/>
                <w:color w:val="auto"/>
              </w:rPr>
              <w:t>Compensation and Reimbursement</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6.8</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Conflicting Interests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6.9</w:t>
            </w:r>
          </w:p>
        </w:tc>
        <w:tc>
          <w:tcPr>
            <w:tcW w:w="9580" w:type="dxa"/>
            <w:vAlign w:val="bottom"/>
          </w:tcPr>
          <w:p>
            <w:pPr>
              <w:ind w:left="280"/>
              <w:spacing w:after="0"/>
              <w:rPr>
                <w:sz w:val="20"/>
                <w:szCs w:val="20"/>
                <w:color w:val="auto"/>
              </w:rPr>
            </w:pPr>
            <w:r>
              <w:rPr>
                <w:rFonts w:ascii="Arial" w:cs="Arial" w:eastAsia="Arial" w:hAnsi="Arial"/>
                <w:sz w:val="18"/>
                <w:szCs w:val="18"/>
                <w:color w:val="auto"/>
              </w:rPr>
              <w:t>Corporate Trustee Required; Eligibility</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Section 6.10</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Resignation and Removal; Appointment of Successor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6.11</w:t>
            </w:r>
          </w:p>
        </w:tc>
        <w:tc>
          <w:tcPr>
            <w:tcW w:w="9580" w:type="dxa"/>
            <w:vAlign w:val="bottom"/>
          </w:tcPr>
          <w:p>
            <w:pPr>
              <w:ind w:left="280"/>
              <w:spacing w:after="0"/>
              <w:rPr>
                <w:sz w:val="20"/>
                <w:szCs w:val="20"/>
                <w:color w:val="auto"/>
              </w:rPr>
            </w:pPr>
            <w:r>
              <w:rPr>
                <w:rFonts w:ascii="Arial" w:cs="Arial" w:eastAsia="Arial" w:hAnsi="Arial"/>
                <w:sz w:val="18"/>
                <w:szCs w:val="18"/>
                <w:color w:val="auto"/>
              </w:rPr>
              <w:t>Acceptance of Appointment by Successor</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Section 6.12</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Merger, Conversion, Consolidation or Succession to Business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6.13</w:t>
            </w:r>
          </w:p>
        </w:tc>
        <w:tc>
          <w:tcPr>
            <w:tcW w:w="9580" w:type="dxa"/>
            <w:vAlign w:val="bottom"/>
          </w:tcPr>
          <w:p>
            <w:pPr>
              <w:ind w:left="280"/>
              <w:spacing w:after="0"/>
              <w:rPr>
                <w:sz w:val="20"/>
                <w:szCs w:val="20"/>
                <w:color w:val="auto"/>
              </w:rPr>
            </w:pPr>
            <w:r>
              <w:rPr>
                <w:rFonts w:ascii="Arial" w:cs="Arial" w:eastAsia="Arial" w:hAnsi="Arial"/>
                <w:sz w:val="18"/>
                <w:szCs w:val="18"/>
                <w:color w:val="auto"/>
              </w:rPr>
              <w:t>Preferential Collection of Claims Against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Section 6.14</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Appointment of Authenticating Agent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ARTICLE 7</w:t>
            </w:r>
          </w:p>
        </w:tc>
        <w:tc>
          <w:tcPr>
            <w:tcW w:w="9580" w:type="dxa"/>
            <w:vAlign w:val="bottom"/>
          </w:tcPr>
          <w:p>
            <w:pPr>
              <w:ind w:left="100"/>
              <w:spacing w:after="0"/>
              <w:rPr>
                <w:sz w:val="20"/>
                <w:szCs w:val="20"/>
                <w:color w:val="auto"/>
              </w:rPr>
            </w:pPr>
            <w:r>
              <w:rPr>
                <w:rFonts w:ascii="Arial" w:cs="Arial" w:eastAsia="Arial" w:hAnsi="Arial"/>
                <w:sz w:val="18"/>
                <w:szCs w:val="18"/>
                <w:color w:val="auto"/>
              </w:rPr>
              <w:t>HOLDERS’ LISTS AND REPORTS BY TRUSTEE AND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7.1</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Company to Furnish Trustee Names and Addresses of Holders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7.2</w:t>
            </w:r>
          </w:p>
        </w:tc>
        <w:tc>
          <w:tcPr>
            <w:tcW w:w="9580" w:type="dxa"/>
            <w:vAlign w:val="bottom"/>
          </w:tcPr>
          <w:p>
            <w:pPr>
              <w:ind w:left="280"/>
              <w:spacing w:after="0"/>
              <w:rPr>
                <w:sz w:val="20"/>
                <w:szCs w:val="20"/>
                <w:color w:val="auto"/>
              </w:rPr>
            </w:pPr>
            <w:r>
              <w:rPr>
                <w:rFonts w:ascii="Arial" w:cs="Arial" w:eastAsia="Arial" w:hAnsi="Arial"/>
                <w:sz w:val="18"/>
                <w:szCs w:val="18"/>
                <w:color w:val="auto"/>
              </w:rPr>
              <w:t>Preservation of Information; Communications to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7.3</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Reports by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7.4</w:t>
            </w:r>
          </w:p>
        </w:tc>
        <w:tc>
          <w:tcPr>
            <w:tcW w:w="9580" w:type="dxa"/>
            <w:vAlign w:val="bottom"/>
          </w:tcPr>
          <w:p>
            <w:pPr>
              <w:ind w:left="280"/>
              <w:spacing w:after="0"/>
              <w:rPr>
                <w:sz w:val="20"/>
                <w:szCs w:val="20"/>
                <w:color w:val="auto"/>
              </w:rPr>
            </w:pPr>
            <w:r>
              <w:rPr>
                <w:rFonts w:ascii="Arial" w:cs="Arial" w:eastAsia="Arial" w:hAnsi="Arial"/>
                <w:sz w:val="18"/>
                <w:szCs w:val="18"/>
                <w:color w:val="auto"/>
              </w:rPr>
              <w:t>Reports by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8</w:t>
            </w:r>
          </w:p>
        </w:tc>
        <w:tc>
          <w:tcPr>
            <w:tcW w:w="9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CONSOLIDATION, MERGER, CONVEYANCE, TRANSFER OR LEASE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8.1</w:t>
            </w:r>
          </w:p>
        </w:tc>
        <w:tc>
          <w:tcPr>
            <w:tcW w:w="9580" w:type="dxa"/>
            <w:vAlign w:val="bottom"/>
          </w:tcPr>
          <w:p>
            <w:pPr>
              <w:ind w:left="280"/>
              <w:spacing w:after="0"/>
              <w:rPr>
                <w:sz w:val="20"/>
                <w:szCs w:val="20"/>
                <w:color w:val="auto"/>
              </w:rPr>
            </w:pPr>
            <w:r>
              <w:rPr>
                <w:rFonts w:ascii="Arial" w:cs="Arial" w:eastAsia="Arial" w:hAnsi="Arial"/>
                <w:sz w:val="18"/>
                <w:szCs w:val="18"/>
                <w:color w:val="auto"/>
              </w:rPr>
              <w:t>Company May Consolidate, etc., Only on Certain Terms</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8.2</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Successor Substituted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ARTICLE 9</w:t>
            </w:r>
          </w:p>
        </w:tc>
        <w:tc>
          <w:tcPr>
            <w:tcW w:w="9580" w:type="dxa"/>
            <w:vAlign w:val="bottom"/>
          </w:tcPr>
          <w:p>
            <w:pPr>
              <w:ind w:left="100"/>
              <w:spacing w:after="0"/>
              <w:rPr>
                <w:sz w:val="20"/>
                <w:szCs w:val="20"/>
                <w:color w:val="auto"/>
              </w:rPr>
            </w:pPr>
            <w:r>
              <w:rPr>
                <w:rFonts w:ascii="Arial" w:cs="Arial" w:eastAsia="Arial" w:hAnsi="Arial"/>
                <w:sz w:val="18"/>
                <w:szCs w:val="18"/>
                <w:color w:val="auto"/>
              </w:rPr>
              <w:t>SUPPLEMENTAL INDENTURES</w:t>
            </w: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9.1</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Supplemental Indentures Without Consent of Holders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9.2</w:t>
            </w:r>
          </w:p>
        </w:tc>
        <w:tc>
          <w:tcPr>
            <w:tcW w:w="9580" w:type="dxa"/>
            <w:vAlign w:val="bottom"/>
          </w:tcPr>
          <w:p>
            <w:pPr>
              <w:ind w:left="280"/>
              <w:spacing w:after="0"/>
              <w:rPr>
                <w:sz w:val="20"/>
                <w:szCs w:val="20"/>
                <w:color w:val="auto"/>
              </w:rPr>
            </w:pPr>
            <w:r>
              <w:rPr>
                <w:rFonts w:ascii="Arial" w:cs="Arial" w:eastAsia="Arial" w:hAnsi="Arial"/>
                <w:sz w:val="18"/>
                <w:szCs w:val="18"/>
                <w:color w:val="auto"/>
              </w:rPr>
              <w:t>Supplemental Indentures with Consent of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9.3</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Execution of Supplemental Indentures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9.4</w:t>
            </w:r>
          </w:p>
        </w:tc>
        <w:tc>
          <w:tcPr>
            <w:tcW w:w="9580" w:type="dxa"/>
            <w:vAlign w:val="bottom"/>
          </w:tcPr>
          <w:p>
            <w:pPr>
              <w:ind w:left="280"/>
              <w:spacing w:after="0"/>
              <w:rPr>
                <w:sz w:val="20"/>
                <w:szCs w:val="20"/>
                <w:color w:val="auto"/>
              </w:rPr>
            </w:pPr>
            <w:r>
              <w:rPr>
                <w:rFonts w:ascii="Arial" w:cs="Arial" w:eastAsia="Arial" w:hAnsi="Arial"/>
                <w:sz w:val="18"/>
                <w:szCs w:val="18"/>
                <w:color w:val="auto"/>
              </w:rPr>
              <w:t>Effect of Supplemental Indentures</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9.5</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Conformity with Trust Indenture Act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Section 9.6</w:t>
            </w:r>
          </w:p>
        </w:tc>
        <w:tc>
          <w:tcPr>
            <w:tcW w:w="9580" w:type="dxa"/>
            <w:vAlign w:val="bottom"/>
          </w:tcPr>
          <w:p>
            <w:pPr>
              <w:ind w:left="280"/>
              <w:spacing w:after="0"/>
              <w:rPr>
                <w:sz w:val="20"/>
                <w:szCs w:val="20"/>
                <w:color w:val="auto"/>
              </w:rPr>
            </w:pPr>
            <w:r>
              <w:rPr>
                <w:rFonts w:ascii="Arial" w:cs="Arial" w:eastAsia="Arial" w:hAnsi="Arial"/>
                <w:sz w:val="18"/>
                <w:szCs w:val="18"/>
                <w:color w:val="auto"/>
              </w:rPr>
              <w:t>Reference in Securities to Supplemental Indentures</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9.7</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Subordination Unimpaired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1180" w:type="dxa"/>
            <w:vAlign w:val="bottom"/>
          </w:tcPr>
          <w:p>
            <w:pPr>
              <w:spacing w:after="0"/>
              <w:rPr>
                <w:sz w:val="20"/>
                <w:szCs w:val="20"/>
                <w:color w:val="auto"/>
              </w:rPr>
            </w:pPr>
            <w:r>
              <w:rPr>
                <w:rFonts w:ascii="Arial" w:cs="Arial" w:eastAsia="Arial" w:hAnsi="Arial"/>
                <w:sz w:val="18"/>
                <w:szCs w:val="18"/>
                <w:color w:val="auto"/>
              </w:rPr>
              <w:t>ARTICLE 10</w:t>
            </w:r>
          </w:p>
        </w:tc>
        <w:tc>
          <w:tcPr>
            <w:tcW w:w="9580" w:type="dxa"/>
            <w:vAlign w:val="bottom"/>
          </w:tcPr>
          <w:p>
            <w:pPr>
              <w:ind w:left="100"/>
              <w:spacing w:after="0"/>
              <w:rPr>
                <w:sz w:val="20"/>
                <w:szCs w:val="20"/>
                <w:color w:val="auto"/>
              </w:rPr>
            </w:pPr>
            <w:r>
              <w:rPr>
                <w:rFonts w:ascii="Arial" w:cs="Arial" w:eastAsia="Arial" w:hAnsi="Arial"/>
                <w:sz w:val="18"/>
                <w:szCs w:val="18"/>
                <w:color w:val="auto"/>
              </w:rPr>
              <w:t>COVENANTS</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Section 10.1</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 of Principal, Premium and Interest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10.2</w:t>
            </w:r>
          </w:p>
        </w:tc>
        <w:tc>
          <w:tcPr>
            <w:tcW w:w="9580" w:type="dxa"/>
            <w:vAlign w:val="bottom"/>
          </w:tcPr>
          <w:p>
            <w:pPr>
              <w:ind w:left="280"/>
              <w:spacing w:after="0"/>
              <w:rPr>
                <w:sz w:val="20"/>
                <w:szCs w:val="20"/>
                <w:color w:val="auto"/>
              </w:rPr>
            </w:pPr>
            <w:r>
              <w:rPr>
                <w:rFonts w:ascii="Arial" w:cs="Arial" w:eastAsia="Arial" w:hAnsi="Arial"/>
                <w:sz w:val="18"/>
                <w:szCs w:val="18"/>
                <w:color w:val="auto"/>
              </w:rPr>
              <w:t>Maintenance of Office or Agency</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Section 10.3</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Money for Securities Payments to be Held in Trust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10.4</w:t>
            </w:r>
          </w:p>
        </w:tc>
        <w:tc>
          <w:tcPr>
            <w:tcW w:w="9580" w:type="dxa"/>
            <w:vAlign w:val="bottom"/>
          </w:tcPr>
          <w:p>
            <w:pPr>
              <w:ind w:left="280"/>
              <w:spacing w:after="0"/>
              <w:rPr>
                <w:sz w:val="20"/>
                <w:szCs w:val="20"/>
                <w:color w:val="auto"/>
              </w:rPr>
            </w:pPr>
            <w:r>
              <w:rPr>
                <w:rFonts w:ascii="Arial" w:cs="Arial" w:eastAsia="Arial" w:hAnsi="Arial"/>
                <w:sz w:val="18"/>
                <w:szCs w:val="18"/>
                <w:color w:val="auto"/>
              </w:rPr>
              <w:t>Statement by Officers as to Default</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Section 10.5</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Existence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10.6</w:t>
            </w:r>
          </w:p>
        </w:tc>
        <w:tc>
          <w:tcPr>
            <w:tcW w:w="9580" w:type="dxa"/>
            <w:vAlign w:val="bottom"/>
          </w:tcPr>
          <w:p>
            <w:pPr>
              <w:ind w:left="280"/>
              <w:spacing w:after="0"/>
              <w:rPr>
                <w:sz w:val="20"/>
                <w:szCs w:val="20"/>
                <w:color w:val="auto"/>
              </w:rPr>
            </w:pPr>
            <w:r>
              <w:rPr>
                <w:rFonts w:ascii="Arial" w:cs="Arial" w:eastAsia="Arial" w:hAnsi="Arial"/>
                <w:sz w:val="18"/>
                <w:szCs w:val="18"/>
                <w:color w:val="auto"/>
              </w:rPr>
              <w:t>Maintenance of Properties</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Section 10.7</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 of Taxes and Other Claims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10.8</w:t>
            </w:r>
          </w:p>
        </w:tc>
        <w:tc>
          <w:tcPr>
            <w:tcW w:w="9580" w:type="dxa"/>
            <w:vAlign w:val="bottom"/>
          </w:tcPr>
          <w:p>
            <w:pPr>
              <w:ind w:left="280"/>
              <w:spacing w:after="0"/>
              <w:rPr>
                <w:sz w:val="20"/>
                <w:szCs w:val="20"/>
                <w:color w:val="auto"/>
              </w:rPr>
            </w:pPr>
            <w:r>
              <w:rPr>
                <w:rFonts w:ascii="Arial" w:cs="Arial" w:eastAsia="Arial" w:hAnsi="Arial"/>
                <w:sz w:val="18"/>
                <w:szCs w:val="18"/>
                <w:color w:val="auto"/>
              </w:rPr>
              <w:t>Waiver of Certain Covenants</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11</w:t>
            </w:r>
          </w:p>
        </w:tc>
        <w:tc>
          <w:tcPr>
            <w:tcW w:w="9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REDEMPTION OF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11.1</w:t>
            </w:r>
          </w:p>
        </w:tc>
        <w:tc>
          <w:tcPr>
            <w:tcW w:w="9580" w:type="dxa"/>
            <w:vAlign w:val="bottom"/>
          </w:tcPr>
          <w:p>
            <w:pPr>
              <w:ind w:left="280"/>
              <w:spacing w:after="0"/>
              <w:rPr>
                <w:sz w:val="20"/>
                <w:szCs w:val="20"/>
                <w:color w:val="auto"/>
              </w:rPr>
            </w:pPr>
            <w:r>
              <w:rPr>
                <w:rFonts w:ascii="Arial" w:cs="Arial" w:eastAsia="Arial" w:hAnsi="Arial"/>
                <w:sz w:val="18"/>
                <w:szCs w:val="18"/>
                <w:color w:val="auto"/>
              </w:rPr>
              <w:t>Applicability of Article</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Section 11.2</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Election to Redeem; Notice to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11.3</w:t>
            </w:r>
          </w:p>
        </w:tc>
        <w:tc>
          <w:tcPr>
            <w:tcW w:w="9580" w:type="dxa"/>
            <w:vAlign w:val="bottom"/>
          </w:tcPr>
          <w:p>
            <w:pPr>
              <w:ind w:left="280"/>
              <w:spacing w:after="0"/>
              <w:rPr>
                <w:sz w:val="20"/>
                <w:szCs w:val="20"/>
                <w:color w:val="auto"/>
              </w:rPr>
            </w:pPr>
            <w:r>
              <w:rPr>
                <w:rFonts w:ascii="Arial" w:cs="Arial" w:eastAsia="Arial" w:hAnsi="Arial"/>
                <w:sz w:val="18"/>
                <w:szCs w:val="18"/>
                <w:color w:val="auto"/>
              </w:rPr>
              <w:t>Selection by Trustee of Securities to Be Redeemed</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Section 11.4</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Notice of Redemption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11.5</w:t>
            </w:r>
          </w:p>
        </w:tc>
        <w:tc>
          <w:tcPr>
            <w:tcW w:w="9580" w:type="dxa"/>
            <w:vAlign w:val="bottom"/>
          </w:tcPr>
          <w:p>
            <w:pPr>
              <w:ind w:left="280"/>
              <w:spacing w:after="0"/>
              <w:rPr>
                <w:sz w:val="20"/>
                <w:szCs w:val="20"/>
                <w:color w:val="auto"/>
              </w:rPr>
            </w:pPr>
            <w:r>
              <w:rPr>
                <w:rFonts w:ascii="Arial" w:cs="Arial" w:eastAsia="Arial" w:hAnsi="Arial"/>
                <w:sz w:val="18"/>
                <w:szCs w:val="18"/>
                <w:color w:val="auto"/>
              </w:rPr>
              <w:t>Deposit of Redemption Price</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Section 11.6</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Securities Payable on Redemption Date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11.7</w:t>
            </w:r>
          </w:p>
        </w:tc>
        <w:tc>
          <w:tcPr>
            <w:tcW w:w="9580" w:type="dxa"/>
            <w:vAlign w:val="bottom"/>
          </w:tcPr>
          <w:p>
            <w:pPr>
              <w:ind w:left="280"/>
              <w:spacing w:after="0"/>
              <w:rPr>
                <w:sz w:val="20"/>
                <w:szCs w:val="20"/>
                <w:color w:val="auto"/>
              </w:rPr>
            </w:pPr>
            <w:r>
              <w:rPr>
                <w:rFonts w:ascii="Arial" w:cs="Arial" w:eastAsia="Arial" w:hAnsi="Arial"/>
                <w:sz w:val="18"/>
                <w:szCs w:val="18"/>
                <w:color w:val="auto"/>
              </w:rPr>
              <w:t>Securities Redeemed in Part</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12</w:t>
            </w:r>
          </w:p>
        </w:tc>
        <w:tc>
          <w:tcPr>
            <w:tcW w:w="9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SINKING FUNDS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12.1</w:t>
            </w:r>
          </w:p>
        </w:tc>
        <w:tc>
          <w:tcPr>
            <w:tcW w:w="9580" w:type="dxa"/>
            <w:vAlign w:val="bottom"/>
          </w:tcPr>
          <w:p>
            <w:pPr>
              <w:ind w:left="280"/>
              <w:spacing w:after="0"/>
              <w:rPr>
                <w:sz w:val="20"/>
                <w:szCs w:val="20"/>
                <w:color w:val="auto"/>
              </w:rPr>
            </w:pPr>
            <w:r>
              <w:rPr>
                <w:rFonts w:ascii="Arial" w:cs="Arial" w:eastAsia="Arial" w:hAnsi="Arial"/>
                <w:sz w:val="18"/>
                <w:szCs w:val="18"/>
                <w:color w:val="auto"/>
              </w:rPr>
              <w:t>Applicability of Article</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11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Section 12.2</w:t>
            </w:r>
          </w:p>
        </w:tc>
        <w:tc>
          <w:tcPr>
            <w:tcW w:w="9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Satisfaction of Sinking Fund Payments with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20" w:type="dxa"/>
            <w:vAlign w:val="bottom"/>
          </w:tcPr>
          <w:p>
            <w:pPr>
              <w:spacing w:after="0"/>
              <w:rPr>
                <w:sz w:val="20"/>
                <w:szCs w:val="20"/>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w w:val="99"/>
              </w:rPr>
              <w:t>Section 12.3</w:t>
            </w:r>
          </w:p>
        </w:tc>
        <w:tc>
          <w:tcPr>
            <w:tcW w:w="9580" w:type="dxa"/>
            <w:vAlign w:val="bottom"/>
          </w:tcPr>
          <w:p>
            <w:pPr>
              <w:ind w:left="280"/>
              <w:spacing w:after="0"/>
              <w:rPr>
                <w:sz w:val="20"/>
                <w:szCs w:val="20"/>
                <w:color w:val="auto"/>
              </w:rPr>
            </w:pPr>
            <w:r>
              <w:rPr>
                <w:rFonts w:ascii="Arial" w:cs="Arial" w:eastAsia="Arial" w:hAnsi="Arial"/>
                <w:sz w:val="18"/>
                <w:szCs w:val="18"/>
                <w:color w:val="auto"/>
              </w:rPr>
              <w:t>Redemption of Securities for Sinking Fund</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tcBorders>
              <w:bottom w:val="single" w:sz="8" w:color="CCEEFF"/>
            </w:tcBorders>
          </w:tcPr>
          <w:p>
            <w:pPr>
              <w:spacing w:after="0"/>
              <w:rPr>
                <w:sz w:val="20"/>
                <w:szCs w:val="20"/>
                <w:color w:val="auto"/>
              </w:rPr>
            </w:pPr>
          </w:p>
        </w:tc>
        <w:tc>
          <w:tcPr>
            <w:tcW w:w="954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ARTICLE 13</w:t>
            </w:r>
          </w:p>
        </w:tc>
        <w:tc>
          <w:tcPr>
            <w:tcW w:w="9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DEFEASANCE AND COVENANT DEFEASANCE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13.1</w:t>
            </w:r>
          </w:p>
        </w:tc>
        <w:tc>
          <w:tcPr>
            <w:tcW w:w="9540" w:type="dxa"/>
            <w:vAlign w:val="bottom"/>
          </w:tcPr>
          <w:p>
            <w:pPr>
              <w:ind w:left="240"/>
              <w:spacing w:after="0"/>
              <w:rPr>
                <w:sz w:val="20"/>
                <w:szCs w:val="20"/>
                <w:color w:val="auto"/>
              </w:rPr>
            </w:pPr>
            <w:r>
              <w:rPr>
                <w:rFonts w:ascii="Arial" w:cs="Arial" w:eastAsia="Arial" w:hAnsi="Arial"/>
                <w:sz w:val="18"/>
                <w:szCs w:val="18"/>
                <w:color w:val="auto"/>
              </w:rPr>
              <w:t>Company’s Option to Effect Defeasance or Covenant Defeasance</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13.2</w:t>
            </w:r>
          </w:p>
        </w:tc>
        <w:tc>
          <w:tcPr>
            <w:tcW w:w="9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Defeasance and Discharge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13.3</w:t>
            </w:r>
          </w:p>
        </w:tc>
        <w:tc>
          <w:tcPr>
            <w:tcW w:w="9540" w:type="dxa"/>
            <w:vAlign w:val="bottom"/>
          </w:tcPr>
          <w:p>
            <w:pPr>
              <w:ind w:left="240"/>
              <w:spacing w:after="0"/>
              <w:rPr>
                <w:sz w:val="20"/>
                <w:szCs w:val="20"/>
                <w:color w:val="auto"/>
              </w:rPr>
            </w:pPr>
            <w:r>
              <w:rPr>
                <w:rFonts w:ascii="Arial" w:cs="Arial" w:eastAsia="Arial" w:hAnsi="Arial"/>
                <w:sz w:val="18"/>
                <w:szCs w:val="18"/>
                <w:color w:val="auto"/>
              </w:rPr>
              <w:t>Covenant Defeasance</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13.4</w:t>
            </w:r>
          </w:p>
        </w:tc>
        <w:tc>
          <w:tcPr>
            <w:tcW w:w="9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Conditions to Defeasance or Covenant Defeasance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2"/>
        </w:trPr>
        <w:tc>
          <w:tcPr>
            <w:tcW w:w="1240" w:type="dxa"/>
            <w:vAlign w:val="bottom"/>
          </w:tcPr>
          <w:p>
            <w:pPr>
              <w:ind w:left="180"/>
              <w:spacing w:after="0" w:line="201" w:lineRule="exact"/>
              <w:rPr>
                <w:sz w:val="20"/>
                <w:szCs w:val="20"/>
                <w:color w:val="auto"/>
              </w:rPr>
            </w:pPr>
            <w:r>
              <w:rPr>
                <w:rFonts w:ascii="Arial" w:cs="Arial" w:eastAsia="Arial" w:hAnsi="Arial"/>
                <w:sz w:val="18"/>
                <w:szCs w:val="18"/>
                <w:color w:val="auto"/>
              </w:rPr>
              <w:t>Section 13.5</w:t>
            </w:r>
          </w:p>
        </w:tc>
        <w:tc>
          <w:tcPr>
            <w:tcW w:w="9540" w:type="dxa"/>
            <w:vAlign w:val="bottom"/>
          </w:tcPr>
          <w:p>
            <w:pPr>
              <w:ind w:left="240"/>
              <w:spacing w:after="0" w:line="201" w:lineRule="exact"/>
              <w:rPr>
                <w:sz w:val="20"/>
                <w:szCs w:val="20"/>
                <w:color w:val="auto"/>
              </w:rPr>
            </w:pPr>
            <w:r>
              <w:rPr>
                <w:rFonts w:ascii="Arial" w:cs="Arial" w:eastAsia="Arial" w:hAnsi="Arial"/>
                <w:sz w:val="18"/>
                <w:szCs w:val="18"/>
                <w:color w:val="auto"/>
                <w:w w:val="96"/>
              </w:rPr>
              <w:t>Deposited Money, U.S. Government Obligations and Foreign Government Obligations to be Held in Trust; Miscellaneous</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50</w:t>
            </w:r>
          </w:p>
        </w:tc>
      </w:tr>
      <w:tr>
        <w:trPr>
          <w:trHeight w:val="230"/>
        </w:trPr>
        <w:tc>
          <w:tcPr>
            <w:tcW w:w="1240" w:type="dxa"/>
            <w:vAlign w:val="bottom"/>
          </w:tcPr>
          <w:p>
            <w:pPr>
              <w:spacing w:after="0"/>
              <w:rPr>
                <w:sz w:val="20"/>
                <w:szCs w:val="20"/>
                <w:color w:val="auto"/>
              </w:rPr>
            </w:pPr>
          </w:p>
        </w:tc>
        <w:tc>
          <w:tcPr>
            <w:tcW w:w="9540" w:type="dxa"/>
            <w:vAlign w:val="bottom"/>
          </w:tcPr>
          <w:p>
            <w:pPr>
              <w:ind w:left="240"/>
              <w:spacing w:after="0"/>
              <w:rPr>
                <w:sz w:val="20"/>
                <w:szCs w:val="20"/>
                <w:color w:val="auto"/>
              </w:rPr>
            </w:pPr>
            <w:r>
              <w:rPr>
                <w:rFonts w:ascii="Arial" w:cs="Arial" w:eastAsia="Arial" w:hAnsi="Arial"/>
                <w:sz w:val="18"/>
                <w:szCs w:val="18"/>
                <w:color w:val="auto"/>
              </w:rPr>
              <w:t>Provisions</w:t>
            </w:r>
          </w:p>
        </w:tc>
        <w:tc>
          <w:tcPr>
            <w:tcW w:w="640" w:type="dxa"/>
            <w:vAlign w:val="bottom"/>
          </w:tcPr>
          <w:p>
            <w:pPr>
              <w:spacing w:after="0"/>
              <w:rPr>
                <w:sz w:val="20"/>
                <w:szCs w:val="20"/>
                <w:color w:val="auto"/>
              </w:rPr>
            </w:pP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13.6</w:t>
            </w:r>
          </w:p>
        </w:tc>
        <w:tc>
          <w:tcPr>
            <w:tcW w:w="9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Reinstatement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14</w:t>
            </w:r>
          </w:p>
        </w:tc>
        <w:tc>
          <w:tcPr>
            <w:tcW w:w="9540" w:type="dxa"/>
            <w:vAlign w:val="bottom"/>
          </w:tcPr>
          <w:p>
            <w:pPr>
              <w:ind w:left="60"/>
              <w:spacing w:after="0"/>
              <w:rPr>
                <w:sz w:val="20"/>
                <w:szCs w:val="20"/>
                <w:color w:val="auto"/>
              </w:rPr>
            </w:pPr>
            <w:r>
              <w:rPr>
                <w:rFonts w:ascii="Arial" w:cs="Arial" w:eastAsia="Arial" w:hAnsi="Arial"/>
                <w:sz w:val="18"/>
                <w:szCs w:val="18"/>
                <w:color w:val="auto"/>
              </w:rPr>
              <w:t>CONVERSION OF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14.1</w:t>
            </w:r>
          </w:p>
        </w:tc>
        <w:tc>
          <w:tcPr>
            <w:tcW w:w="9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Applicability of Article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14.2</w:t>
            </w:r>
          </w:p>
        </w:tc>
        <w:tc>
          <w:tcPr>
            <w:tcW w:w="9540" w:type="dxa"/>
            <w:vAlign w:val="bottom"/>
          </w:tcPr>
          <w:p>
            <w:pPr>
              <w:ind w:left="240"/>
              <w:spacing w:after="0"/>
              <w:rPr>
                <w:sz w:val="20"/>
                <w:szCs w:val="20"/>
                <w:color w:val="auto"/>
              </w:rPr>
            </w:pPr>
            <w:r>
              <w:rPr>
                <w:rFonts w:ascii="Arial" w:cs="Arial" w:eastAsia="Arial" w:hAnsi="Arial"/>
                <w:sz w:val="18"/>
                <w:szCs w:val="18"/>
                <w:color w:val="auto"/>
              </w:rPr>
              <w:t>Exercise of Conversion Privilege</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14.3</w:t>
            </w:r>
          </w:p>
        </w:tc>
        <w:tc>
          <w:tcPr>
            <w:tcW w:w="9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Fractional Shares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14.4</w:t>
            </w:r>
          </w:p>
        </w:tc>
        <w:tc>
          <w:tcPr>
            <w:tcW w:w="9540" w:type="dxa"/>
            <w:vAlign w:val="bottom"/>
          </w:tcPr>
          <w:p>
            <w:pPr>
              <w:ind w:left="240"/>
              <w:spacing w:after="0"/>
              <w:rPr>
                <w:sz w:val="20"/>
                <w:szCs w:val="20"/>
                <w:color w:val="auto"/>
              </w:rPr>
            </w:pPr>
            <w:r>
              <w:rPr>
                <w:rFonts w:ascii="Arial" w:cs="Arial" w:eastAsia="Arial" w:hAnsi="Arial"/>
                <w:sz w:val="18"/>
                <w:szCs w:val="18"/>
                <w:color w:val="auto"/>
              </w:rPr>
              <w:t>Adjustment of Conversion Price or Conversion Rate</w:t>
            </w: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14.5</w:t>
            </w:r>
          </w:p>
        </w:tc>
        <w:tc>
          <w:tcPr>
            <w:tcW w:w="9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 of Certain Corporate Actions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14.6</w:t>
            </w:r>
          </w:p>
        </w:tc>
        <w:tc>
          <w:tcPr>
            <w:tcW w:w="9540" w:type="dxa"/>
            <w:vAlign w:val="bottom"/>
          </w:tcPr>
          <w:p>
            <w:pPr>
              <w:ind w:left="240"/>
              <w:spacing w:after="0"/>
              <w:rPr>
                <w:sz w:val="20"/>
                <w:szCs w:val="20"/>
                <w:color w:val="auto"/>
              </w:rPr>
            </w:pPr>
            <w:r>
              <w:rPr>
                <w:rFonts w:ascii="Arial" w:cs="Arial" w:eastAsia="Arial" w:hAnsi="Arial"/>
                <w:sz w:val="18"/>
                <w:szCs w:val="18"/>
                <w:color w:val="auto"/>
              </w:rPr>
              <w:t>Reservation of Shares of Common Stock</w:t>
            </w: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14.7</w:t>
            </w:r>
          </w:p>
        </w:tc>
        <w:tc>
          <w:tcPr>
            <w:tcW w:w="9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Payment of Certain Taxes upon Conversion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14.8</w:t>
            </w:r>
          </w:p>
        </w:tc>
        <w:tc>
          <w:tcPr>
            <w:tcW w:w="9540" w:type="dxa"/>
            <w:vAlign w:val="bottom"/>
          </w:tcPr>
          <w:p>
            <w:pPr>
              <w:ind w:left="240"/>
              <w:spacing w:after="0"/>
              <w:rPr>
                <w:sz w:val="20"/>
                <w:szCs w:val="20"/>
                <w:color w:val="auto"/>
              </w:rPr>
            </w:pPr>
            <w:r>
              <w:rPr>
                <w:rFonts w:ascii="Arial" w:cs="Arial" w:eastAsia="Arial" w:hAnsi="Arial"/>
                <w:sz w:val="18"/>
                <w:szCs w:val="18"/>
                <w:color w:val="auto"/>
              </w:rPr>
              <w:t>Nonassessability</w:t>
            </w:r>
          </w:p>
        </w:tc>
        <w:tc>
          <w:tcPr>
            <w:tcW w:w="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14.9</w:t>
            </w:r>
          </w:p>
        </w:tc>
        <w:tc>
          <w:tcPr>
            <w:tcW w:w="9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in Case of Consolidation, Merger or Sale of Assets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w w:val="94"/>
              </w:rPr>
              <w:t>Section 14.10</w:t>
            </w:r>
          </w:p>
        </w:tc>
        <w:tc>
          <w:tcPr>
            <w:tcW w:w="9540" w:type="dxa"/>
            <w:vAlign w:val="bottom"/>
          </w:tcPr>
          <w:p>
            <w:pPr>
              <w:ind w:left="240"/>
              <w:spacing w:after="0"/>
              <w:rPr>
                <w:sz w:val="20"/>
                <w:szCs w:val="20"/>
                <w:color w:val="auto"/>
              </w:rPr>
            </w:pPr>
            <w:r>
              <w:rPr>
                <w:rFonts w:ascii="Arial" w:cs="Arial" w:eastAsia="Arial" w:hAnsi="Arial"/>
                <w:sz w:val="18"/>
                <w:szCs w:val="18"/>
                <w:color w:val="auto"/>
              </w:rPr>
              <w:t>Duties of Trustee Regarding Conversion</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Section 14.11</w:t>
            </w:r>
          </w:p>
        </w:tc>
        <w:tc>
          <w:tcPr>
            <w:tcW w:w="9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Repayment of Certain Funds upon Conversion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ARTICLE 15</w:t>
            </w:r>
          </w:p>
        </w:tc>
        <w:tc>
          <w:tcPr>
            <w:tcW w:w="9540" w:type="dxa"/>
            <w:vAlign w:val="bottom"/>
          </w:tcPr>
          <w:p>
            <w:pPr>
              <w:ind w:left="60"/>
              <w:spacing w:after="0"/>
              <w:rPr>
                <w:sz w:val="20"/>
                <w:szCs w:val="20"/>
                <w:color w:val="auto"/>
              </w:rPr>
            </w:pPr>
            <w:r>
              <w:rPr>
                <w:rFonts w:ascii="Arial" w:cs="Arial" w:eastAsia="Arial" w:hAnsi="Arial"/>
                <w:sz w:val="18"/>
                <w:szCs w:val="18"/>
                <w:color w:val="auto"/>
              </w:rPr>
              <w:t>SUBORDINATION OF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15.1</w:t>
            </w:r>
          </w:p>
        </w:tc>
        <w:tc>
          <w:tcPr>
            <w:tcW w:w="9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Agreement of Subordination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15.2</w:t>
            </w:r>
          </w:p>
        </w:tc>
        <w:tc>
          <w:tcPr>
            <w:tcW w:w="9540" w:type="dxa"/>
            <w:vAlign w:val="bottom"/>
          </w:tcPr>
          <w:p>
            <w:pPr>
              <w:ind w:left="240"/>
              <w:spacing w:after="0"/>
              <w:rPr>
                <w:sz w:val="20"/>
                <w:szCs w:val="20"/>
                <w:color w:val="auto"/>
              </w:rPr>
            </w:pPr>
            <w:r>
              <w:rPr>
                <w:rFonts w:ascii="Arial" w:cs="Arial" w:eastAsia="Arial" w:hAnsi="Arial"/>
                <w:sz w:val="18"/>
                <w:szCs w:val="18"/>
                <w:color w:val="auto"/>
              </w:rPr>
              <w:t>Payments to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15.3</w:t>
            </w:r>
          </w:p>
        </w:tc>
        <w:tc>
          <w:tcPr>
            <w:tcW w:w="9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Subrogation of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15.4</w:t>
            </w:r>
          </w:p>
        </w:tc>
        <w:tc>
          <w:tcPr>
            <w:tcW w:w="9540" w:type="dxa"/>
            <w:vAlign w:val="bottom"/>
          </w:tcPr>
          <w:p>
            <w:pPr>
              <w:ind w:left="240"/>
              <w:spacing w:after="0"/>
              <w:rPr>
                <w:sz w:val="20"/>
                <w:szCs w:val="20"/>
                <w:color w:val="auto"/>
              </w:rPr>
            </w:pPr>
            <w:r>
              <w:rPr>
                <w:rFonts w:ascii="Arial" w:cs="Arial" w:eastAsia="Arial" w:hAnsi="Arial"/>
                <w:sz w:val="18"/>
                <w:szCs w:val="18"/>
                <w:color w:val="auto"/>
              </w:rPr>
              <w:t>Authorization to Effect Subordination</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15.5</w:t>
            </w:r>
          </w:p>
        </w:tc>
        <w:tc>
          <w:tcPr>
            <w:tcW w:w="9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 to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15.6</w:t>
            </w:r>
          </w:p>
        </w:tc>
        <w:tc>
          <w:tcPr>
            <w:tcW w:w="9540" w:type="dxa"/>
            <w:vAlign w:val="bottom"/>
          </w:tcPr>
          <w:p>
            <w:pPr>
              <w:ind w:left="240"/>
              <w:spacing w:after="0"/>
              <w:rPr>
                <w:sz w:val="20"/>
                <w:szCs w:val="20"/>
                <w:color w:val="auto"/>
              </w:rPr>
            </w:pPr>
            <w:r>
              <w:rPr>
                <w:rFonts w:ascii="Arial" w:cs="Arial" w:eastAsia="Arial" w:hAnsi="Arial"/>
                <w:sz w:val="18"/>
                <w:szCs w:val="18"/>
                <w:color w:val="auto"/>
              </w:rPr>
              <w:t>Trustee’s Relation to Senior Debt</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15.7</w:t>
            </w:r>
          </w:p>
        </w:tc>
        <w:tc>
          <w:tcPr>
            <w:tcW w:w="9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 Impairment of Subordination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rPr>
              <w:t>Section 15.8</w:t>
            </w:r>
          </w:p>
        </w:tc>
        <w:tc>
          <w:tcPr>
            <w:tcW w:w="9540" w:type="dxa"/>
            <w:vAlign w:val="bottom"/>
          </w:tcPr>
          <w:p>
            <w:pPr>
              <w:ind w:left="240"/>
              <w:spacing w:after="0"/>
              <w:rPr>
                <w:sz w:val="20"/>
                <w:szCs w:val="20"/>
                <w:color w:val="auto"/>
              </w:rPr>
            </w:pPr>
            <w:r>
              <w:rPr>
                <w:rFonts w:ascii="Arial" w:cs="Arial" w:eastAsia="Arial" w:hAnsi="Arial"/>
                <w:sz w:val="18"/>
                <w:szCs w:val="18"/>
                <w:color w:val="auto"/>
              </w:rPr>
              <w:t>Certain Conversions/Exchanges Deemed Payment</w:t>
            </w: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15.9</w:t>
            </w:r>
          </w:p>
        </w:tc>
        <w:tc>
          <w:tcPr>
            <w:tcW w:w="9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Article Applicable to Paying Agents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40" w:type="dxa"/>
            <w:vAlign w:val="bottom"/>
          </w:tcPr>
          <w:p>
            <w:pPr>
              <w:ind w:left="180"/>
              <w:spacing w:after="0"/>
              <w:rPr>
                <w:sz w:val="20"/>
                <w:szCs w:val="20"/>
                <w:color w:val="auto"/>
              </w:rPr>
            </w:pPr>
            <w:r>
              <w:rPr>
                <w:rFonts w:ascii="Arial" w:cs="Arial" w:eastAsia="Arial" w:hAnsi="Arial"/>
                <w:sz w:val="18"/>
                <w:szCs w:val="18"/>
                <w:color w:val="auto"/>
                <w:w w:val="94"/>
              </w:rPr>
              <w:t>Section 15.10</w:t>
            </w:r>
          </w:p>
        </w:tc>
        <w:tc>
          <w:tcPr>
            <w:tcW w:w="9540" w:type="dxa"/>
            <w:vAlign w:val="bottom"/>
          </w:tcPr>
          <w:p>
            <w:pPr>
              <w:ind w:left="240"/>
              <w:spacing w:after="0"/>
              <w:rPr>
                <w:sz w:val="20"/>
                <w:szCs w:val="20"/>
                <w:color w:val="auto"/>
              </w:rPr>
            </w:pPr>
            <w:r>
              <w:rPr>
                <w:rFonts w:ascii="Arial" w:cs="Arial" w:eastAsia="Arial" w:hAnsi="Arial"/>
                <w:sz w:val="18"/>
                <w:szCs w:val="18"/>
                <w:color w:val="auto"/>
              </w:rPr>
              <w:t>Senior Debt Entitled to Rely</w:t>
            </w: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Section 15.11</w:t>
            </w:r>
          </w:p>
        </w:tc>
        <w:tc>
          <w:tcPr>
            <w:tcW w:w="9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Reliance on Judicial Order or Certificate of Liquidating Agent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240" w:type="dxa"/>
            <w:vAlign w:val="bottom"/>
          </w:tcPr>
          <w:p>
            <w:pPr>
              <w:ind w:left="180"/>
              <w:spacing w:after="0"/>
              <w:rPr>
                <w:sz w:val="20"/>
                <w:szCs w:val="20"/>
                <w:color w:val="auto"/>
              </w:rPr>
            </w:pPr>
            <w:r>
              <w:rPr>
                <w:rFonts w:ascii="Arial" w:cs="Arial" w:eastAsia="Arial" w:hAnsi="Arial"/>
                <w:sz w:val="18"/>
                <w:szCs w:val="18"/>
                <w:color w:val="auto"/>
                <w:w w:val="94"/>
              </w:rPr>
              <w:t>Section 15.12</w:t>
            </w:r>
          </w:p>
        </w:tc>
        <w:tc>
          <w:tcPr>
            <w:tcW w:w="9540" w:type="dxa"/>
            <w:vAlign w:val="bottom"/>
          </w:tcPr>
          <w:p>
            <w:pPr>
              <w:ind w:left="240"/>
              <w:spacing w:after="0"/>
              <w:rPr>
                <w:sz w:val="20"/>
                <w:szCs w:val="20"/>
                <w:color w:val="auto"/>
              </w:rPr>
            </w:pPr>
            <w:r>
              <w:rPr>
                <w:rFonts w:ascii="Arial" w:cs="Arial" w:eastAsia="Arial" w:hAnsi="Arial"/>
                <w:sz w:val="18"/>
                <w:szCs w:val="18"/>
                <w:color w:val="auto"/>
              </w:rPr>
              <w:t>Trust Monies Not Subordinated</w:t>
            </w: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340" w:type="dxa"/>
            <w:vAlign w:val="bottom"/>
          </w:tcPr>
          <w:p>
            <w:pPr>
              <w:ind w:left="3100"/>
              <w:spacing w:after="0"/>
              <w:rPr>
                <w:sz w:val="20"/>
                <w:szCs w:val="20"/>
                <w:color w:val="auto"/>
              </w:rPr>
            </w:pPr>
            <w:r>
              <w:rPr>
                <w:rFonts w:ascii="Arial" w:cs="Arial" w:eastAsia="Arial" w:hAnsi="Arial"/>
                <w:sz w:val="18"/>
                <w:szCs w:val="18"/>
                <w:color w:val="auto"/>
              </w:rPr>
              <w:t>IMPRIMIS PHARMACEUTICALS, INC.</w:t>
            </w:r>
          </w:p>
        </w:tc>
        <w:tc>
          <w:tcPr>
            <w:tcW w:w="2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20" w:type="dxa"/>
            <w:vAlign w:val="bottom"/>
            <w:gridSpan w:val="3"/>
          </w:tcPr>
          <w:p>
            <w:pPr>
              <w:spacing w:after="0"/>
              <w:rPr>
                <w:sz w:val="20"/>
                <w:szCs w:val="20"/>
                <w:color w:val="auto"/>
              </w:rPr>
            </w:pPr>
            <w:r>
              <w:rPr>
                <w:rFonts w:ascii="Arial" w:cs="Arial" w:eastAsia="Arial" w:hAnsi="Arial"/>
                <w:sz w:val="18"/>
                <w:szCs w:val="18"/>
                <w:color w:val="auto"/>
              </w:rPr>
              <w:t>Certain Sections of this Indenture relating to Sections 3.10 through 3.18, inclusive, of the Trust Indenture Act of 1939:</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310</w:t>
            </w: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(a)(1)</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(a)(2)</w:t>
            </w:r>
          </w:p>
        </w:tc>
        <w:tc>
          <w:tcPr>
            <w:tcW w:w="2000" w:type="dxa"/>
            <w:vAlign w:val="bottom"/>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(a)(4)</w:t>
            </w:r>
          </w:p>
        </w:tc>
        <w:tc>
          <w:tcPr>
            <w:tcW w:w="200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311</w:t>
            </w:r>
          </w:p>
        </w:tc>
        <w:tc>
          <w:tcPr>
            <w:tcW w:w="8340" w:type="dxa"/>
            <w:vAlign w:val="bottom"/>
          </w:tcPr>
          <w:p>
            <w:pPr>
              <w:ind w:left="220"/>
              <w:spacing w:after="0"/>
              <w:rPr>
                <w:sz w:val="20"/>
                <w:szCs w:val="20"/>
                <w:color w:val="auto"/>
              </w:rPr>
            </w:pPr>
            <w:r>
              <w:rPr>
                <w:rFonts w:ascii="Arial" w:cs="Arial" w:eastAsia="Arial" w:hAnsi="Arial"/>
                <w:sz w:val="18"/>
                <w:szCs w:val="18"/>
                <w:color w:val="auto"/>
              </w:rPr>
              <w:t>(a)</w:t>
            </w:r>
          </w:p>
        </w:tc>
        <w:tc>
          <w:tcPr>
            <w:tcW w:w="2000" w:type="dxa"/>
            <w:vAlign w:val="bottom"/>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312</w:t>
            </w:r>
          </w:p>
        </w:tc>
        <w:tc>
          <w:tcPr>
            <w:tcW w:w="8340" w:type="dxa"/>
            <w:vAlign w:val="bottom"/>
          </w:tcPr>
          <w:p>
            <w:pPr>
              <w:ind w:left="220"/>
              <w:spacing w:after="0"/>
              <w:rPr>
                <w:sz w:val="20"/>
                <w:szCs w:val="20"/>
                <w:color w:val="auto"/>
              </w:rPr>
            </w:pPr>
            <w:r>
              <w:rPr>
                <w:rFonts w:ascii="Arial" w:cs="Arial" w:eastAsia="Arial" w:hAnsi="Arial"/>
                <w:sz w:val="18"/>
                <w:szCs w:val="18"/>
                <w:color w:val="auto"/>
              </w:rPr>
              <w:t>(a)</w:t>
            </w:r>
          </w:p>
        </w:tc>
        <w:tc>
          <w:tcPr>
            <w:tcW w:w="2000" w:type="dxa"/>
            <w:vAlign w:val="bottom"/>
          </w:tcPr>
          <w:p>
            <w:pPr>
              <w:jc w:val="right"/>
              <w:spacing w:after="0"/>
              <w:rPr>
                <w:sz w:val="20"/>
                <w:szCs w:val="20"/>
                <w:color w:val="auto"/>
              </w:rPr>
            </w:pPr>
            <w:r>
              <w:rPr>
                <w:rFonts w:ascii="Arial" w:cs="Arial" w:eastAsia="Arial" w:hAnsi="Arial"/>
                <w:sz w:val="18"/>
                <w:szCs w:val="18"/>
                <w:color w:val="auto"/>
              </w:rPr>
              <w:t>7.1, 7.2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(c)</w:t>
            </w:r>
          </w:p>
        </w:tc>
        <w:tc>
          <w:tcPr>
            <w:tcW w:w="200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313</w:t>
            </w: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(b)</w:t>
            </w:r>
          </w:p>
        </w:tc>
        <w:tc>
          <w:tcPr>
            <w:tcW w:w="20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(d)</w:t>
            </w:r>
          </w:p>
        </w:tc>
        <w:tc>
          <w:tcPr>
            <w:tcW w:w="20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314</w:t>
            </w: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(a)(4)</w:t>
            </w:r>
          </w:p>
        </w:tc>
        <w:tc>
          <w:tcPr>
            <w:tcW w:w="2000" w:type="dxa"/>
            <w:vAlign w:val="bottom"/>
          </w:tcPr>
          <w:p>
            <w:pPr>
              <w:jc w:val="right"/>
              <w:spacing w:after="0"/>
              <w:rPr>
                <w:sz w:val="20"/>
                <w:szCs w:val="20"/>
                <w:color w:val="auto"/>
              </w:rPr>
            </w:pPr>
            <w:r>
              <w:rPr>
                <w:rFonts w:ascii="Arial" w:cs="Arial" w:eastAsia="Arial" w:hAnsi="Arial"/>
                <w:sz w:val="18"/>
                <w:szCs w:val="18"/>
                <w:color w:val="auto"/>
              </w:rPr>
              <w:t>1.1, 10.4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(c)(1)</w:t>
            </w:r>
          </w:p>
        </w:tc>
        <w:tc>
          <w:tcPr>
            <w:tcW w:w="20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(c)(2)</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(c)(3)</w:t>
            </w:r>
          </w:p>
        </w:tc>
        <w:tc>
          <w:tcPr>
            <w:tcW w:w="2000" w:type="dxa"/>
            <w:vAlign w:val="bottom"/>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(e)</w:t>
            </w:r>
          </w:p>
        </w:tc>
        <w:tc>
          <w:tcPr>
            <w:tcW w:w="20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315</w:t>
            </w: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(b)</w:t>
            </w:r>
          </w:p>
        </w:tc>
        <w:tc>
          <w:tcPr>
            <w:tcW w:w="200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(d)</w:t>
            </w:r>
          </w:p>
        </w:tc>
        <w:tc>
          <w:tcPr>
            <w:tcW w:w="200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316</w:t>
            </w:r>
          </w:p>
        </w:tc>
        <w:tc>
          <w:tcPr>
            <w:tcW w:w="8340" w:type="dxa"/>
            <w:vAlign w:val="bottom"/>
          </w:tcPr>
          <w:p>
            <w:pPr>
              <w:ind w:left="220"/>
              <w:spacing w:after="0"/>
              <w:rPr>
                <w:sz w:val="20"/>
                <w:szCs w:val="20"/>
                <w:color w:val="auto"/>
              </w:rPr>
            </w:pPr>
            <w:r>
              <w:rPr>
                <w:rFonts w:ascii="Arial" w:cs="Arial" w:eastAsia="Arial" w:hAnsi="Arial"/>
                <w:sz w:val="18"/>
                <w:szCs w:val="18"/>
                <w:color w:val="auto"/>
              </w:rPr>
              <w:t>(a)</w:t>
            </w:r>
          </w:p>
        </w:tc>
        <w:tc>
          <w:tcPr>
            <w:tcW w:w="20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(a)(1)(A)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(a)(1)(B)</w:t>
            </w:r>
          </w:p>
        </w:tc>
        <w:tc>
          <w:tcPr>
            <w:tcW w:w="2000" w:type="dxa"/>
            <w:vAlign w:val="bottom"/>
          </w:tcPr>
          <w:p>
            <w:pPr>
              <w:jc w:val="right"/>
              <w:spacing w:after="0"/>
              <w:rPr>
                <w:sz w:val="20"/>
                <w:szCs w:val="20"/>
                <w:color w:val="auto"/>
              </w:rPr>
            </w:pPr>
            <w:r>
              <w:rPr>
                <w:rFonts w:ascii="Arial" w:cs="Arial" w:eastAsia="Arial" w:hAnsi="Arial"/>
                <w:sz w:val="18"/>
                <w:szCs w:val="18"/>
                <w:color w:val="auto"/>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(a)(2)</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(b)</w:t>
            </w:r>
          </w:p>
        </w:tc>
        <w:tc>
          <w:tcPr>
            <w:tcW w:w="20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Section 317</w:t>
            </w:r>
          </w:p>
        </w:tc>
        <w:tc>
          <w:tcPr>
            <w:tcW w:w="8340" w:type="dxa"/>
            <w:vAlign w:val="bottom"/>
          </w:tcPr>
          <w:p>
            <w:pPr>
              <w:ind w:left="220"/>
              <w:spacing w:after="0"/>
              <w:rPr>
                <w:sz w:val="20"/>
                <w:szCs w:val="20"/>
                <w:color w:val="auto"/>
              </w:rPr>
            </w:pPr>
            <w:r>
              <w:rPr>
                <w:rFonts w:ascii="Arial" w:cs="Arial" w:eastAsia="Arial" w:hAnsi="Arial"/>
                <w:sz w:val="18"/>
                <w:szCs w:val="18"/>
                <w:color w:val="auto"/>
              </w:rPr>
              <w:t>(a)(1)</w:t>
            </w:r>
          </w:p>
        </w:tc>
        <w:tc>
          <w:tcPr>
            <w:tcW w:w="200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(a)(2)</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340" w:type="dxa"/>
            <w:vAlign w:val="bottom"/>
          </w:tcPr>
          <w:p>
            <w:pPr>
              <w:ind w:left="220"/>
              <w:spacing w:after="0"/>
              <w:rPr>
                <w:sz w:val="20"/>
                <w:szCs w:val="20"/>
                <w:color w:val="auto"/>
              </w:rPr>
            </w:pPr>
            <w:r>
              <w:rPr>
                <w:rFonts w:ascii="Arial" w:cs="Arial" w:eastAsia="Arial" w:hAnsi="Arial"/>
                <w:sz w:val="18"/>
                <w:szCs w:val="18"/>
                <w:color w:val="auto"/>
              </w:rPr>
              <w:t>(b)</w:t>
            </w:r>
          </w:p>
        </w:tc>
        <w:tc>
          <w:tcPr>
            <w:tcW w:w="200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Section 318</w:t>
            </w:r>
          </w:p>
        </w:tc>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9" w:name="page100"/>
    <w:bookmarkEnd w:id="99"/>
    <w:p>
      <w:pPr>
        <w:jc w:val="both"/>
        <w:ind w:firstLine="648"/>
        <w:spacing w:after="0" w:line="274" w:lineRule="auto"/>
        <w:rPr>
          <w:sz w:val="20"/>
          <w:szCs w:val="20"/>
          <w:color w:val="auto"/>
        </w:rPr>
      </w:pPr>
      <w:r>
        <w:rPr>
          <w:rFonts w:ascii="Arial" w:cs="Arial" w:eastAsia="Arial" w:hAnsi="Arial"/>
          <w:sz w:val="17"/>
          <w:szCs w:val="17"/>
          <w:color w:val="auto"/>
        </w:rPr>
        <w:t>INDENTURE, dated as of , 20 , between IMPRIMIS PHARMACEUTICALS, INC., a corporation duly organized and existing under the laws of the State of Delaware (herein called the “Company”), having its principal executive office at 12264 El Camino Real, Suite 350, San Diego, CA</w:t>
      </w:r>
    </w:p>
    <w:p>
      <w:pPr>
        <w:spacing w:after="0"/>
        <w:tabs>
          <w:tab w:leader="none" w:pos="1500" w:val="left"/>
        </w:tabs>
        <w:rPr>
          <w:sz w:val="20"/>
          <w:szCs w:val="20"/>
          <w:color w:val="auto"/>
        </w:rPr>
      </w:pPr>
      <w:r>
        <w:rPr>
          <w:rFonts w:ascii="Arial" w:cs="Arial" w:eastAsia="Arial" w:hAnsi="Arial"/>
          <w:sz w:val="18"/>
          <w:szCs w:val="18"/>
          <w:color w:val="auto"/>
        </w:rPr>
        <w:t>92130 and</w:t>
      </w:r>
      <w:r>
        <w:rPr>
          <w:sz w:val="20"/>
          <w:szCs w:val="20"/>
          <w:color w:val="auto"/>
        </w:rPr>
        <w:tab/>
      </w:r>
      <w:r>
        <w:rPr>
          <w:rFonts w:ascii="Arial" w:cs="Arial" w:eastAsia="Arial" w:hAnsi="Arial"/>
          <w:sz w:val="16"/>
          <w:szCs w:val="16"/>
          <w:color w:val="auto"/>
        </w:rPr>
        <w:t>, as Trustee (herein called the “Trustee”).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from time to time of its unsecured subordinated debentures, notes or other evidences of indebtedness (herein called the “Securities”), to be issued in one or more series as provided in this Indenture.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series thereof appertaining,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left="1560" w:hanging="255"/>
        <w:spacing w:after="0"/>
        <w:tabs>
          <w:tab w:leader="none" w:pos="15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terms defined in this Article have the meanings assigned to them in this Article and include the plural as well as the singular;</w:t>
      </w:r>
    </w:p>
    <w:p>
      <w:pPr>
        <w:spacing w:after="0" w:line="236" w:lineRule="exact"/>
        <w:rPr>
          <w:rFonts w:ascii="Arial" w:cs="Arial" w:eastAsia="Arial" w:hAnsi="Arial"/>
          <w:sz w:val="17"/>
          <w:szCs w:val="17"/>
          <w:color w:val="auto"/>
        </w:rPr>
      </w:pPr>
    </w:p>
    <w:p>
      <w:pPr>
        <w:ind w:left="660" w:firstLine="645"/>
        <w:spacing w:after="0" w:line="277" w:lineRule="auto"/>
        <w:tabs>
          <w:tab w:leader="none" w:pos="1586"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65"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all accounting terms not otherwise defined herein have the meanings assigned to them in accordance with generally accepted accounting principles in the United States of America, and, except as otherwise herein expressly </w:t>
      </w:r>
      <w:r>
        <w:rPr>
          <w:rFonts w:ascii="Arial" w:cs="Arial" w:eastAsia="Arial" w:hAnsi="Arial"/>
          <w:sz w:val="18"/>
          <w:szCs w:val="18"/>
          <w:u w:val="single" w:color="auto"/>
          <w:color w:val="auto"/>
        </w:rPr>
        <w:t>provided</w:t>
      </w:r>
      <w:r>
        <w:rPr>
          <w:rFonts w:ascii="Arial" w:cs="Arial" w:eastAsia="Arial" w:hAnsi="Arial"/>
          <w:sz w:val="18"/>
          <w:szCs w:val="18"/>
          <w:color w:val="auto"/>
        </w:rPr>
        <w:t>, the term “generally accepted accounting principles” with respect to any computation required or permitted hereunder shall mean such accounting principles in the United States of America as are generally accepted at the date of such computation;</w:t>
      </w:r>
    </w:p>
    <w:p>
      <w:pPr>
        <w:spacing w:after="0" w:line="186" w:lineRule="exact"/>
        <w:rPr>
          <w:rFonts w:ascii="Arial" w:cs="Arial" w:eastAsia="Arial" w:hAnsi="Arial"/>
          <w:sz w:val="18"/>
          <w:szCs w:val="18"/>
          <w:color w:val="auto"/>
        </w:rPr>
      </w:pPr>
    </w:p>
    <w:p>
      <w:pPr>
        <w:ind w:left="1560" w:hanging="255"/>
        <w:spacing w:after="0"/>
        <w:tabs>
          <w:tab w:leader="none" w:pos="15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references to “$” refer to the lawful currency of the United States of America;</w:t>
      </w:r>
    </w:p>
    <w:p>
      <w:pPr>
        <w:spacing w:after="0" w:line="225" w:lineRule="exact"/>
        <w:rPr>
          <w:rFonts w:ascii="Arial" w:cs="Arial" w:eastAsia="Arial" w:hAnsi="Arial"/>
          <w:sz w:val="18"/>
          <w:szCs w:val="18"/>
          <w:color w:val="auto"/>
        </w:rPr>
      </w:pPr>
    </w:p>
    <w:p>
      <w:pPr>
        <w:ind w:left="660" w:firstLine="645"/>
        <w:spacing w:after="0" w:line="277" w:lineRule="auto"/>
        <w:tabs>
          <w:tab w:leader="none" w:pos="15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Indenture; and</w:t>
      </w:r>
    </w:p>
    <w:p>
      <w:pPr>
        <w:spacing w:after="0" w:line="170" w:lineRule="exact"/>
        <w:rPr>
          <w:rFonts w:ascii="Arial" w:cs="Arial" w:eastAsia="Arial" w:hAnsi="Arial"/>
          <w:sz w:val="18"/>
          <w:szCs w:val="18"/>
          <w:color w:val="auto"/>
        </w:rPr>
      </w:pPr>
    </w:p>
    <w:p>
      <w:pPr>
        <w:ind w:left="660" w:firstLine="645"/>
        <w:spacing w:after="0" w:line="277" w:lineRule="auto"/>
        <w:tabs>
          <w:tab w:leader="none" w:pos="15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 when used with respect to any Holder, has the meaning specified in Section 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Interest” has the meaning specified in Section 5.2(b).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0" w:name="page101"/>
    <w:bookmarkEnd w:id="100"/>
    <w:p>
      <w:pPr>
        <w:jc w:val="both"/>
        <w:ind w:firstLine="648"/>
        <w:spacing w:after="0" w:line="277" w:lineRule="auto"/>
        <w:rPr>
          <w:sz w:val="20"/>
          <w:szCs w:val="20"/>
          <w:color w:val="auto"/>
        </w:rPr>
      </w:pPr>
      <w:r>
        <w:rPr>
          <w:rFonts w:ascii="Arial" w:cs="Arial" w:eastAsia="Arial" w:hAnsi="Arial"/>
          <w:sz w:val="18"/>
          <w:szCs w:val="18"/>
          <w:color w:val="auto"/>
        </w:rPr>
        <w:t>“Authenticating Agent” means any Person authorized by the Trustee pursuant to Section 6.14 to act on behalf of the Trustee to authenticate Securities of one or more series.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“Board of Directors” means either the board of directors of the Company or any duly authorized committee of that board empowered to act for it with respect to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subject to the provisions of Section 14.9, shares issuable upon conversion of Securities shall include only shares of the class designated as Common Stock of the Company at the date of this Indenture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at any time there shall be more than one such resulting class, the shares of each such class then so issuable shall be substantially in the proportion which the total number of shares of such class resulting from all such reclassifications bears to the total number of shares of all such classes resulting from all such reclassifications.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“Company” means the corporation named as the “Company”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“Company Request” or “Company Order” means a written request or order signed in the name of the Company by its Chairman of the Board, its Vice Chairman of the Board, its Chief Executive Officer, its President or a Vice President, and by its principal financial officer, its Treasurer, an Assistant Treasurer, its Secretary or an Assistant Secretary, and delivered to the Trustee.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“Constituent Person” has the meaning specified in Section 14.9.</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“Corporate Trust Office” means the corporate trust office of the Trustee at , Attention: Corporate Trust Department, or such other office, designated by the Trustee by written notice to the Company, at which at any particular time its corporate trust business shall be administered.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“corporation” means a corporation, association, company, joint-stock company or business trust.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“Covenant Defeasance” has the meaning specified in Section 13.3.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“Defaulted Interest” has the meaning specified in Section 3.7.</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1" w:name="page102"/>
    <w:bookmarkEnd w:id="101"/>
    <w:p>
      <w:pPr>
        <w:ind w:left="660"/>
        <w:spacing w:after="0"/>
        <w:rPr>
          <w:sz w:val="20"/>
          <w:szCs w:val="20"/>
          <w:color w:val="auto"/>
        </w:rPr>
      </w:pPr>
      <w:r>
        <w:rPr>
          <w:rFonts w:ascii="Arial" w:cs="Arial" w:eastAsia="Arial" w:hAnsi="Arial"/>
          <w:sz w:val="18"/>
          <w:szCs w:val="18"/>
          <w:color w:val="auto"/>
        </w:rPr>
        <w:t>“Defeasance” has the meaning specified in Section 13.2.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3.1.</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“Designated Senior Debt” means the Company’s obligations under any particular Senior Debt in which the instrument creating or evidencing the same or the assumption or guarantee thereof (or related agreements or documents to which the Company is a party) expressly provides that such Senior Debt shall be “Designated Senior Debt” for purposes of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that such instrument, agreement or other document may place limitations and conditions on the right of such Senior Debt to exercise the rights of Designated Senior Debt). If any payment made to any holder of any Designated Senior Debt or its Representative with respect to such Designated Senior Debt is rescinded or must otherwise be returned by such holder or Representative upon the insolvency, bankruptcy or reorganization of the Company or otherwise, the reinstated Indebtedness of the Company arising as a result of such rescission or return shall constitute Designated Senior Debt effective as of the date of such rescission or return.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“euro” or “euros” means the currency adopted by those nations participating in the third stage of the economic and monetary union provisions of the Treaty on European Union, signed at Maastricht on February 7, 1992.</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“European Economic Area” means the member nations of the European Economic Area pursuant to the Oporto Agreement on the European Economic Area dated May 2, 1992, as amended.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“European Union” means the member nations of the European Union established by the Treaty of European Union, signed at Maastricht on February 7, 1992, which amended the Treaty of Rome establishing the European Community.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has the meaning specified in Section 5.1.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“Exchange Act” means the Securities Exchange Act of 1934 and any statute successor thereto, in each case as amended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Date” has the meaning specified in Section 1.4.</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“Foreign Government Obligation” means with respect to Securities of any series which are not denominated in the currency of the United States of America (x) any security which is (i) a direct obligation of the government which issued or caused to be issued the currency in which such security is denominated and for the payment of which obligations its full faith and credit is pledged or, with respect to Securities of any series which are denominated in euros, a direct obligation of any member nation of the European Union for the payment of which obligation the full faith and credit of the respective nation is pledged so long as such nation has a credit rating at least equal to that of the highest rated member nation of the European Economic Area, or (ii) an obligation of a Person controlled or supervised by and acting as an agency or instrumentality of a government specified in clause (i) above the timely payment of which is unconditionally guaranteed as a full faith and credit obligation by the such government, which, in either case (i) or (ii), is not callable or redeemable at the option of the issuer thereof, and (y) any depositary receipt issued by a bank (as defined in Section 3(a)(2) of the Securities Act) as custodian with respect to any Foreign Government Obligation which is specified in clause (x) above and held by such bank for the account of the holder of such depositary receipt, or with respect to any specific payment of principal of or interest on any Foreign Government Obligation which is so specified and 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2" w:name="page103"/>
    <w:bookmarkEnd w:id="102"/>
    <w:p>
      <w:pPr>
        <w:jc w:val="both"/>
        <w:ind w:firstLine="648"/>
        <w:spacing w:after="0" w:line="277" w:lineRule="auto"/>
        <w:rPr>
          <w:sz w:val="20"/>
          <w:szCs w:val="20"/>
          <w:color w:val="auto"/>
        </w:rPr>
      </w:pPr>
      <w:r>
        <w:rPr>
          <w:rFonts w:ascii="Arial" w:cs="Arial" w:eastAsia="Arial" w:hAnsi="Arial"/>
          <w:sz w:val="18"/>
          <w:szCs w:val="18"/>
          <w:color w:val="auto"/>
        </w:rPr>
        <w:t>“Global Security” means a Security that evidences all or part of the Securities of any series and bears the legend set forth in Section 2.4 (or such legend as may be specified as contemplated by Section 3.1 for such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 means a Person in whose name a Security is registered in the Security Register.</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“Indebtedness” means, with respect to any Person, and without duplication, whether absolute or contingent, secured or unsecured, due or to become due, (a) all indebtedness, obligations and other liabilities (contingent or otherwise) of such Person evidenced by a credit or loan agreement, note, bond, debenture, or other written obligation (whether or not the recourse of the lender is to the whole of the assets of such person or to only a portion thereof) or for money borrowed (including obligations of such Person in respect of overdrafts, foreign exchange contracts, currency exchange agreements, interest rate protection agreements, and any loans or advances from banks, whether or not evidenced by notes or similar instruments); (b) all obligations and liabilities (contingent or otherwise) of such Person evidenced by a note or similar instrument given in connection with the acquisition of any businesses, properties or assets of any kind; (c) all obligations and liabilities (contingent or otherwise) in respect of leases of such Person required, in conformity with generally accepted accounting principles, to be accounted for as capitalized lease obligations on the balance sheet of such Person and all obligations and other liabilities (contingent or otherwise) or as lessee under any leases or related documents for facilities, capital equipment or related assets, whether or not capitalized, entered into or leased for financing purposes; (d) all obligations of such Person (contingent or otherwise) with respect to interest rate and currency swaps, caps, floors, collars, hedge agreements, forward contracts or similar agreements or arrangements; (e) all obligations and other liabilities (contingent or otherwise) of such Person with respect to letters of credit, bankers’ acceptances or similar facilities, including reimbursement obligations with respect to the foregoing; (f) all obligations and liabilities of such Person or assumed as the deferred purchase price of property or services, but excluding trade accounts payable and accrued liabilities arising in the ordinary course of business; (g) all obligations of the type referred to in (a) through (f) above of another Person the payment of which, in either case, such Person has assumed or guaranteed or for which such Person is responsible or liable directly or indirectly, jointly or severally, as obligor, guarantor or otherwise, or which are secured by a lien on such Person’s property; and (h) any and all renewals, extensions, modifications, replacements, restatements and refundings of, or, any indebtedness or obligation issued in exchange for, any such indebtedness or obligation of the kind described in clauses (a) through (g) above.</w:t>
      </w:r>
    </w:p>
    <w:p>
      <w:pPr>
        <w:spacing w:after="0" w:line="1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when used with respect to an Original Issue Discount Security, which by its terms bears interest only after Maturity, means interest payable after Maturity.</w:t>
      </w:r>
    </w:p>
    <w:p>
      <w:pPr>
        <w:spacing w:after="0" w:line="17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“Interest Payment Date,” when used with respect to any Security, means the Stated Maturity of an installment of interest on such Security.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6"/>
          <w:szCs w:val="16"/>
          <w:color w:val="auto"/>
        </w:rPr>
        <w:t>“Investment Company Act” means the Investment Company Act of 1940 and any statute successor thereto, in each case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“Maturity,” when used with respect to any Security, means the date on which the principal of such Security or an installment of principal becomes due and payable as therein or herein </w:t>
      </w:r>
      <w:r>
        <w:rPr>
          <w:rFonts w:ascii="Arial" w:cs="Arial" w:eastAsia="Arial" w:hAnsi="Arial"/>
          <w:sz w:val="18"/>
          <w:szCs w:val="18"/>
          <w:u w:val="single" w:color="auto"/>
          <w:color w:val="auto"/>
        </w:rPr>
        <w:t>provided</w:t>
      </w:r>
      <w:r>
        <w:rPr>
          <w:rFonts w:ascii="Arial" w:cs="Arial" w:eastAsia="Arial" w:hAnsi="Arial"/>
          <w:sz w:val="18"/>
          <w:szCs w:val="18"/>
          <w:color w:val="auto"/>
        </w:rPr>
        <w:t>, whether at the Stated Maturity or by declaration of acceleration, repurchase at the option of the Holder, upon redemption or otherwise.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“Non-electing Share” has the meaning specified in Section 14.9.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“Non-Payment Default” has the meaning specified in Section 15.2.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Default” means a written notice of the kind specified in Section 5.1(4).</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“Officers’ Certificate” means a certificate signed by the Chairman of the Board, a Vice Chairman of the Board, the Chief Executive Officer, the President or a Vice President, and by the principal financial officer, the Treasurer, an Assistant Treasurer, the Secretary or an Assistant Secretary, of the Company, and delivered to the Trustee. One of the officers signing an Officers’ Certificate given pursuant to Section 10.4 shall be the principal executive, financial or accounting officer of the Company.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for, or an employee of, the Company, and who shall be reasonably acceptable to the Trustee.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“Original Issue Discount Security” means any Security that provides for an amount less than the principal amount thereof to be due and payable upon a declaration of acceleration of the Maturity thereof pursuant to Section 5.2.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“Outstanding,” when used with respect to Securities, means, as of the date of determination, all Securities theretofore authenticated and delivered under this Indenture, except</w:t>
      </w:r>
    </w:p>
    <w:p>
      <w:pPr>
        <w:spacing w:after="0" w:line="170" w:lineRule="exact"/>
        <w:rPr>
          <w:sz w:val="20"/>
          <w:szCs w:val="20"/>
          <w:color w:val="auto"/>
        </w:rPr>
      </w:pPr>
    </w:p>
    <w:p>
      <w:pPr>
        <w:ind w:left="920" w:hanging="264"/>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04"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186" w:lineRule="exact"/>
        <w:rPr>
          <w:rFonts w:ascii="Arial" w:cs="Arial" w:eastAsia="Arial" w:hAnsi="Arial"/>
          <w:sz w:val="18"/>
          <w:szCs w:val="18"/>
          <w:color w:val="auto"/>
        </w:rPr>
      </w:pPr>
    </w:p>
    <w:p>
      <w:pPr>
        <w:ind w:left="920" w:hanging="264"/>
        <w:spacing w:after="0"/>
        <w:tabs>
          <w:tab w:leader="none" w:pos="9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Securities as to which Defeasance has been effected pursuant to Section 13.2; and</w:t>
      </w:r>
    </w:p>
    <w:p>
      <w:pPr>
        <w:spacing w:after="0" w:line="225" w:lineRule="exact"/>
        <w:rPr>
          <w:rFonts w:ascii="Arial" w:cs="Arial" w:eastAsia="Arial" w:hAnsi="Arial"/>
          <w:sz w:val="18"/>
          <w:szCs w:val="18"/>
          <w:color w:val="auto"/>
        </w:rPr>
      </w:pPr>
    </w:p>
    <w:p>
      <w:pPr>
        <w:jc w:val="both"/>
        <w:ind w:firstLine="656"/>
        <w:spacing w:after="0" w:line="286" w:lineRule="auto"/>
        <w:tabs>
          <w:tab w:leader="none" w:pos="924" w:val="left"/>
        </w:tabs>
        <w:numPr>
          <w:ilvl w:val="0"/>
          <w:numId w:val="82"/>
        </w:numPr>
        <w:rPr>
          <w:rFonts w:ascii="Arial" w:cs="Arial" w:eastAsia="Arial" w:hAnsi="Arial"/>
          <w:sz w:val="17"/>
          <w:szCs w:val="17"/>
          <w:color w:val="auto"/>
        </w:rPr>
      </w:pPr>
      <w:r>
        <w:rPr>
          <w:rFonts w:ascii="Arial" w:cs="Arial" w:eastAsia="Arial" w:hAnsi="Arial"/>
          <w:sz w:val="17"/>
          <w:szCs w:val="17"/>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5.2, (B) if, as of such date, the principal amount payable at the Stated Maturity of a Security is not determinable, the principal amount of such Security which shall be deemed to be Outstanding shall be the amount as specified or determined as contemplated by Section 3.1, (C) the principal amount of a Security denominated in one or more non-U.S. dollar currencies or currency units which shall be deemed to be Outstanding shall be the U.S. dollar equivalent, determined as of such date in the manner provided as contemplated by Section 3.1,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4" w:name="page105"/>
    <w:bookmarkEnd w:id="104"/>
    <w:p>
      <w:pPr>
        <w:jc w:val="both"/>
        <w:ind w:firstLine="648"/>
        <w:spacing w:after="0" w:line="277" w:lineRule="auto"/>
        <w:rPr>
          <w:sz w:val="20"/>
          <w:szCs w:val="20"/>
          <w:color w:val="auto"/>
        </w:rPr>
      </w:pPr>
      <w:r>
        <w:rPr>
          <w:rFonts w:ascii="Arial" w:cs="Arial" w:eastAsia="Arial" w:hAnsi="Arial"/>
          <w:sz w:val="18"/>
          <w:szCs w:val="18"/>
          <w:color w:val="auto"/>
        </w:rPr>
        <w:t>“Paying Agent” means any Person authorized by the Company to pay the principal of or any premium or interest on any Securities on behalf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 Blockage Notice” has the meaning specified in Section 15.2.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 Default” has the meaning specified in Section 15.2.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trust, unincorporated organization or government or any agency or political subdivision thereof.</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“Place of Payment,” when used with respect to the Securities of any series, means the place or places where the principal of and any premium and interest on the Securities of that series are payable as specified as contemplated by Section 3.1.</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“Record Date” means any Regular Record Date or Special Record 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“Redemption Date,” when used with respect to any Security to be redeemed, means the date fixed for such redemption by or pursuant to this Indenture.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“Redemption Price,” when used with respect to any Security to be redeemed, means the price at which it is to be redeemed pursuant to this Indenture.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“Regular Record Date” for the interest payable on any Interest Payment Date on the Securities of any series means the date specified for that purpose as contemplated by Section 3.1.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“Reporting Default” has the meaning specified in Section 5.2(b).</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“Representative” means the (a) indenture trustee or other trustee, agent or representative for any Senior Debt or (b) with respect to any Senior Debt that does not have any such trustee, agent or other representative, (i) in the case of such Senior Debt issued pursuant to an agreement providing for voting arrangements as among the holders or owners of such Senior Debt, any holder or owner of such Senior Debt acting with the consent of the required persons necessary to bind such holders or owners of such Senior Debt and (ii) in the case of all other such Senior Debt, the holder or owner of such Senior Debt.</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“Responsible Officer” means, when used with respect to the Trustee, an officer of the Trustee in the Corporate Trust Office assigned and duly authorized by the Trustee to administer its corporate trust matters.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“Securities”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Act” means the Securities Act of 1933 and any statute successor thereto, in each case as amended from time to time.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8"/>
          <w:szCs w:val="18"/>
          <w:color w:val="auto"/>
        </w:rPr>
        <w:t>“Security Register” and “Security Registrar” have the respective meanings specified in Section 3.5.</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“Senior Debt” means the principal of, premium, if any, interest (including all interest accruing subsequent to the commencement of any bankruptcy or similar proceeding, whether or not a claim for post-petition interest is allowable as a claim in any such proceeding) and rent payable on or in connection with, and all fees, costs, expenses and other amounts accrued or due on or in connection with, Indebtedness of the Company, whether outstanding on the date of this Indenture or thereafter created, incurred, assumed, guaranteed or in effect guaranteed by the Company (including all deferrals, renewals, extensions or refundings of, or amendments, modifications or supplements to, the foregoing), unless in the case of any particular Indebtedness the instrument creating or evidencing the same or the assumption or guarantee thereof expressly provides that such Indebtedness shall not be senior in right of payment to the Securities or expressly provides that such Indebtedness is “</w:t>
      </w:r>
      <w:r>
        <w:rPr>
          <w:rFonts w:ascii="Arial" w:cs="Arial" w:eastAsia="Arial" w:hAnsi="Arial"/>
          <w:sz w:val="17"/>
          <w:szCs w:val="17"/>
          <w:i w:val="1"/>
          <w:iCs w:val="1"/>
          <w:color w:val="auto"/>
        </w:rPr>
        <w:t>pari passu</w:t>
      </w:r>
      <w:r>
        <w:rPr>
          <w:rFonts w:ascii="Arial" w:cs="Arial" w:eastAsia="Arial" w:hAnsi="Arial"/>
          <w:sz w:val="17"/>
          <w:szCs w:val="17"/>
          <w:color w:val="auto"/>
        </w:rPr>
        <w:t>” or “ junior” to the Securities. Notwithstanding the foregoing, the term Senior Debt shall not include any Indebtedness of the Company to any Subsidiary of the Company. If any payment made to any holder of any Senior Debt or its Representative with respect to such Senior Debt is rescinded or must otherwise be returned by such holder or Representative upon the insolvency, bankruptcy or reorganization of the Company or otherwise, the reinstated Indebtedness of the Company arising as a result of such rescission or return shall constitute Senior Debt effective as of the date of such rescission or return.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3.7.</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“Subsidiary” means a Person of which at least a majority of the outstanding voting stock having the power to elect a majority of the board of directors of such Person (in the case of a corporation) is, or of which at least a majority of the equity interests (in the case of a Person which is not a corporation) are, at the time owned, directly or indirectly, by the Company or by one or more other Subsidiaries, or by the Company and one or more other Subsidiaries. For the purposes of this definition, “voting stock” means stock or similar interests to the Company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“Trust Indenture Act” means the Trust Indenture Act of 1939 as in force at the date as of which this instrument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6" w:name="page107"/>
    <w:bookmarkEnd w:id="106"/>
    <w:p>
      <w:pPr>
        <w:jc w:val="both"/>
        <w:ind w:firstLine="648"/>
        <w:spacing w:after="0" w:line="277" w:lineRule="auto"/>
        <w:rPr>
          <w:sz w:val="20"/>
          <w:szCs w:val="20"/>
          <w:color w:val="auto"/>
        </w:rPr>
      </w:pPr>
      <w:r>
        <w:rPr>
          <w:rFonts w:ascii="Arial" w:cs="Arial" w:eastAsia="Arial" w:hAnsi="Arial"/>
          <w:sz w:val="18"/>
          <w:szCs w:val="18"/>
          <w:color w:val="auto"/>
        </w:rPr>
        <w:t>“Vice President,” when used with respect to the Company or the Trustee, means any vice president, whether or not designated by a number or a word or words added before or after the title “vice president.”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1.2Compliance Certificates and Opinions.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225" w:lineRule="exact"/>
        <w:rPr>
          <w:sz w:val="20"/>
          <w:szCs w:val="20"/>
          <w:color w:val="auto"/>
        </w:rPr>
      </w:pPr>
    </w:p>
    <w:p>
      <w:pPr>
        <w:ind w:left="660" w:firstLine="645"/>
        <w:spacing w:after="0" w:line="277" w:lineRule="auto"/>
        <w:tabs>
          <w:tab w:leader="none" w:pos="1592"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statement that each individual signing such certificate or opinion has read such covenant or condition and the definitions herein relating thereto;</w:t>
      </w:r>
    </w:p>
    <w:p>
      <w:pPr>
        <w:spacing w:after="0" w:line="170" w:lineRule="exact"/>
        <w:rPr>
          <w:rFonts w:ascii="Arial" w:cs="Arial" w:eastAsia="Arial" w:hAnsi="Arial"/>
          <w:sz w:val="18"/>
          <w:szCs w:val="18"/>
          <w:color w:val="auto"/>
        </w:rPr>
      </w:pPr>
    </w:p>
    <w:p>
      <w:pPr>
        <w:ind w:left="660" w:firstLine="645"/>
        <w:spacing w:after="0" w:line="277" w:lineRule="auto"/>
        <w:tabs>
          <w:tab w:leader="none" w:pos="156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firstLine="645"/>
        <w:spacing w:after="0" w:line="308" w:lineRule="auto"/>
        <w:tabs>
          <w:tab w:leader="none" w:pos="1571" w:val="left"/>
        </w:tabs>
        <w:numPr>
          <w:ilvl w:val="0"/>
          <w:numId w:val="83"/>
        </w:numPr>
        <w:rPr>
          <w:rFonts w:ascii="Arial" w:cs="Arial" w:eastAsia="Arial" w:hAnsi="Arial"/>
          <w:sz w:val="17"/>
          <w:szCs w:val="17"/>
          <w:color w:val="auto"/>
        </w:rPr>
      </w:pPr>
      <w:r>
        <w:rPr>
          <w:rFonts w:ascii="Arial" w:cs="Arial" w:eastAsia="Arial" w:hAnsi="Arial"/>
          <w:sz w:val="17"/>
          <w:szCs w:val="17"/>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46" w:lineRule="exact"/>
        <w:rPr>
          <w:rFonts w:ascii="Arial" w:cs="Arial" w:eastAsia="Arial" w:hAnsi="Arial"/>
          <w:sz w:val="17"/>
          <w:szCs w:val="17"/>
          <w:color w:val="auto"/>
        </w:rPr>
      </w:pPr>
    </w:p>
    <w:p>
      <w:pPr>
        <w:ind w:left="1560" w:hanging="255"/>
        <w:spacing w:after="0"/>
        <w:tabs>
          <w:tab w:leader="none" w:pos="15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Form of Documents Delivered to Trustee.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Acts of Holders; Record Dates.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The Trustee shall promptly deliver to the Company copies of all such instrument or instruments delivered to the Trustee.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6.1) conclusive in favor of the Trustee and the Company, if made in the manner provided in this Section.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7" w:name="page108"/>
    <w:bookmarkEnd w:id="107"/>
    <w:p>
      <w:pPr>
        <w:jc w:val="both"/>
        <w:ind w:firstLine="648"/>
        <w:spacing w:after="0" w:line="297" w:lineRule="auto"/>
        <w:rPr>
          <w:sz w:val="20"/>
          <w:szCs w:val="20"/>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that the Trustee deems sufficient.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ownership of Securities shall be proved by the Security Register.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The Company may set any day as a record date for the purpose of determining the Holders of Outstanding Securities of any series entitled to give, make or take any request, demand, authorization, direction, vote, notice, consent, waiver or other action provided or permitted by this Indenture to be given, made or taken by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1.6.</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Trustee may set any day as a record date for the purpose of determining the Holders of Outstanding Securities of any series entitled to join in the giving or making of (i) any Notice of Default, (ii) any declaration of acceleration referred to in Section 5.2, (iii) any request to institute proceedings referred to in Section 5.7(2)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1.6.</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8" w:name="page109"/>
    <w:bookmarkEnd w:id="108"/>
    <w:p>
      <w:pPr>
        <w:jc w:val="both"/>
        <w:ind w:firstLine="648"/>
        <w:spacing w:after="0" w:line="255" w:lineRule="auto"/>
        <w:rPr>
          <w:sz w:val="20"/>
          <w:szCs w:val="20"/>
          <w:color w:val="auto"/>
        </w:rPr>
      </w:pPr>
      <w:r>
        <w:rPr>
          <w:rFonts w:ascii="Arial" w:cs="Arial" w:eastAsia="Arial" w:hAnsi="Arial"/>
          <w:sz w:val="18"/>
          <w:szCs w:val="18"/>
          <w:color w:val="auto"/>
        </w:rPr>
        <w:t xml:space="preserve">With respect to any record date set pursuant to this Section, the party hereto which sets such record dates may designate any day as the “Expiration Date” and from time to time may change the Expiration Date to any earlier or later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change shall be effective unless notice of the proposed new Expiration Date is given to the other party hereto in writing, and to each Holder of Securities of the relevant series in the manner set forth in Section 1.6,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Notices, etc., to Trustee and Company.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Any request, demand, authorization, direction, notice, consent, waiver or Act of Holders or other document provided or permitted by this Indenture to be made upon, given or furnished to, or filed with, (1) the Trustee by any Holder or by the Company shall be sufficient for every purpose hereunder if made, given, furnished or filed in writing (or by facsimile transmissions,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oral confirmation of receipt shall have been received) to or with the Trustee at its Corporate Trust Office, Attention: Corporate Trust Department, or (2) the Company by the Trustee or by any Holder shall be sufficient for every purpose hereunder (unless otherwise herein expressly provided) if in writing and mailed, first-class postage prepaid, personally delivered or sent via overnight courier to the Company addressed to it at the address of its principal office specified in the first paragraph of this instrument or at any other address previously furnished in writing to the Trustee by the Company, Attention: Chief Financial Officer.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 Notice to Holders; Waiver.</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Where this Indenture provides for notice to Holders of any event, such notice shall be sufficiently given (unless otherwise herein expressly provided) if in writing and mailed, first-class postage prepaid, or delivered by hand or overnight courier, to each Holder affected by such event, at its address as it appears in the Security Register, not later than the latest date (if any), and not earlier than the earliest date (if any), prescribed for the giving of such notice. Neither the failure to mail or deliver by hand or overnight courier any notice, nor any defect in any notice so mailed or delivered by hand or overnight courier,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1.7 Conflict with Trust Indenture Act.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provision hereof limits, qualifies or conflicts with a provision of the Trust Indenture Act that is required under the Trust Indenture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Section 1.8 Effect of Headings and Table of Contents.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Article and Section headings herein and the Table of Contents are for convenience only and shall not affect the construction hereof.</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 Successors and Assigns.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1.10 Separability Clause.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Benefits of Indenture.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Nothing in this Indenture or in the Securities, express or implied, shall give to any Person, other than the parties hereto and their successors hereunder, the holders of Senior Debt and the Holders, any benefit or any legal or equitable right, remedy or claim under this Indenture.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Governing Law.</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THIS INDENTURE AND THE SECURITIES SHALL BE GOVERNED BY AND CONSTRUED IN ACCORDANCE WITH THE LAWS OF THE STATE OF NEW YORK.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Legal Holidays.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any case where any Interest Payment Date, Redemption Date or Stated Maturity of any Security or the last date on which a Holder has the right to convert a Security at a particular conversion price or conversion rate, as the case may be,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if applicable to a particular series of Securities, conversion need not be made at such Place of Payment on such date, but may be made on the next succeeding Business Day at such Place of Payment with the same force and effect as if made on the Interest Payment Date or Redemption Date, at the Stated Maturity or on such last day for conversion, as the case may be.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Indenture and Securities Solely Corporate Obligations.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recourse for the payment of the principal of or premium, if any, or interest on any Security,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color w:val="auto"/>
        </w:rPr>
        <w:t>Section 1.15 Indenture May be Executed in Counterparts.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shall be an original, but such counterparts shall together constitute but one and the same instrument.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FORMS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Forms Generally.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3.3 for the authentication and delivery of such Securities. Any such Board Resolution or record of such action shall have attached thereto a true and correct copy of the form of Security referred to therein approved by or pursuant to such Board Resolution.</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Form of Face of Security.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[INSERT ANY LEGEND REQUIRED BY THE INTERNAL REVENUE CODE AND THE REGULATIONS THEREUNDER.]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60" w:type="dxa"/>
            <w:vAlign w:val="bottom"/>
            <w:gridSpan w:val="2"/>
          </w:tcPr>
          <w:p>
            <w:pPr>
              <w:ind w:left="220"/>
              <w:spacing w:after="0"/>
              <w:rPr>
                <w:sz w:val="20"/>
                <w:szCs w:val="20"/>
                <w:color w:val="auto"/>
              </w:rPr>
            </w:pPr>
            <w:r>
              <w:rPr>
                <w:rFonts w:ascii="Arial" w:cs="Arial" w:eastAsia="Arial" w:hAnsi="Arial"/>
                <w:sz w:val="18"/>
                <w:szCs w:val="18"/>
                <w:b w:val="1"/>
                <w:bCs w:val="1"/>
                <w:color w:val="auto"/>
              </w:rPr>
              <w:t>IMPRIMIS PHARMACEUTICALS, INC.</w:t>
            </w: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80" w:type="dxa"/>
            <w:vAlign w:val="bottom"/>
            <w:vMerge w:val="restart"/>
          </w:tcPr>
          <w:p>
            <w:pPr>
              <w:spacing w:after="0"/>
              <w:rPr>
                <w:sz w:val="20"/>
                <w:szCs w:val="20"/>
                <w:color w:val="auto"/>
              </w:rPr>
            </w:pPr>
            <w:r>
              <w:rPr>
                <w:rFonts w:ascii="Arial" w:cs="Arial" w:eastAsia="Arial" w:hAnsi="Arial"/>
                <w:sz w:val="18"/>
                <w:szCs w:val="18"/>
                <w:color w:val="auto"/>
              </w:rPr>
              <w:t>NO __________</w:t>
            </w:r>
          </w:p>
        </w:tc>
        <w:tc>
          <w:tcPr>
            <w:tcW w:w="6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8"/>
                <w:szCs w:val="18"/>
                <w:color w:val="auto"/>
              </w:rPr>
              <w:t>$ __________</w:t>
            </w:r>
          </w:p>
        </w:tc>
        <w:tc>
          <w:tcPr>
            <w:tcW w:w="0" w:type="dxa"/>
            <w:vAlign w:val="bottom"/>
          </w:tcPr>
          <w:p>
            <w:pPr>
              <w:spacing w:after="0"/>
              <w:rPr>
                <w:sz w:val="1"/>
                <w:szCs w:val="1"/>
                <w:color w:val="auto"/>
              </w:rPr>
            </w:pPr>
          </w:p>
        </w:tc>
      </w:tr>
      <w:tr>
        <w:trPr>
          <w:trHeight w:val="431"/>
        </w:trPr>
        <w:tc>
          <w:tcPr>
            <w:tcW w:w="21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CUSIP: __________</w:t>
            </w:r>
          </w:p>
        </w:tc>
        <w:tc>
          <w:tcPr>
            <w:tcW w:w="0" w:type="dxa"/>
            <w:vAlign w:val="bottom"/>
          </w:tcPr>
          <w:p>
            <w:pPr>
              <w:spacing w:after="0"/>
              <w:rPr>
                <w:sz w:val="1"/>
                <w:szCs w:val="1"/>
                <w:color w:val="auto"/>
              </w:rPr>
            </w:pPr>
          </w:p>
        </w:tc>
      </w:tr>
      <w:tr>
        <w:trPr>
          <w:trHeight w:val="418"/>
        </w:trPr>
        <w:tc>
          <w:tcPr>
            <w:tcW w:w="11420" w:type="dxa"/>
            <w:vAlign w:val="bottom"/>
            <w:gridSpan w:val="7"/>
          </w:tcPr>
          <w:p>
            <w:pPr>
              <w:jc w:val="right"/>
              <w:spacing w:after="0"/>
              <w:rPr>
                <w:sz w:val="20"/>
                <w:szCs w:val="20"/>
                <w:color w:val="auto"/>
              </w:rPr>
            </w:pPr>
            <w:r>
              <w:rPr>
                <w:rFonts w:ascii="Arial" w:cs="Arial" w:eastAsia="Arial" w:hAnsi="Arial"/>
                <w:sz w:val="18"/>
                <w:szCs w:val="18"/>
                <w:color w:val="auto"/>
              </w:rPr>
              <w:t>IMPRIMIS PHARMACEUTICALS, INC., a corporation duly organized and existing under the laws of Delaware (herein called the “Company,”</w:t>
            </w:r>
          </w:p>
        </w:tc>
        <w:tc>
          <w:tcPr>
            <w:tcW w:w="0" w:type="dxa"/>
            <w:vAlign w:val="bottom"/>
          </w:tcPr>
          <w:p>
            <w:pPr>
              <w:spacing w:after="0"/>
              <w:rPr>
                <w:sz w:val="1"/>
                <w:szCs w:val="1"/>
                <w:color w:val="auto"/>
              </w:rPr>
            </w:pPr>
          </w:p>
        </w:tc>
      </w:tr>
      <w:tr>
        <w:trPr>
          <w:trHeight w:val="212"/>
        </w:trPr>
        <w:tc>
          <w:tcPr>
            <w:tcW w:w="9720" w:type="dxa"/>
            <w:vAlign w:val="bottom"/>
            <w:gridSpan w:val="5"/>
          </w:tcPr>
          <w:p>
            <w:pPr>
              <w:spacing w:after="0"/>
              <w:rPr>
                <w:sz w:val="20"/>
                <w:szCs w:val="20"/>
                <w:color w:val="auto"/>
              </w:rPr>
            </w:pPr>
            <w:r>
              <w:rPr>
                <w:rFonts w:ascii="Arial" w:cs="Arial" w:eastAsia="Arial" w:hAnsi="Arial"/>
                <w:sz w:val="18"/>
                <w:szCs w:val="18"/>
                <w:color w:val="auto"/>
                <w:w w:val="91"/>
              </w:rPr>
              <w:t>which term includes any successor Person under the Indenture hereinafter referred to), for value received, hereby promises to pay to</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 or registered</w:t>
            </w:r>
          </w:p>
        </w:tc>
        <w:tc>
          <w:tcPr>
            <w:tcW w:w="0" w:type="dxa"/>
            <w:vAlign w:val="bottom"/>
          </w:tcPr>
          <w:p>
            <w:pPr>
              <w:spacing w:after="0"/>
              <w:rPr>
                <w:sz w:val="1"/>
                <w:szCs w:val="1"/>
                <w:color w:val="auto"/>
              </w:rPr>
            </w:pPr>
          </w:p>
        </w:tc>
      </w:tr>
      <w:tr>
        <w:trPr>
          <w:trHeight w:val="220"/>
        </w:trPr>
        <w:tc>
          <w:tcPr>
            <w:tcW w:w="3860" w:type="dxa"/>
            <w:vAlign w:val="bottom"/>
            <w:gridSpan w:val="3"/>
          </w:tcPr>
          <w:p>
            <w:pPr>
              <w:spacing w:after="0"/>
              <w:rPr>
                <w:sz w:val="20"/>
                <w:szCs w:val="20"/>
                <w:color w:val="auto"/>
              </w:rPr>
            </w:pPr>
            <w:r>
              <w:rPr>
                <w:rFonts w:ascii="Arial" w:cs="Arial" w:eastAsia="Arial" w:hAnsi="Arial"/>
                <w:sz w:val="18"/>
                <w:szCs w:val="18"/>
                <w:color w:val="auto"/>
              </w:rPr>
              <w:t>assigns, the principal sum of dollars on</w:t>
            </w:r>
          </w:p>
        </w:tc>
        <w:tc>
          <w:tcPr>
            <w:tcW w:w="7560" w:type="dxa"/>
            <w:vAlign w:val="bottom"/>
            <w:gridSpan w:val="4"/>
          </w:tcPr>
          <w:p>
            <w:pPr>
              <w:jc w:val="right"/>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if the Security is to bear interest prior to Maturity, insert —</w:t>
            </w:r>
            <w:r>
              <w:rPr>
                <w:rFonts w:ascii="Arial" w:cs="Arial" w:eastAsia="Arial" w:hAnsi="Arial"/>
                <w:sz w:val="18"/>
                <w:szCs w:val="18"/>
                <w:color w:val="auto"/>
                <w:w w:val="97"/>
              </w:rPr>
              <w:t xml:space="preserve"> , and to pay interest thereon from</w:t>
            </w:r>
          </w:p>
        </w:tc>
        <w:tc>
          <w:tcPr>
            <w:tcW w:w="0" w:type="dxa"/>
            <w:vAlign w:val="bottom"/>
          </w:tcPr>
          <w:p>
            <w:pPr>
              <w:spacing w:after="0"/>
              <w:rPr>
                <w:sz w:val="1"/>
                <w:szCs w:val="1"/>
                <w:color w:val="auto"/>
              </w:rPr>
            </w:pPr>
          </w:p>
        </w:tc>
      </w:tr>
      <w:tr>
        <w:trPr>
          <w:trHeight w:val="212"/>
        </w:trPr>
        <w:tc>
          <w:tcPr>
            <w:tcW w:w="9720" w:type="dxa"/>
            <w:vAlign w:val="bottom"/>
            <w:gridSpan w:val="5"/>
          </w:tcPr>
          <w:p>
            <w:pPr>
              <w:ind w:left="860"/>
              <w:spacing w:after="0"/>
              <w:rPr>
                <w:sz w:val="20"/>
                <w:szCs w:val="20"/>
                <w:color w:val="auto"/>
              </w:rPr>
            </w:pPr>
            <w:r>
              <w:rPr>
                <w:rFonts w:ascii="Arial" w:cs="Arial" w:eastAsia="Arial" w:hAnsi="Arial"/>
                <w:sz w:val="18"/>
                <w:szCs w:val="18"/>
                <w:color w:val="auto"/>
                <w:w w:val="95"/>
              </w:rPr>
              <w:t>or from the most recent Interest Payment Date to which interest has been paid or duly provided for, semi-annually on</w:t>
            </w:r>
          </w:p>
        </w:tc>
        <w:tc>
          <w:tcPr>
            <w:tcW w:w="1120" w:type="dxa"/>
            <w:vAlign w:val="bottom"/>
          </w:tcPr>
          <w:p>
            <w:pPr>
              <w:ind w:left="440"/>
              <w:spacing w:after="0"/>
              <w:rPr>
                <w:sz w:val="20"/>
                <w:szCs w:val="20"/>
                <w:color w:val="auto"/>
              </w:rPr>
            </w:pPr>
            <w:r>
              <w:rPr>
                <w:rFonts w:ascii="Arial" w:cs="Arial" w:eastAsia="Arial" w:hAnsi="Arial"/>
                <w:sz w:val="18"/>
                <w:szCs w:val="18"/>
                <w:color w:val="auto"/>
              </w:rPr>
              <w:t>and</w:t>
            </w:r>
          </w:p>
        </w:tc>
        <w:tc>
          <w:tcPr>
            <w:tcW w:w="580" w:type="dxa"/>
            <w:vAlign w:val="bottom"/>
          </w:tcPr>
          <w:p>
            <w:pPr>
              <w:jc w:val="right"/>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Arial" w:cs="Arial" w:eastAsia="Arial" w:hAnsi="Arial"/>
                <w:sz w:val="18"/>
                <w:szCs w:val="18"/>
                <w:color w:val="auto"/>
              </w:rPr>
              <w:t>each year, commencing</w:t>
            </w:r>
          </w:p>
        </w:tc>
        <w:tc>
          <w:tcPr>
            <w:tcW w:w="1680" w:type="dxa"/>
            <w:vAlign w:val="bottom"/>
            <w:gridSpan w:val="2"/>
          </w:tcPr>
          <w:p>
            <w:pPr>
              <w:ind w:left="480"/>
              <w:spacing w:after="0"/>
              <w:rPr>
                <w:sz w:val="20"/>
                <w:szCs w:val="20"/>
                <w:color w:val="auto"/>
              </w:rPr>
            </w:pPr>
            <w:r>
              <w:rPr>
                <w:rFonts w:ascii="Arial" w:cs="Arial" w:eastAsia="Arial" w:hAnsi="Arial"/>
                <w:sz w:val="18"/>
                <w:szCs w:val="18"/>
                <w:color w:val="auto"/>
              </w:rPr>
              <w:t>, at the rate of</w:t>
            </w:r>
          </w:p>
        </w:tc>
        <w:tc>
          <w:tcPr>
            <w:tcW w:w="7560" w:type="dxa"/>
            <w:vAlign w:val="bottom"/>
            <w:gridSpan w:val="4"/>
          </w:tcPr>
          <w:p>
            <w:pPr>
              <w:jc w:val="right"/>
              <w:spacing w:after="0"/>
              <w:rPr>
                <w:sz w:val="20"/>
                <w:szCs w:val="20"/>
                <w:color w:val="auto"/>
              </w:rPr>
            </w:pPr>
            <w:r>
              <w:rPr>
                <w:rFonts w:ascii="Arial" w:cs="Arial" w:eastAsia="Arial" w:hAnsi="Arial"/>
                <w:sz w:val="18"/>
                <w:szCs w:val="18"/>
                <w:color w:val="auto"/>
              </w:rPr>
              <w:t>% per annum, until the principal hereof is paid or made available for payment [</w:t>
            </w:r>
            <w:r>
              <w:rPr>
                <w:rFonts w:ascii="Arial" w:cs="Arial" w:eastAsia="Arial" w:hAnsi="Arial"/>
                <w:sz w:val="18"/>
                <w:szCs w:val="18"/>
                <w:b w:val="1"/>
                <w:bCs w:val="1"/>
                <w:color w:val="auto"/>
              </w:rPr>
              <w:t>if applicable,</w:t>
            </w:r>
          </w:p>
        </w:tc>
        <w:tc>
          <w:tcPr>
            <w:tcW w:w="0" w:type="dxa"/>
            <w:vAlign w:val="bottom"/>
          </w:tcPr>
          <w:p>
            <w:pPr>
              <w:spacing w:after="0"/>
              <w:rPr>
                <w:sz w:val="1"/>
                <w:szCs w:val="1"/>
                <w:color w:val="auto"/>
              </w:rPr>
            </w:pPr>
          </w:p>
        </w:tc>
      </w:tr>
    </w:tbl>
    <w:p>
      <w:pPr>
        <w:jc w:val="both"/>
        <w:spacing w:after="0" w:line="281" w:lineRule="auto"/>
        <w:rPr>
          <w:sz w:val="20"/>
          <w:szCs w:val="20"/>
          <w:color w:val="auto"/>
        </w:rPr>
      </w:pPr>
      <w:r>
        <w:rPr>
          <w:rFonts w:ascii="Arial" w:cs="Arial" w:eastAsia="Arial" w:hAnsi="Arial"/>
          <w:sz w:val="16"/>
          <w:szCs w:val="16"/>
          <w:b w:val="1"/>
          <w:bCs w:val="1"/>
          <w:color w:val="auto"/>
        </w:rPr>
        <w:t xml:space="preserve">insert —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that any principal and premium, and any such installment of interest, which is overdue shall bear interest at the rate of % per annum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w:t>
      </w:r>
    </w:p>
    <w:p>
      <w:pPr>
        <w:spacing w:after="0" w:line="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the Regular Record Date for such interest, which shall be the or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1" w:name="page112"/>
    <w:bookmarkEnd w:id="111"/>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not to bear interest prior to Maturity, insert —</w:t>
      </w:r>
      <w:r>
        <w:rPr>
          <w:rFonts w:ascii="Arial" w:cs="Arial" w:eastAsia="Arial" w:hAnsi="Arial"/>
          <w:sz w:val="16"/>
          <w:szCs w:val="16"/>
          <w:color w:val="auto"/>
        </w:rPr>
        <w:t xml:space="preserve"> The principal of this Security shall not bear interest except in the case of a default in payment of principal upon acceleration, upon redemption or at Stated Maturity and in such case the overdue principal and any overdue premium</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shall bear interest at the rate of % per annum (to the extent that the payment of such interest shall be legally enforceable), from the dates such amounts are due until they are paid or made available for payment. Interest on any overdue principal or premium shall be payable on demand. Any such</w:t>
      </w:r>
    </w:p>
    <w:p>
      <w:pPr>
        <w:jc w:val="both"/>
        <w:spacing w:after="0" w:line="281" w:lineRule="auto"/>
        <w:rPr>
          <w:sz w:val="20"/>
          <w:szCs w:val="20"/>
          <w:color w:val="auto"/>
        </w:rPr>
      </w:pPr>
      <w:r>
        <w:rPr>
          <w:rFonts w:ascii="Arial" w:cs="Arial" w:eastAsia="Arial" w:hAnsi="Arial"/>
          <w:sz w:val="16"/>
          <w:szCs w:val="16"/>
          <w:color w:val="auto"/>
        </w:rPr>
        <w:t>interest on overdue principal or premium which is not paid on demand shall bear interest at the rate of % per annum (to the extent that the payment of such interest on interest shall be legally enforceable), from the date of such demand until the amount so demanded is paid or made available for payment. Interest on any overdue interest shall be payable on demand.] Payment of the principal of (and premium, if any) and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any such]</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interest on this Security will be made at the office or agency of the Company maintained for that purpose in , in such coin or currency of the United States of America as at the time of payment is legal tender for payment of public and private debts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at the option of the Company payment of interest may be made by check mailed to the address of the Person entitled thereto as such address shall appear in the Security Register].</w:t>
      </w:r>
    </w:p>
    <w:p>
      <w:pPr>
        <w:spacing w:after="0" w:line="1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25"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Dated: _______________</w:t>
      </w:r>
      <w:r>
        <w:rPr>
          <w:sz w:val="20"/>
          <w:szCs w:val="20"/>
          <w:color w:val="auto"/>
        </w:rPr>
        <w:tab/>
      </w:r>
      <w:r>
        <w:rPr>
          <w:rFonts w:ascii="Arial" w:cs="Arial" w:eastAsia="Arial" w:hAnsi="Arial"/>
          <w:sz w:val="17"/>
          <w:szCs w:val="17"/>
          <w:color w:val="auto"/>
        </w:rPr>
        <w:t>IMPRIMIS PHARMACEUTICALS, INC.</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362775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Form of Reverse of Security.</w:t>
      </w:r>
    </w:p>
    <w:p>
      <w:pPr>
        <w:spacing w:after="0" w:line="229"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6"/>
          <w:szCs w:val="16"/>
          <w:color w:val="auto"/>
        </w:rPr>
        <w:t>This Security is one of a duly authorized issue of securities of the Company (herein called the “Securities”), issued and to be issued in one or more series under an Indenture, dated as of , 200 (herein called the “Indenture,” which term shall have the meaning assigned to it in such instrument), between the</w:t>
      </w:r>
    </w:p>
    <w:p>
      <w:pPr>
        <w:jc w:val="both"/>
        <w:spacing w:after="0" w:line="281" w:lineRule="auto"/>
        <w:rPr>
          <w:sz w:val="20"/>
          <w:szCs w:val="20"/>
          <w:color w:val="auto"/>
        </w:rPr>
      </w:pPr>
      <w:r>
        <w:rPr>
          <w:rFonts w:ascii="Arial" w:cs="Arial" w:eastAsia="Arial" w:hAnsi="Arial"/>
          <w:sz w:val="16"/>
          <w:szCs w:val="16"/>
          <w:color w:val="auto"/>
        </w:rPr>
        <w:t>Company and ,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 Trustee, the holders of Senior Debt and the Holders of the Securities and of the terms upon which the Securities are, and are to be, authenticated and delivered. This Security is one of the series designated on the face hereof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 limited in aggregate principal amount to</w:t>
      </w:r>
    </w:p>
    <w:p>
      <w:pPr>
        <w:spacing w:after="0" w:line="3" w:lineRule="exact"/>
        <w:rPr>
          <w:sz w:val="20"/>
          <w:szCs w:val="20"/>
          <w:color w:val="auto"/>
        </w:rPr>
      </w:pPr>
    </w:p>
    <w:p>
      <w:pPr>
        <w:ind w:left="1000" w:hanging="992"/>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2" w:name="page113"/>
    <w:bookmarkEnd w:id="112"/>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The Securities of this series are subject to redemption upon not less than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30] days’ notice by mail,</w:t>
      </w:r>
    </w:p>
    <w:p>
      <w:pPr>
        <w:spacing w:after="0" w:line="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 (1) on in any year commencing with the year and ending with the year through operation of the sinking fund for this series at a Redemption Price equal to 100% of the principal amount, and (2) ] at any time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on or after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20 ], as a whole or in part, at the election of the Company, at the following Redemption Prices (expressed as percentages of the principal amount): If</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color w:val="auto"/>
                <w:w w:val="91"/>
              </w:rPr>
              <w:t xml:space="preserve">redeemed </w:t>
            </w:r>
            <w:r>
              <w:rPr>
                <w:rFonts w:ascii="Arial" w:cs="Arial" w:eastAsia="Arial" w:hAnsi="Arial"/>
                <w:sz w:val="18"/>
                <w:szCs w:val="18"/>
                <w:b w:val="1"/>
                <w:bCs w:val="1"/>
                <w:color w:val="auto"/>
                <w:w w:val="91"/>
              </w:rPr>
              <w:t>[if applicable, insert —</w:t>
            </w:r>
            <w:r>
              <w:rPr>
                <w:rFonts w:ascii="Arial" w:cs="Arial" w:eastAsia="Arial" w:hAnsi="Arial"/>
                <w:sz w:val="18"/>
                <w:szCs w:val="18"/>
                <w:color w:val="auto"/>
                <w:w w:val="91"/>
              </w:rPr>
              <w:t xml:space="preserve"> on or before</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260" w:type="dxa"/>
            <w:vAlign w:val="bottom"/>
            <w:gridSpan w:val="5"/>
          </w:tcPr>
          <w:p>
            <w:pPr>
              <w:ind w:left="240"/>
              <w:spacing w:after="0"/>
              <w:rPr>
                <w:sz w:val="20"/>
                <w:szCs w:val="20"/>
                <w:color w:val="auto"/>
              </w:rPr>
            </w:pPr>
            <w:r>
              <w:rPr>
                <w:rFonts w:ascii="Arial" w:cs="Arial" w:eastAsia="Arial" w:hAnsi="Arial"/>
                <w:sz w:val="18"/>
                <w:szCs w:val="18"/>
                <w:color w:val="auto"/>
                <w:w w:val="92"/>
              </w:rPr>
              <w:t>%, and if redeemed] during the 12-month period beginning of the years indicated,</w:t>
            </w:r>
          </w:p>
        </w:tc>
      </w:tr>
      <w:tr>
        <w:trPr>
          <w:trHeight w:val="421"/>
        </w:trPr>
        <w:tc>
          <w:tcPr>
            <w:tcW w:w="580" w:type="dxa"/>
            <w:vAlign w:val="bottom"/>
          </w:tcPr>
          <w:p>
            <w:pPr>
              <w:spacing w:after="0"/>
              <w:rPr>
                <w:sz w:val="24"/>
                <w:szCs w:val="24"/>
                <w:color w:val="auto"/>
              </w:rPr>
            </w:pPr>
          </w:p>
        </w:tc>
        <w:tc>
          <w:tcPr>
            <w:tcW w:w="2900" w:type="dxa"/>
            <w:vAlign w:val="bottom"/>
            <w:gridSpan w:val="2"/>
          </w:tcPr>
          <w:p>
            <w:pPr>
              <w:ind w:left="1160"/>
              <w:spacing w:after="0"/>
              <w:rPr>
                <w:sz w:val="20"/>
                <w:szCs w:val="20"/>
                <w:color w:val="auto"/>
              </w:rPr>
            </w:pPr>
            <w:r>
              <w:rPr>
                <w:rFonts w:ascii="Arial" w:cs="Arial" w:eastAsia="Arial" w:hAnsi="Arial"/>
                <w:sz w:val="18"/>
                <w:szCs w:val="18"/>
                <w:b w:val="1"/>
                <w:bCs w:val="1"/>
                <w:color w:val="auto"/>
              </w:rPr>
              <w:t>Year</w:t>
            </w:r>
          </w:p>
        </w:tc>
        <w:tc>
          <w:tcPr>
            <w:tcW w:w="2560" w:type="dxa"/>
            <w:vAlign w:val="bottom"/>
            <w:gridSpan w:val="3"/>
          </w:tcPr>
          <w:p>
            <w:pPr>
              <w:ind w:left="480"/>
              <w:spacing w:after="0"/>
              <w:rPr>
                <w:sz w:val="20"/>
                <w:szCs w:val="20"/>
                <w:color w:val="auto"/>
              </w:rPr>
            </w:pPr>
            <w:r>
              <w:rPr>
                <w:rFonts w:ascii="Arial" w:cs="Arial" w:eastAsia="Arial" w:hAnsi="Arial"/>
                <w:sz w:val="18"/>
                <w:szCs w:val="18"/>
                <w:b w:val="1"/>
                <w:bCs w:val="1"/>
                <w:color w:val="auto"/>
              </w:rPr>
              <w:t>Redemption Price</w:t>
            </w:r>
          </w:p>
        </w:tc>
        <w:tc>
          <w:tcPr>
            <w:tcW w:w="2560" w:type="dxa"/>
            <w:vAlign w:val="bottom"/>
            <w:gridSpan w:val="2"/>
          </w:tcPr>
          <w:p>
            <w:pPr>
              <w:ind w:left="1000"/>
              <w:spacing w:after="0"/>
              <w:rPr>
                <w:sz w:val="20"/>
                <w:szCs w:val="20"/>
                <w:color w:val="auto"/>
              </w:rPr>
            </w:pPr>
            <w:r>
              <w:rPr>
                <w:rFonts w:ascii="Arial" w:cs="Arial" w:eastAsia="Arial" w:hAnsi="Arial"/>
                <w:sz w:val="18"/>
                <w:szCs w:val="18"/>
                <w:b w:val="1"/>
                <w:bCs w:val="1"/>
                <w:color w:val="auto"/>
              </w:rPr>
              <w:t>Year</w:t>
            </w:r>
          </w:p>
        </w:tc>
        <w:tc>
          <w:tcPr>
            <w:tcW w:w="2260" w:type="dxa"/>
            <w:vAlign w:val="bottom"/>
          </w:tcPr>
          <w:p>
            <w:pPr>
              <w:ind w:left="420"/>
              <w:spacing w:after="0"/>
              <w:rPr>
                <w:sz w:val="20"/>
                <w:szCs w:val="20"/>
                <w:color w:val="auto"/>
              </w:rPr>
            </w:pPr>
            <w:r>
              <w:rPr>
                <w:rFonts w:ascii="Arial" w:cs="Arial" w:eastAsia="Arial" w:hAnsi="Arial"/>
                <w:sz w:val="18"/>
                <w:szCs w:val="18"/>
                <w:b w:val="1"/>
                <w:bCs w:val="1"/>
                <w:color w:val="auto"/>
              </w:rPr>
              <w:t>Redemption Price</w:t>
            </w:r>
          </w:p>
        </w:tc>
      </w:tr>
      <w:tr>
        <w:trPr>
          <w:trHeight w:val="216"/>
        </w:trPr>
        <w:tc>
          <w:tcPr>
            <w:tcW w:w="580" w:type="dxa"/>
            <w:vAlign w:val="bottom"/>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The Securities of this series are subject to redemption upon not less than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 30] days’ notice by mail, (1) on in any year commencing with the year and ending with the year through operation of the sinking fund for this series</w:t>
      </w:r>
    </w:p>
    <w:p>
      <w:pPr>
        <w:spacing w:after="0"/>
        <w:rPr>
          <w:sz w:val="20"/>
          <w:szCs w:val="20"/>
          <w:color w:val="auto"/>
        </w:rPr>
      </w:pPr>
      <w:r>
        <w:rPr>
          <w:rFonts w:ascii="Arial" w:cs="Arial" w:eastAsia="Arial" w:hAnsi="Arial"/>
          <w:sz w:val="16"/>
          <w:szCs w:val="16"/>
          <w:color w:val="auto"/>
        </w:rPr>
        <w:t>at the Redemption Prices for redemption through operation of the sinking fund (expressed as percentages of the principal amount) set forth in the table below,</w:t>
      </w:r>
    </w:p>
    <w:p>
      <w:pPr>
        <w:spacing w:after="0" w:line="3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and (2) at any time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on or after ], as a whole or in part, at the election of the Company, at the Redemption Prices for redemption otherwise than through operation of the sinking fund (expressed as percentages of the principal amount) set forth in the table below: If redeemed</w:t>
      </w:r>
    </w:p>
    <w:tbl>
      <w:tblPr>
        <w:tblLayout w:type="fixed"/>
        <w:tblInd w:w="0" w:type="dxa"/>
        <w:tblCellMar>
          <w:top w:w="0" w:type="dxa"/>
          <w:left w:w="0" w:type="dxa"/>
          <w:bottom w:w="0" w:type="dxa"/>
          <w:right w:w="0" w:type="dxa"/>
        </w:tblCellMar>
      </w:tblPr>
      <w:tr>
        <w:trPr>
          <w:trHeight w:val="230"/>
        </w:trPr>
        <w:tc>
          <w:tcPr>
            <w:tcW w:w="3480" w:type="dxa"/>
            <w:vAlign w:val="bottom"/>
            <w:gridSpan w:val="3"/>
          </w:tcPr>
          <w:p>
            <w:pPr>
              <w:spacing w:after="0"/>
              <w:rPr>
                <w:sz w:val="20"/>
                <w:szCs w:val="20"/>
                <w:color w:val="auto"/>
              </w:rPr>
            </w:pPr>
            <w:r>
              <w:rPr>
                <w:rFonts w:ascii="Arial" w:cs="Arial" w:eastAsia="Arial" w:hAnsi="Arial"/>
                <w:sz w:val="18"/>
                <w:szCs w:val="18"/>
                <w:color w:val="auto"/>
              </w:rPr>
              <w:t>during the 12-month period beginning</w:t>
            </w:r>
          </w:p>
        </w:tc>
        <w:tc>
          <w:tcPr>
            <w:tcW w:w="2560" w:type="dxa"/>
            <w:vAlign w:val="bottom"/>
            <w:gridSpan w:val="2"/>
          </w:tcPr>
          <w:p>
            <w:pPr>
              <w:ind w:left="140"/>
              <w:spacing w:after="0"/>
              <w:rPr>
                <w:sz w:val="20"/>
                <w:szCs w:val="20"/>
                <w:color w:val="auto"/>
              </w:rPr>
            </w:pPr>
            <w:r>
              <w:rPr>
                <w:rFonts w:ascii="Arial" w:cs="Arial" w:eastAsia="Arial" w:hAnsi="Arial"/>
                <w:sz w:val="18"/>
                <w:szCs w:val="18"/>
                <w:color w:val="auto"/>
              </w:rPr>
              <w:t>of the years indicated,</w:t>
            </w:r>
          </w:p>
        </w:tc>
        <w:tc>
          <w:tcPr>
            <w:tcW w:w="2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00"/>
        </w:trPr>
        <w:tc>
          <w:tcPr>
            <w:tcW w:w="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1"/>
              </w:rPr>
              <w:t>Redemption Price For</w:t>
            </w:r>
          </w:p>
        </w:tc>
      </w:tr>
      <w:tr>
        <w:trPr>
          <w:trHeight w:val="216"/>
        </w:trPr>
        <w:tc>
          <w:tcPr>
            <w:tcW w:w="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Redemption Price For</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w:t>
            </w:r>
          </w:p>
        </w:tc>
      </w:tr>
      <w:tr>
        <w:trPr>
          <w:trHeight w:val="216"/>
        </w:trPr>
        <w:tc>
          <w:tcPr>
            <w:tcW w:w="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Redemption Through</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1"/>
              </w:rPr>
              <w:t>Otherwise Than Through</w:t>
            </w:r>
          </w:p>
        </w:tc>
      </w:tr>
      <w:tr>
        <w:trPr>
          <w:trHeight w:val="216"/>
        </w:trPr>
        <w:tc>
          <w:tcPr>
            <w:tcW w:w="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Operation of the Sinking</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1"/>
              </w:rPr>
              <w:t>Operation of the Sinking</w:t>
            </w:r>
          </w:p>
        </w:tc>
      </w:tr>
      <w:tr>
        <w:trPr>
          <w:trHeight w:val="241"/>
        </w:trPr>
        <w:tc>
          <w:tcPr>
            <w:tcW w:w="580" w:type="dxa"/>
            <w:vAlign w:val="bottom"/>
          </w:tcPr>
          <w:p>
            <w:pPr>
              <w:spacing w:after="0"/>
              <w:rPr>
                <w:sz w:val="20"/>
                <w:szCs w:val="20"/>
                <w:color w:val="auto"/>
              </w:rPr>
            </w:pPr>
          </w:p>
        </w:tc>
        <w:tc>
          <w:tcPr>
            <w:tcW w:w="2900" w:type="dxa"/>
            <w:vAlign w:val="bottom"/>
            <w:gridSpan w:val="2"/>
          </w:tcPr>
          <w:p>
            <w:pPr>
              <w:ind w:left="1160"/>
              <w:spacing w:after="0"/>
              <w:rPr>
                <w:sz w:val="20"/>
                <w:szCs w:val="20"/>
                <w:color w:val="auto"/>
              </w:rPr>
            </w:pPr>
            <w:r>
              <w:rPr>
                <w:rFonts w:ascii="Arial" w:cs="Arial" w:eastAsia="Arial" w:hAnsi="Arial"/>
                <w:sz w:val="18"/>
                <w:szCs w:val="18"/>
                <w:b w:val="1"/>
                <w:bCs w:val="1"/>
                <w:color w:val="auto"/>
              </w:rPr>
              <w:t>Year</w:t>
            </w:r>
          </w:p>
        </w:tc>
        <w:tc>
          <w:tcPr>
            <w:tcW w:w="2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Fund</w:t>
            </w:r>
          </w:p>
        </w:tc>
        <w:tc>
          <w:tcPr>
            <w:tcW w:w="2560" w:type="dxa"/>
            <w:vAlign w:val="bottom"/>
            <w:gridSpan w:val="2"/>
          </w:tcPr>
          <w:p>
            <w:pPr>
              <w:ind w:left="1000"/>
              <w:spacing w:after="0"/>
              <w:rPr>
                <w:sz w:val="20"/>
                <w:szCs w:val="20"/>
                <w:color w:val="auto"/>
              </w:rPr>
            </w:pPr>
            <w:r>
              <w:rPr>
                <w:rFonts w:ascii="Arial" w:cs="Arial" w:eastAsia="Arial" w:hAnsi="Arial"/>
                <w:sz w:val="18"/>
                <w:szCs w:val="18"/>
                <w:b w:val="1"/>
                <w:bCs w:val="1"/>
                <w:color w:val="auto"/>
              </w:rPr>
              <w:t>Year</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0"/>
              </w:rPr>
              <w:t>Fund</w:t>
            </w:r>
          </w:p>
        </w:tc>
      </w:tr>
      <w:tr>
        <w:trPr>
          <w:trHeight w:val="216"/>
        </w:trPr>
        <w:tc>
          <w:tcPr>
            <w:tcW w:w="580" w:type="dxa"/>
            <w:vAlign w:val="bottom"/>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Notwithstanding the foregoing, the Company may not, prior to , redeem any Securities of this series as contemplated by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clause (2) of] the preceding paragraph as a part of, or in anticipation of, any refunding operation by the application, directly or indirectly, of moneys borrowed having an interest cost to the Company (calculated in accordance with generally accepted financial practice) of less than % per annum.]</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The sinking fund for this series provides for the redemption on , in each year beginning with the year and ending with the year of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not less than $ (“mandatory sinking fund”) and not more than] $ aggregate principal</w:t>
      </w:r>
    </w:p>
    <w:p>
      <w:pPr>
        <w:jc w:val="both"/>
        <w:spacing w:after="0" w:line="255" w:lineRule="auto"/>
        <w:rPr>
          <w:sz w:val="20"/>
          <w:szCs w:val="20"/>
          <w:color w:val="auto"/>
        </w:rPr>
      </w:pPr>
      <w:r>
        <w:rPr>
          <w:rFonts w:ascii="Arial" w:cs="Arial" w:eastAsia="Arial" w:hAnsi="Arial"/>
          <w:sz w:val="18"/>
          <w:szCs w:val="18"/>
          <w:color w:val="auto"/>
        </w:rPr>
        <w:t>amount of Securities of this series. Securities of this series acquired or redeemed by the Company otherwise than through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mandatory] sinking fund payments may be credited against subsequent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mandatory] sinking fund payments otherwise required to be made [</w:t>
      </w:r>
      <w:r>
        <w:rPr>
          <w:rFonts w:ascii="Arial" w:cs="Arial" w:eastAsia="Arial" w:hAnsi="Arial"/>
          <w:sz w:val="18"/>
          <w:szCs w:val="18"/>
          <w:b w:val="1"/>
          <w:bCs w:val="1"/>
          <w:color w:val="auto"/>
        </w:rPr>
        <w:t>if applicable, insert —</w:t>
      </w:r>
      <w:r>
        <w:rPr>
          <w:rFonts w:ascii="Arial" w:cs="Arial" w:eastAsia="Arial" w:hAnsi="Arial"/>
          <w:sz w:val="18"/>
          <w:szCs w:val="18"/>
          <w:color w:val="auto"/>
        </w:rPr>
        <w:t>, in the inverse order in which they become due].]</w:t>
      </w:r>
    </w:p>
    <w:p>
      <w:pPr>
        <w:spacing w:after="0" w:line="18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subject to redemption of any kind, insert —</w:t>
      </w:r>
      <w:r>
        <w:rPr>
          <w:rFonts w:ascii="Arial" w:cs="Arial" w:eastAsia="Arial" w:hAnsi="Arial"/>
          <w:sz w:val="16"/>
          <w:szCs w:val="16"/>
          <w:color w:val="auto"/>
        </w:rPr>
        <w:t xml:space="preserve"> In the event of redemption of this Security in part only, a new Security or Securities of this series and of like tenor for the unredeemed portion hereof will be issued in the name of the Holder hereof upon the cancellation hereof.]</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3" w:name="page114"/>
    <w:bookmarkEnd w:id="113"/>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1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[If the Security is convertible into other securities of the Company, specify the conversion features.] </w:t>
      </w:r>
      <w:r>
        <w:rPr>
          <w:rFonts w:ascii="Arial" w:cs="Arial" w:eastAsia="Arial" w:hAnsi="Arial"/>
          <w:sz w:val="16"/>
          <w:szCs w:val="16"/>
          <w:color w:val="auto"/>
        </w:rPr>
        <w:t>The indebtedness evidenced by this</w:t>
      </w:r>
      <w:r>
        <w:rPr>
          <w:rFonts w:ascii="Arial" w:cs="Arial" w:eastAsia="Arial" w:hAnsi="Arial"/>
          <w:sz w:val="16"/>
          <w:szCs w:val="16"/>
          <w:b w:val="1"/>
          <w:bCs w:val="1"/>
          <w:color w:val="auto"/>
        </w:rPr>
        <w:t xml:space="preserve"> </w:t>
      </w:r>
      <w:r>
        <w:rPr>
          <w:rFonts w:ascii="Arial" w:cs="Arial" w:eastAsia="Arial" w:hAnsi="Arial"/>
          <w:sz w:val="16"/>
          <w:szCs w:val="16"/>
          <w:color w:val="auto"/>
        </w:rPr>
        <w:t>Security is, to the extent and in the manner provided in the Indenture, subordinate and subject in right of payment to the prior payment in full of all Senior Debt of the Company, and this Security is issued subject to such provisions of the Indenture with respect 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his attorney-in-fact for any and all such purposes.</w:t>
      </w:r>
    </w:p>
    <w:p>
      <w:pPr>
        <w:spacing w:after="0" w:line="15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not an Original Issue Discount Security, insert —</w:t>
      </w:r>
      <w:r>
        <w:rPr>
          <w:rFonts w:ascii="Arial" w:cs="Arial" w:eastAsia="Arial" w:hAnsi="Arial"/>
          <w:sz w:val="16"/>
          <w:szCs w:val="16"/>
          <w:color w:val="auto"/>
        </w:rPr>
        <w:t xml:space="preserve"> If an Event of Default with respect to Securities of this series shall occur and be continuing, the principal of the Securities of this series may be declared due and payable in the manner and with the effect provided in the Indenture.]</w:t>
      </w:r>
    </w:p>
    <w:p>
      <w:pPr>
        <w:spacing w:after="0" w:line="1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an Original Issue Discount Security, insert —</w:t>
      </w:r>
      <w:r>
        <w:rPr>
          <w:rFonts w:ascii="Arial" w:cs="Arial" w:eastAsia="Arial" w:hAnsi="Arial"/>
          <w:sz w:val="18"/>
          <w:szCs w:val="18"/>
          <w:color w:val="auto"/>
        </w:rPr>
        <w:t xml:space="preserve"> If an Event of Default with respect to Securities of this series shall occur and be continuing, an amount of principal of the Securities of this series may be declared due and payable in the manner and with the effect provided in the Indenture. Such amount shall be equal to — </w:t>
      </w:r>
      <w:r>
        <w:rPr>
          <w:rFonts w:ascii="Arial" w:cs="Arial" w:eastAsia="Arial" w:hAnsi="Arial"/>
          <w:sz w:val="18"/>
          <w:szCs w:val="18"/>
          <w:b w:val="1"/>
          <w:bCs w:val="1"/>
          <w:color w:val="auto"/>
        </w:rPr>
        <w:t>insert formula for determining the amount</w:t>
      </w:r>
      <w:r>
        <w:rPr>
          <w:rFonts w:ascii="Arial" w:cs="Arial" w:eastAsia="Arial" w:hAnsi="Arial"/>
          <w:sz w:val="18"/>
          <w:szCs w:val="18"/>
          <w:color w:val="auto"/>
        </w:rPr>
        <w: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a majority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4" w:name="page115"/>
    <w:bookmarkEnd w:id="114"/>
    <w:p>
      <w:pPr>
        <w:jc w:val="both"/>
        <w:ind w:firstLine="648"/>
        <w:spacing w:after="0" w:line="286" w:lineRule="auto"/>
        <w:rPr>
          <w:sz w:val="20"/>
          <w:szCs w:val="20"/>
          <w:color w:val="auto"/>
        </w:rPr>
      </w:pPr>
      <w:r>
        <w:rPr>
          <w:rFonts w:ascii="Arial" w:cs="Arial" w:eastAsia="Arial" w:hAnsi="Arial"/>
          <w:sz w:val="17"/>
          <w:szCs w:val="17"/>
          <w:color w:val="auto"/>
        </w:rPr>
        <w:t>The Securities of this series are issuable only in registered form without coupons in denominations of $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terms used in this Security that are defined in the Indenture shall have the meanings assigned to them in the Indenture.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Form of Legend for Global Securities.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otherwise specified as contemplated by Section 3.1 for the Securities evidenced thereby, every Global Security authenticated and delivered hereunder shall bear a legend in substantially the following form:</w:t>
      </w:r>
    </w:p>
    <w:p>
      <w:pPr>
        <w:spacing w:after="0" w:line="166"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b w:val="1"/>
          <w:bCs w:val="1"/>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Form of Trustee’s Certificate of Authentication.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herein referred to in the within-mentioned Indenture.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___________________________,</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6350</wp:posOffset>
            </wp:positionV>
            <wp:extent cx="32588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Authorized Officer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Form of Conversion Notice.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notices shall be in substantially the following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IMPRIMIS PHARMACEUTICALS, INC.:</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on a date after the close of business on a Regular Record Date and prior to the opening of business on the related Interest Payment Date (unless this Security or the portion thereof being converted has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5" w:name="page116"/>
    <w:bookmarkEnd w:id="115"/>
    <w:p>
      <w:pPr>
        <w:ind w:left="660"/>
        <w:spacing w:after="0"/>
        <w:rPr>
          <w:sz w:val="20"/>
          <w:szCs w:val="20"/>
          <w:color w:val="auto"/>
        </w:rPr>
      </w:pPr>
      <w:r>
        <w:rPr>
          <w:rFonts w:ascii="Arial" w:cs="Arial" w:eastAsia="Arial" w:hAnsi="Arial"/>
          <w:sz w:val="18"/>
          <w:szCs w:val="18"/>
          <w:color w:val="auto"/>
        </w:rPr>
        <w:t>Principal Amount to be Converted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an integral multiple of $1,000, if less than all)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Signature(s) must be guaranteed by an eligible guarantor institution (banks,</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stock  brokers,  savings  and  loan  associations  and  credit  unions  with</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membership in an approved signature guarantee medallion program) pursuant</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to Securities and Exchange Commission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280035</wp:posOffset>
            </wp:positionV>
            <wp:extent cx="36188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Guaranty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Fill in for registration of shares of Common Stock and Security if to be issued otherwise than to the registered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Social Security or Other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55917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355917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(including zip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above conversion notice is to be modified, as appropriate, for conversion into other securities or property of the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3.1Amount Unlimited; Issuable in Series.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There shall be established in or pursuant to a Board Resolution and, subject to Section 3.3, set forth, or determined in the manner provided, in an Officers’ Certificate, or established in one or more indentures supplemental hereto, prior to the issuance of Securities of any series,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6" w:name="page117"/>
    <w:bookmarkEnd w:id="116"/>
    <w:p>
      <w:pPr>
        <w:ind w:left="900" w:hanging="255"/>
        <w:spacing w:after="0"/>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title of the Securities of the series (which shall distinguish the Securities of the series from Securities of any other series);</w:t>
      </w:r>
    </w:p>
    <w:p>
      <w:pPr>
        <w:spacing w:after="0" w:line="236" w:lineRule="exact"/>
        <w:rPr>
          <w:rFonts w:ascii="Arial" w:cs="Arial" w:eastAsia="Arial" w:hAnsi="Arial"/>
          <w:sz w:val="17"/>
          <w:szCs w:val="17"/>
          <w:color w:val="auto"/>
        </w:rPr>
      </w:pPr>
    </w:p>
    <w:p>
      <w:pPr>
        <w:jc w:val="both"/>
        <w:ind w:firstLine="645"/>
        <w:spacing w:after="0" w:line="259" w:lineRule="auto"/>
        <w:tabs>
          <w:tab w:leader="none" w:pos="93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3.4, 3.5, 3.6, 9.6 or 11.7 and except for any Securities which, pursuant to Section 3.3, are deemed never to have been authenticated and delivered hereunder);</w:t>
      </w:r>
    </w:p>
    <w:p>
      <w:pPr>
        <w:spacing w:after="0" w:line="186" w:lineRule="exact"/>
        <w:rPr>
          <w:rFonts w:ascii="Arial" w:cs="Arial" w:eastAsia="Arial" w:hAnsi="Arial"/>
          <w:sz w:val="18"/>
          <w:szCs w:val="18"/>
          <w:color w:val="auto"/>
        </w:rPr>
      </w:pPr>
    </w:p>
    <w:p>
      <w:pPr>
        <w:ind w:firstLine="645"/>
        <w:spacing w:after="0" w:line="277" w:lineRule="auto"/>
        <w:tabs>
          <w:tab w:leader="none" w:pos="90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70" w:lineRule="exact"/>
        <w:rPr>
          <w:rFonts w:ascii="Arial" w:cs="Arial" w:eastAsia="Arial" w:hAnsi="Arial"/>
          <w:sz w:val="18"/>
          <w:szCs w:val="18"/>
          <w:color w:val="auto"/>
        </w:rPr>
      </w:pPr>
    </w:p>
    <w:p>
      <w:pPr>
        <w:ind w:left="900" w:hanging="25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date or dates on which the principal of any Securities of the series is payable;</w:t>
      </w:r>
    </w:p>
    <w:p>
      <w:pPr>
        <w:spacing w:after="0" w:line="225" w:lineRule="exact"/>
        <w:rPr>
          <w:rFonts w:ascii="Arial" w:cs="Arial" w:eastAsia="Arial" w:hAnsi="Arial"/>
          <w:sz w:val="18"/>
          <w:szCs w:val="18"/>
          <w:color w:val="auto"/>
        </w:rPr>
      </w:pPr>
    </w:p>
    <w:p>
      <w:pPr>
        <w:jc w:val="both"/>
        <w:ind w:firstLine="645"/>
        <w:spacing w:after="0" w:line="264" w:lineRule="auto"/>
        <w:tabs>
          <w:tab w:leader="none" w:pos="91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rate or rates (which may be fixed or variable)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 (or the method for determining the dates and rates);</w:t>
      </w:r>
    </w:p>
    <w:p>
      <w:pPr>
        <w:spacing w:after="0" w:line="181" w:lineRule="exact"/>
        <w:rPr>
          <w:rFonts w:ascii="Arial" w:cs="Arial" w:eastAsia="Arial" w:hAnsi="Arial"/>
          <w:sz w:val="18"/>
          <w:szCs w:val="18"/>
          <w:color w:val="auto"/>
        </w:rPr>
      </w:pPr>
    </w:p>
    <w:p>
      <w:pPr>
        <w:ind w:left="900" w:hanging="255"/>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any Securities of the series shall be payable;</w:t>
      </w:r>
    </w:p>
    <w:p>
      <w:pPr>
        <w:spacing w:after="0" w:line="225" w:lineRule="exact"/>
        <w:rPr>
          <w:rFonts w:ascii="Arial" w:cs="Arial" w:eastAsia="Arial" w:hAnsi="Arial"/>
          <w:sz w:val="18"/>
          <w:szCs w:val="18"/>
          <w:color w:val="auto"/>
        </w:rPr>
      </w:pPr>
    </w:p>
    <w:p>
      <w:pPr>
        <w:jc w:val="both"/>
        <w:ind w:firstLine="645"/>
        <w:spacing w:after="0" w:line="264" w:lineRule="auto"/>
        <w:tabs>
          <w:tab w:leader="none" w:pos="91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81" w:lineRule="exact"/>
        <w:rPr>
          <w:rFonts w:ascii="Arial" w:cs="Arial" w:eastAsia="Arial" w:hAnsi="Arial"/>
          <w:sz w:val="18"/>
          <w:szCs w:val="18"/>
          <w:color w:val="auto"/>
        </w:rPr>
      </w:pPr>
    </w:p>
    <w:p>
      <w:pPr>
        <w:jc w:val="both"/>
        <w:ind w:firstLine="645"/>
        <w:spacing w:after="0" w:line="286" w:lineRule="auto"/>
        <w:tabs>
          <w:tab w:leader="none" w:pos="922"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165" w:lineRule="exact"/>
        <w:rPr>
          <w:rFonts w:ascii="Arial" w:cs="Arial" w:eastAsia="Arial" w:hAnsi="Arial"/>
          <w:sz w:val="17"/>
          <w:szCs w:val="17"/>
          <w:color w:val="auto"/>
        </w:rPr>
      </w:pPr>
    </w:p>
    <w:p>
      <w:pPr>
        <w:ind w:left="900" w:hanging="255"/>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any Securities of the series shall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issuable;</w:t>
      </w:r>
    </w:p>
    <w:p>
      <w:pPr>
        <w:spacing w:after="0" w:line="210" w:lineRule="exact"/>
        <w:rPr>
          <w:rFonts w:ascii="Arial" w:cs="Arial" w:eastAsia="Arial" w:hAnsi="Arial"/>
          <w:sz w:val="16"/>
          <w:szCs w:val="16"/>
          <w:color w:val="auto"/>
        </w:rPr>
      </w:pPr>
    </w:p>
    <w:p>
      <w:pPr>
        <w:ind w:firstLine="645"/>
        <w:spacing w:after="0" w:line="277" w:lineRule="auto"/>
        <w:tabs>
          <w:tab w:leader="none" w:pos="994"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170" w:lineRule="exact"/>
        <w:rPr>
          <w:rFonts w:ascii="Arial" w:cs="Arial" w:eastAsia="Arial" w:hAnsi="Arial"/>
          <w:sz w:val="18"/>
          <w:szCs w:val="18"/>
          <w:color w:val="auto"/>
        </w:rPr>
      </w:pPr>
    </w:p>
    <w:p>
      <w:pPr>
        <w:jc w:val="both"/>
        <w:ind w:firstLine="645"/>
        <w:spacing w:after="0" w:line="264" w:lineRule="auto"/>
        <w:tabs>
          <w:tab w:leader="none" w:pos="997"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1.1;</w:t>
      </w:r>
    </w:p>
    <w:p>
      <w:pPr>
        <w:spacing w:after="0" w:line="181" w:lineRule="exact"/>
        <w:rPr>
          <w:rFonts w:ascii="Arial" w:cs="Arial" w:eastAsia="Arial" w:hAnsi="Arial"/>
          <w:sz w:val="18"/>
          <w:szCs w:val="18"/>
          <w:color w:val="auto"/>
        </w:rPr>
      </w:pPr>
    </w:p>
    <w:p>
      <w:pPr>
        <w:jc w:val="both"/>
        <w:ind w:firstLine="645"/>
        <w:spacing w:after="0" w:line="257" w:lineRule="auto"/>
        <w:tabs>
          <w:tab w:leader="none" w:pos="10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88" w:lineRule="exact"/>
        <w:rPr>
          <w:rFonts w:ascii="Arial" w:cs="Arial" w:eastAsia="Arial" w:hAnsi="Arial"/>
          <w:sz w:val="18"/>
          <w:szCs w:val="18"/>
          <w:color w:val="auto"/>
        </w:rPr>
      </w:pPr>
    </w:p>
    <w:p>
      <w:pPr>
        <w:ind w:firstLine="645"/>
        <w:spacing w:after="0" w:line="277" w:lineRule="auto"/>
        <w:tabs>
          <w:tab w:leader="none" w:pos="1014"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any Securities of the series which shall be payable upon declaration of acceleration of the Maturity thereof pursuant to Section 5.2;</w:t>
      </w:r>
    </w:p>
    <w:p>
      <w:pPr>
        <w:spacing w:after="0" w:line="17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117" w:name="page118"/>
    <w:bookmarkEnd w:id="117"/>
    <w:p>
      <w:pPr>
        <w:jc w:val="both"/>
        <w:ind w:left="660" w:firstLine="645"/>
        <w:spacing w:after="0" w:line="257" w:lineRule="auto"/>
        <w:tabs>
          <w:tab w:leader="none" w:pos="1666"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8" w:lineRule="exact"/>
        <w:rPr>
          <w:rFonts w:ascii="Arial" w:cs="Arial" w:eastAsia="Arial" w:hAnsi="Arial"/>
          <w:sz w:val="18"/>
          <w:szCs w:val="18"/>
          <w:color w:val="auto"/>
        </w:rPr>
      </w:pPr>
    </w:p>
    <w:p>
      <w:pPr>
        <w:jc w:val="both"/>
        <w:ind w:left="660" w:firstLine="645"/>
        <w:spacing w:after="0" w:line="264" w:lineRule="auto"/>
        <w:tabs>
          <w:tab w:leader="none" w:pos="1668"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applicable, that the Securities of the series, in whole or any specified part, shall be defeasible pursuant to Section 13.2 or Section 13.3 or both such Sections, or any other defeasance provisions applicable to any Securities of the series, and, if other than by a Board Resolution, the manner in which any election by the Company to defease such Securities shall be evidenced;</w:t>
      </w:r>
    </w:p>
    <w:p>
      <w:pPr>
        <w:spacing w:after="0" w:line="181" w:lineRule="exact"/>
        <w:rPr>
          <w:rFonts w:ascii="Arial" w:cs="Arial" w:eastAsia="Arial" w:hAnsi="Arial"/>
          <w:sz w:val="18"/>
          <w:szCs w:val="18"/>
          <w:color w:val="auto"/>
        </w:rPr>
      </w:pPr>
    </w:p>
    <w:p>
      <w:pPr>
        <w:ind w:left="660" w:firstLine="645"/>
        <w:spacing w:after="0" w:line="277" w:lineRule="auto"/>
        <w:tabs>
          <w:tab w:leader="none" w:pos="166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applicable, the terms of any right to convert or exchange Securities of the series into shares of Common Stock of the Company or other securities or property;</w:t>
      </w:r>
    </w:p>
    <w:p>
      <w:pPr>
        <w:spacing w:after="0" w:line="170" w:lineRule="exact"/>
        <w:rPr>
          <w:rFonts w:ascii="Arial" w:cs="Arial" w:eastAsia="Arial" w:hAnsi="Arial"/>
          <w:sz w:val="18"/>
          <w:szCs w:val="18"/>
          <w:color w:val="auto"/>
        </w:rPr>
      </w:pPr>
    </w:p>
    <w:p>
      <w:pPr>
        <w:jc w:val="both"/>
        <w:ind w:left="660" w:firstLine="645"/>
        <w:spacing w:after="0" w:line="255" w:lineRule="auto"/>
        <w:tabs>
          <w:tab w:leader="none" w:pos="1659"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2.4 and any circumstances in addition to or in lieu of those set forth in Form of clause (2) of the last paragraph of Section 3.5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93" w:lineRule="exact"/>
        <w:rPr>
          <w:rFonts w:ascii="Arial" w:cs="Arial" w:eastAsia="Arial" w:hAnsi="Arial"/>
          <w:sz w:val="18"/>
          <w:szCs w:val="18"/>
          <w:color w:val="auto"/>
        </w:rPr>
      </w:pPr>
    </w:p>
    <w:p>
      <w:pPr>
        <w:ind w:left="660" w:firstLine="645"/>
        <w:spacing w:after="0" w:line="308" w:lineRule="auto"/>
        <w:tabs>
          <w:tab w:leader="none" w:pos="1673"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5.2;</w:t>
      </w:r>
    </w:p>
    <w:p>
      <w:pPr>
        <w:spacing w:after="0" w:line="146" w:lineRule="exact"/>
        <w:rPr>
          <w:rFonts w:ascii="Arial" w:cs="Arial" w:eastAsia="Arial" w:hAnsi="Arial"/>
          <w:sz w:val="17"/>
          <w:szCs w:val="17"/>
          <w:color w:val="auto"/>
        </w:rPr>
      </w:pPr>
    </w:p>
    <w:p>
      <w:pPr>
        <w:ind w:left="1640" w:hanging="335"/>
        <w:spacing w:after="0"/>
        <w:tabs>
          <w:tab w:leader="none" w:pos="1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10 which applies to Securities of the series;</w:t>
      </w:r>
    </w:p>
    <w:p>
      <w:pPr>
        <w:spacing w:after="0" w:line="225" w:lineRule="exact"/>
        <w:rPr>
          <w:rFonts w:ascii="Arial" w:cs="Arial" w:eastAsia="Arial" w:hAnsi="Arial"/>
          <w:sz w:val="18"/>
          <w:szCs w:val="18"/>
          <w:color w:val="auto"/>
        </w:rPr>
      </w:pPr>
    </w:p>
    <w:p>
      <w:pPr>
        <w:ind w:left="660" w:firstLine="645"/>
        <w:spacing w:after="0" w:line="277" w:lineRule="auto"/>
        <w:tabs>
          <w:tab w:leader="none" w:pos="166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Authenticating Agents, Paying Agents, Security Registrars or such other agents necessary in connection with the issuance of the Securities of such series, including, without limitation, exchange rate agents and calculation agents;</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applicable, the terms of any security that will be provided for a series of Securities, including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1660" w:hanging="355"/>
        <w:spacing w:after="0"/>
        <w:tabs>
          <w:tab w:leader="none" w:pos="1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applicable, the terms of any guaranties for the Securities and any circumstances under which there may be additional obligors on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10" w:lineRule="exact"/>
        <w:rPr>
          <w:rFonts w:ascii="Arial" w:cs="Arial" w:eastAsia="Arial" w:hAnsi="Arial"/>
          <w:sz w:val="16"/>
          <w:szCs w:val="16"/>
          <w:color w:val="auto"/>
        </w:rPr>
      </w:pPr>
    </w:p>
    <w:p>
      <w:pPr>
        <w:jc w:val="both"/>
        <w:ind w:left="660" w:right="20" w:firstLine="645"/>
        <w:spacing w:after="0" w:line="264" w:lineRule="auto"/>
        <w:tabs>
          <w:tab w:leader="none" w:pos="167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addition to or change in or modification to the subordinated provisions of this Indenture relating to the Securities of that series (including the provisions of Article 15), or different subordination provisions, including a different definition of “Senior Debt” or “Designated Senior Debt,” will apply to Securities of the series; and</w:t>
      </w:r>
    </w:p>
    <w:p>
      <w:pPr>
        <w:spacing w:after="0" w:line="181" w:lineRule="exact"/>
        <w:rPr>
          <w:rFonts w:ascii="Arial" w:cs="Arial" w:eastAsia="Arial" w:hAnsi="Arial"/>
          <w:sz w:val="18"/>
          <w:szCs w:val="18"/>
          <w:color w:val="auto"/>
        </w:rPr>
      </w:pPr>
    </w:p>
    <w:p>
      <w:pPr>
        <w:ind w:left="1640" w:hanging="335"/>
        <w:spacing w:after="0"/>
        <w:tabs>
          <w:tab w:leader="none" w:pos="1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other terms of the series (which terms shall not be inconsistent with the provisions of this Indenture, except as permitted by 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9.1(5)).</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3.3) set forth, or determined in the manner provided, in the Officers’ Certificate referred to above or in any such indenture supplemental hereto.</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8" w:name="page119"/>
    <w:bookmarkEnd w:id="118"/>
    <w:p>
      <w:pPr>
        <w:jc w:val="both"/>
        <w:ind w:firstLine="648"/>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Securities shall be subordinated in right of payment to Senior Debt as provided in Article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Denominations.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Securities of each series shall be issuable only in registered form without coupons and only in such denominations as shall be specified as contemplated by Section 3.1. In the absence of any such specified denomination with respect to the Securities of any series, the Securities of such series shall be issuable in denominations of $1,000 and any integral multiple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Execution, Authentication, Delivery and Dating.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Securities shall be executed on behalf of the Company by its Chairman of the Board, its Vice Chairman of the Board, its Chief Executive Officer, its principal financial officer, its President or one of its Vice Presidents, attested by its Treasurer, its Secretary or one of its Assistant Treasurers or Assistant Secretaries. The signature of any of these officers on the Securities may be manual or facsimile.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2.1 and 3.1, in authenticating such Securities, and accepting the additional responsibilities under this Indenture in relation to such Securities, the Trustee shall be entitled to receive, and (subject to Section 6.1) shall be fully protected in relying upon, a copy of such Board Resolution, the Officers’ Certificate setting forth the terms of the series and an Opinion of Counsel, with such Opinion of Counsel stating,</w:t>
      </w:r>
    </w:p>
    <w:p>
      <w:pPr>
        <w:spacing w:after="0" w:line="189" w:lineRule="exact"/>
        <w:rPr>
          <w:sz w:val="20"/>
          <w:szCs w:val="20"/>
          <w:color w:val="auto"/>
        </w:rPr>
      </w:pPr>
    </w:p>
    <w:p>
      <w:pPr>
        <w:ind w:left="660" w:firstLine="645"/>
        <w:spacing w:after="0" w:line="277" w:lineRule="auto"/>
        <w:tabs>
          <w:tab w:leader="none" w:pos="1573"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form of such Securities has been established by or pursuant to Board Resolution as permitted by Section 2.1, that such form has been established in conformity with the provisions of this Indenture;</w:t>
      </w:r>
    </w:p>
    <w:p>
      <w:pPr>
        <w:spacing w:after="0" w:line="170" w:lineRule="exact"/>
        <w:rPr>
          <w:rFonts w:ascii="Arial" w:cs="Arial" w:eastAsia="Arial" w:hAnsi="Arial"/>
          <w:sz w:val="18"/>
          <w:szCs w:val="18"/>
          <w:color w:val="auto"/>
        </w:rPr>
      </w:pPr>
    </w:p>
    <w:p>
      <w:pPr>
        <w:ind w:left="660" w:firstLine="645"/>
        <w:spacing w:after="0" w:line="277" w:lineRule="auto"/>
        <w:tabs>
          <w:tab w:leader="none" w:pos="1577"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terms of such Securities have been established by or pursuant to Board Resolution as permitted by Section 3.1, that such terms have been established in conformity with the provisions of this Indenture; and</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8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9" w:name="page120"/>
    <w:bookmarkEnd w:id="119"/>
    <w:p>
      <w:pPr>
        <w:jc w:val="both"/>
        <w:ind w:firstLine="648"/>
        <w:spacing w:after="0" w:line="259" w:lineRule="auto"/>
        <w:rPr>
          <w:sz w:val="20"/>
          <w:szCs w:val="20"/>
          <w:color w:val="auto"/>
        </w:rPr>
      </w:pPr>
      <w:r>
        <w:rPr>
          <w:rFonts w:ascii="Arial" w:cs="Arial" w:eastAsia="Arial" w:hAnsi="Arial"/>
          <w:sz w:val="18"/>
          <w:szCs w:val="18"/>
          <w:color w:val="auto"/>
        </w:rPr>
        <w:t>Notwithstanding the provisions of Section 3.1 and of the preceding paragraph, if all Securities of a series are not to be originally issued at one time, it shall not be necessary to deliver the Officers’ Certificate otherwise required pursuant to Section 3.1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3.9, for all purposes of this Indenture such Security shall be deemed never to have been authenticated and delivered hereunder and shall never be entitled to the benefits of this Indenture.</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Neither the Company nor the Trustee shall have any responsibility for any defect in the CUSIP number that appears on any Security, check, advice of payment or redemption notice, and any such document may contain a statement to the effect that CUSIP numbers have been assigned by an independent service for convenience of reference and that neither the Company nor the Trustee shall be liable for any inaccuracy in such numbers.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Temporary Securities.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Registration; Registration of Transfer and Exchange.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0" w:name="page121"/>
    <w:bookmarkEnd w:id="120"/>
    <w:p>
      <w:pPr>
        <w:jc w:val="both"/>
        <w:ind w:firstLine="648"/>
        <w:spacing w:after="0" w:line="297" w:lineRule="auto"/>
        <w:rPr>
          <w:sz w:val="20"/>
          <w:szCs w:val="20"/>
          <w:color w:val="auto"/>
        </w:rPr>
      </w:pPr>
      <w:r>
        <w:rPr>
          <w:rFonts w:ascii="Arial" w:cs="Arial" w:eastAsia="Arial" w:hAnsi="Arial"/>
          <w:sz w:val="16"/>
          <w:szCs w:val="16"/>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that the Holder making the exchange is entitled to receive. 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 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3.4, 9.6 or 11.7 not involving any transfer.</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11.3 and ending at the close of business on the day of such mailing, or (B) to register the transfer of or exchange any Security so selected for redemption in whole or in part, except the unredeemed portion of any Security being redeemed in part.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clauses (1), (2), (3) and (4) below shall apply only to Global Securities:</w:t>
      </w:r>
    </w:p>
    <w:p>
      <w:pPr>
        <w:spacing w:after="0" w:line="225" w:lineRule="exact"/>
        <w:rPr>
          <w:sz w:val="20"/>
          <w:szCs w:val="20"/>
          <w:color w:val="auto"/>
        </w:rPr>
      </w:pPr>
    </w:p>
    <w:p>
      <w:pPr>
        <w:jc w:val="both"/>
        <w:ind w:left="660" w:right="20" w:firstLine="645"/>
        <w:spacing w:after="0" w:line="264" w:lineRule="auto"/>
        <w:tabs>
          <w:tab w:leader="none" w:pos="1578"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81" w:lineRule="exact"/>
        <w:rPr>
          <w:rFonts w:ascii="Arial" w:cs="Arial" w:eastAsia="Arial" w:hAnsi="Arial"/>
          <w:sz w:val="18"/>
          <w:szCs w:val="18"/>
          <w:color w:val="auto"/>
        </w:rPr>
      </w:pPr>
    </w:p>
    <w:p>
      <w:pPr>
        <w:jc w:val="both"/>
        <w:ind w:left="660" w:firstLine="645"/>
        <w:spacing w:after="0" w:line="273" w:lineRule="auto"/>
        <w:tabs>
          <w:tab w:leader="none" w:pos="1602" w:val="left"/>
        </w:tabs>
        <w:numPr>
          <w:ilvl w:val="0"/>
          <w:numId w:val="88"/>
        </w:numPr>
        <w:rPr>
          <w:rFonts w:ascii="Arial" w:cs="Arial" w:eastAsia="Arial" w:hAnsi="Arial"/>
          <w:sz w:val="17"/>
          <w:szCs w:val="17"/>
          <w:color w:val="auto"/>
        </w:rPr>
      </w:pPr>
      <w:r>
        <w:rPr>
          <w:rFonts w:ascii="Arial" w:cs="Arial" w:eastAsia="Arial" w:hAnsi="Arial"/>
          <w:sz w:val="17"/>
          <w:szCs w:val="17"/>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3.1.</w:t>
      </w:r>
    </w:p>
    <w:p>
      <w:pPr>
        <w:spacing w:after="0" w:line="178" w:lineRule="exact"/>
        <w:rPr>
          <w:rFonts w:ascii="Arial" w:cs="Arial" w:eastAsia="Arial" w:hAnsi="Arial"/>
          <w:sz w:val="17"/>
          <w:szCs w:val="17"/>
          <w:color w:val="auto"/>
        </w:rPr>
      </w:pPr>
    </w:p>
    <w:p>
      <w:pPr>
        <w:jc w:val="both"/>
        <w:ind w:left="660" w:firstLine="645"/>
        <w:spacing w:after="0" w:line="264" w:lineRule="auto"/>
        <w:tabs>
          <w:tab w:leader="none" w:pos="1571"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81" w:lineRule="exact"/>
        <w:rPr>
          <w:rFonts w:ascii="Arial" w:cs="Arial" w:eastAsia="Arial" w:hAnsi="Arial"/>
          <w:sz w:val="18"/>
          <w:szCs w:val="18"/>
          <w:color w:val="auto"/>
        </w:rPr>
      </w:pPr>
    </w:p>
    <w:p>
      <w:pPr>
        <w:jc w:val="both"/>
        <w:ind w:left="660" w:firstLine="645"/>
        <w:spacing w:after="0" w:line="259" w:lineRule="auto"/>
        <w:tabs>
          <w:tab w:leader="none" w:pos="1578" w:val="left"/>
        </w:tabs>
        <w:numPr>
          <w:ilvl w:val="0"/>
          <w:numId w:val="88"/>
        </w:numPr>
        <w:rPr>
          <w:rFonts w:ascii="Arial" w:cs="Arial" w:eastAsia="Arial" w:hAnsi="Arial"/>
          <w:sz w:val="18"/>
          <w:szCs w:val="18"/>
          <w:color w:val="auto"/>
        </w:rPr>
      </w:pPr>
      <w:r>
        <w:rPr>
          <w:rFonts w:ascii="Arial" w:cs="Arial" w:eastAsia="Arial" w:hAnsi="Arial"/>
          <w:sz w:val="18"/>
          <w:szCs w:val="18"/>
          <w:color w:val="auto"/>
        </w:rPr>
        <w:t>Every Security authenticated and delivered upon registration of transfer of, or in exchange for or in lieu of, a Global Security or any portion thereof, whether pursuant to this Section, Section 3.4, 3.6, 9.6 or 11.7 or otherwise, shall be authenticated and delivered in the form of, and shall be, a Global Security, unless such Security is registered in the name of a Person other than the Depositary for such Global Security or a nominee thereof.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Mutilated, Destroyed, Lost and Stolen Securities.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1" w:name="page122"/>
    <w:bookmarkEnd w:id="121"/>
    <w:p>
      <w:pPr>
        <w:jc w:val="both"/>
        <w:ind w:firstLine="648"/>
        <w:spacing w:after="0" w:line="257"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3.7Payment of Interest; Interest Rights Preserved.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otherwise provided as contemplated by Section 3.1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66" w:lineRule="exact"/>
        <w:rPr>
          <w:sz w:val="20"/>
          <w:szCs w:val="20"/>
          <w:color w:val="auto"/>
        </w:rPr>
      </w:pPr>
    </w:p>
    <w:p>
      <w:pPr>
        <w:jc w:val="both"/>
        <w:ind w:left="660" w:firstLine="645"/>
        <w:spacing w:after="0" w:line="286" w:lineRule="auto"/>
        <w:tabs>
          <w:tab w:leader="none" w:pos="156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2" w:name="page123"/>
    <w:bookmarkEnd w:id="122"/>
    <w:p>
      <w:pPr>
        <w:jc w:val="both"/>
        <w:ind w:left="660" w:firstLine="645"/>
        <w:spacing w:after="0" w:line="259" w:lineRule="auto"/>
        <w:tabs>
          <w:tab w:leader="none" w:pos="156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Subject to the provisions of Section 14.2, in the case of any Security (or any part thereof) which is converted after any Regular Record Date and on or prior to the next succeeding Interest Payment Date (other than any Security the principal of (or premium, if any, on) which shall become due and payable, whether at Stated Maturity or by declaration of acceleration or otherwise prior to such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any one or more Predecessor Securities) is registered at the close of business on such Regular Record Date. Except as otherwise expressly provided in the immediately preceding sentence or in Section 14.2, in the case of any Security (or any part thereof) which is converted, interest whose Stated Maturity is after the date of conversion of such Security (or such part thereof) shall not be payable.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 Persons Deemed Owners.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3.7) any interest on such Security and for all other purposes whatsoever, whether or not such Security be overdue, and neither the Company, the Trustee nor any agent of the Company or the Trustee shall be affected by notice to the contrary.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Cancellation.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disposed of in accordance with its customary procedures.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Computation of Interest.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otherwise specified as contemplated by Section 3.1 for Securities of any series, interest on the Securities of each series shall be computed on the basis of a 360-day year of twelve 30-day months.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Satisfaction and Discharge of Indenture.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3" w:name="page124"/>
    <w:bookmarkEnd w:id="123"/>
    <w:p>
      <w:pPr>
        <w:ind w:left="1560" w:hanging="255"/>
        <w:spacing w:after="0"/>
        <w:tabs>
          <w:tab w:leader="none" w:pos="15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jc w:val="both"/>
        <w:ind w:left="920" w:firstLine="644"/>
        <w:spacing w:after="0" w:line="259" w:lineRule="auto"/>
        <w:tabs>
          <w:tab w:leader="none" w:pos="1871"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(i) Securities which have been destroyed, lost or stolen and which have been replaced or paid as provided in Section 3.6 and (ii) Securities for whose payment money has theretofore been deposited in trust or segregated and held in trust by the Trustee or the Company and thereafter repaid to the Company or discharged from such trust, as provided in Section 10.3) have been delivered to the Trustee for cancellation; or</w:t>
      </w:r>
    </w:p>
    <w:p>
      <w:pPr>
        <w:spacing w:after="0" w:line="186" w:lineRule="exact"/>
        <w:rPr>
          <w:rFonts w:ascii="Arial" w:cs="Arial" w:eastAsia="Arial" w:hAnsi="Arial"/>
          <w:sz w:val="18"/>
          <w:szCs w:val="18"/>
          <w:color w:val="auto"/>
        </w:rPr>
      </w:pPr>
    </w:p>
    <w:p>
      <w:pPr>
        <w:ind w:left="1840" w:hanging="276"/>
        <w:spacing w:after="0"/>
        <w:tabs>
          <w:tab w:leader="none" w:pos="18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225" w:lineRule="exact"/>
        <w:rPr>
          <w:rFonts w:ascii="Arial" w:cs="Arial" w:eastAsia="Arial" w:hAnsi="Arial"/>
          <w:sz w:val="18"/>
          <w:szCs w:val="18"/>
          <w:color w:val="auto"/>
        </w:rPr>
      </w:pPr>
    </w:p>
    <w:p>
      <w:pPr>
        <w:ind w:left="2040" w:hanging="217"/>
        <w:spacing w:after="0"/>
        <w:tabs>
          <w:tab w:leader="none" w:pos="2040" w:val="left"/>
        </w:tabs>
        <w:numPr>
          <w:ilvl w:val="2"/>
          <w:numId w:val="91"/>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2080" w:hanging="257"/>
        <w:spacing w:after="0"/>
        <w:tabs>
          <w:tab w:leader="none" w:pos="2080" w:val="left"/>
        </w:tabs>
        <w:numPr>
          <w:ilvl w:val="2"/>
          <w:numId w:val="91"/>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1180" w:right="20" w:firstLine="643"/>
        <w:spacing w:after="0" w:line="277" w:lineRule="auto"/>
        <w:tabs>
          <w:tab w:leader="none" w:pos="2173" w:val="left"/>
        </w:tabs>
        <w:numPr>
          <w:ilvl w:val="2"/>
          <w:numId w:val="91"/>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and the Company, 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87" w:lineRule="exact"/>
        <w:rPr>
          <w:sz w:val="20"/>
          <w:szCs w:val="20"/>
          <w:color w:val="auto"/>
        </w:rPr>
      </w:pPr>
    </w:p>
    <w:p>
      <w:pPr>
        <w:ind w:left="1560" w:hanging="255"/>
        <w:spacing w:after="0"/>
        <w:tabs>
          <w:tab w:leader="none" w:pos="15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57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6.7, the obligations of the Trustee to any Authenticating Agent under Section 6.14 and, if money shall have been deposited with the Trustee pursuant to subclause (B) of clause (1) of this Section, the obligations of the Trustee under Section 4.2 and the last paragraph of Section 10.3 shall survive.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4.2 Application of Trust Money.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provisions of the last paragraph of Section 10.3,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Events of Default.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“Event of Default,” wherever used herein with respect to Securities of any series, means any one of the following events (whatever the reason for such Event of Default and whether it shall be occasioned by the provisions of Article 15 or be voluntary or involuntary or be effected by operation of law or pursuant to any judgment, decree or order of any court or any order, rule or regulation of any administrative or governmental body), unless in the Board Resolution, supplemental indenture or Officers’ Certificate establishing such series, it 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series shall not have the benefit of said Event of Default: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4" w:name="page125"/>
    <w:bookmarkEnd w:id="124"/>
    <w:p>
      <w:pPr>
        <w:ind w:left="660" w:firstLine="645"/>
        <w:spacing w:after="0" w:line="277" w:lineRule="auto"/>
        <w:tabs>
          <w:tab w:leader="none" w:pos="1563"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60 days; or</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at its Maturity; or</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or</w:t>
      </w:r>
    </w:p>
    <w:p>
      <w:pPr>
        <w:spacing w:after="0" w:line="225" w:lineRule="exact"/>
        <w:rPr>
          <w:rFonts w:ascii="Arial" w:cs="Arial" w:eastAsia="Arial" w:hAnsi="Arial"/>
          <w:sz w:val="18"/>
          <w:szCs w:val="18"/>
          <w:color w:val="auto"/>
        </w:rPr>
      </w:pPr>
    </w:p>
    <w:p>
      <w:pPr>
        <w:jc w:val="both"/>
        <w:ind w:left="660" w:firstLine="645"/>
        <w:spacing w:after="0" w:line="273" w:lineRule="auto"/>
        <w:tabs>
          <w:tab w:leader="none" w:pos="1568" w:val="left"/>
        </w:tabs>
        <w:numPr>
          <w:ilvl w:val="0"/>
          <w:numId w:val="93"/>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8" w:lineRule="exact"/>
        <w:rPr>
          <w:rFonts w:ascii="Arial" w:cs="Arial" w:eastAsia="Arial" w:hAnsi="Arial"/>
          <w:sz w:val="17"/>
          <w:szCs w:val="17"/>
          <w:color w:val="auto"/>
        </w:rPr>
      </w:pPr>
    </w:p>
    <w:p>
      <w:pPr>
        <w:jc w:val="both"/>
        <w:ind w:left="660" w:firstLine="645"/>
        <w:spacing w:after="0" w:line="255" w:lineRule="auto"/>
        <w:tabs>
          <w:tab w:leader="none" w:pos="157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89" w:lineRule="exact"/>
        <w:rPr>
          <w:rFonts w:ascii="Arial" w:cs="Arial" w:eastAsia="Arial" w:hAnsi="Arial"/>
          <w:sz w:val="18"/>
          <w:szCs w:val="18"/>
          <w:color w:val="auto"/>
        </w:rPr>
      </w:pPr>
    </w:p>
    <w:p>
      <w:pPr>
        <w:jc w:val="both"/>
        <w:ind w:left="660" w:firstLine="645"/>
        <w:spacing w:after="0" w:line="253" w:lineRule="auto"/>
        <w:tabs>
          <w:tab w:leader="none" w:pos="1579"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7" w:lineRule="exact"/>
        <w:rPr>
          <w:rFonts w:ascii="Arial" w:cs="Arial" w:eastAsia="Arial" w:hAnsi="Arial"/>
          <w:sz w:val="18"/>
          <w:szCs w:val="18"/>
          <w:color w:val="auto"/>
        </w:rPr>
      </w:pPr>
    </w:p>
    <w:p>
      <w:pPr>
        <w:ind w:left="660" w:right="20" w:firstLine="645"/>
        <w:spacing w:after="0" w:line="277" w:lineRule="auto"/>
        <w:tabs>
          <w:tab w:leader="none" w:pos="1563"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in the Board Resolution, supplemental indenture or Officers’ Certificate establishing that series.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Acceleration of Maturity; Rescission and Annulment.</w:t>
      </w:r>
    </w:p>
    <w:p>
      <w:pPr>
        <w:spacing w:after="0" w:line="229" w:lineRule="exact"/>
        <w:rPr>
          <w:sz w:val="20"/>
          <w:szCs w:val="20"/>
          <w:color w:val="auto"/>
        </w:rPr>
      </w:pPr>
    </w:p>
    <w:p>
      <w:pPr>
        <w:jc w:val="both"/>
        <w:ind w:firstLine="656"/>
        <w:spacing w:after="0" w:line="287" w:lineRule="auto"/>
        <w:tabs>
          <w:tab w:leader="none" w:pos="902" w:val="left"/>
        </w:tabs>
        <w:numPr>
          <w:ilvl w:val="0"/>
          <w:numId w:val="94"/>
        </w:numPr>
        <w:rPr>
          <w:rFonts w:ascii="Arial" w:cs="Arial" w:eastAsia="Arial" w:hAnsi="Arial"/>
          <w:sz w:val="16"/>
          <w:szCs w:val="16"/>
          <w:color w:val="auto"/>
        </w:rPr>
      </w:pPr>
      <w:r>
        <w:rPr>
          <w:rFonts w:ascii="Arial" w:cs="Arial" w:eastAsia="Arial" w:hAnsi="Arial"/>
          <w:sz w:val="16"/>
          <w:szCs w:val="16"/>
          <w:color w:val="auto"/>
        </w:rPr>
        <w:t>Unless the Board Resolution, supplemental indenture or Officers’ Certificate establishing such series provides otherwise, if an Event of Default (other than an Event of Default specified in Section 5.1(5) or 5.1(6))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to be due and payable immediately, by a notice in writing to the Company (and to the Trustee if given by the Holders), and upon any such declaration such principal amount (or specified amount), and premium, if any, together with accrued and unpaid interest, if any, thereon, shall become immediately due and payable. If an Event of Default specified in Section 5.1(5) or 5.1(6)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shall automatically, and without any declaration or other action on the part of the Trustee or any Holder, become immediately due and payable. Any payments by the Company on the Securities following any such acceleration will be subject to the subordination provisions of Article 15 to the extent provided therein.</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5" w:name="page126"/>
    <w:bookmarkEnd w:id="125"/>
    <w:p>
      <w:pPr>
        <w:jc w:val="both"/>
        <w:ind w:firstLine="656"/>
        <w:spacing w:after="0" w:line="269" w:lineRule="auto"/>
        <w:tabs>
          <w:tab w:leader="none" w:pos="931" w:val="left"/>
        </w:tabs>
        <w:numPr>
          <w:ilvl w:val="0"/>
          <w:numId w:val="95"/>
        </w:numPr>
        <w:rPr>
          <w:rFonts w:ascii="Arial" w:cs="Arial" w:eastAsia="Arial" w:hAnsi="Arial"/>
          <w:sz w:val="17"/>
          <w:szCs w:val="17"/>
          <w:color w:val="auto"/>
        </w:rPr>
      </w:pPr>
      <w:r>
        <w:rPr>
          <w:rFonts w:ascii="Arial" w:cs="Arial" w:eastAsia="Arial" w:hAnsi="Arial"/>
          <w:sz w:val="17"/>
          <w:szCs w:val="17"/>
          <w:color w:val="auto"/>
        </w:rPr>
        <w:t>Notwithstanding the foregoing, at the election of the Company, the sole remedy with respect to an Event of Default for the failure by the Company to comply with its obligations under Section 314(a)(1) of the Trust Indenture Act relating to the Company’s failure to file any documents or reports that the Company is required to file with the SEC pursuant to Section 13 or 15(d) of the Exchange Act or of its covenants set forth in Section 7.4 (any such Event of Default, a “Reporting Default”), shall for the first 180 calendar days after the occurrence of such Reporting Default consist exclusively of the right to receive additional interest (the “Additional Interest”) on the Securities at an annual rate equal to (i) 0.25% of the principal amount of the Securities for the first 90 calendar days after the occurrence of such Reporting Default and (ii) 0.50% of the principal amount of the Securities from the 91st day to, and including, the 180th day after the occurrence of such Reporting Default. If the Company so elects, the Additional Interest shall accrue on all Outstanding Securities from and including the date on which such Reporting Default first occurs until such violation is cured or waived and shall be payable as provided in Section 3.7. On the 181st day after such Reporting Default (if such violation is not cured or waived prior to such 181st calendar day), then the Trustee or the Holders of not less than 25% in principal amount of the Outstanding securities may declare the principal of, and premium, if any, together with accrued and unpaid interest, if any, on all such Securities to be due and payable immediately.</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Company elects to pay the Additional Interest as the sole remedy for the Reporting Default, the Company shall notify in writing, by a certificate, the Holders, the Paying Agent and the Trustee of such election at any time on or before the close of business on the first Business Day following the date on which such Event of Default first occurs. Unless and until a Responsible Officer of the Trustee receives at the Corporate Trust Office such a certificate, the Trustee may assume without inquiry that Additional Interest is not payable. The Company shall pay the Additional Interest semi-annually in arrears, with the first semi-annual payment due on the first Interest Payment Date following the date of such Reporting Default, in the same manner as described on the face of the Security.</w:t>
      </w:r>
    </w:p>
    <w:p>
      <w:pPr>
        <w:spacing w:after="0" w:line="193" w:lineRule="exact"/>
        <w:rPr>
          <w:sz w:val="20"/>
          <w:szCs w:val="20"/>
          <w:color w:val="auto"/>
        </w:rPr>
      </w:pPr>
    </w:p>
    <w:p>
      <w:pPr>
        <w:jc w:val="both"/>
        <w:ind w:firstLine="656"/>
        <w:spacing w:after="0" w:line="312" w:lineRule="auto"/>
        <w:tabs>
          <w:tab w:leader="none" w:pos="904" w:val="left"/>
        </w:tabs>
        <w:numPr>
          <w:ilvl w:val="0"/>
          <w:numId w:val="96"/>
        </w:numPr>
        <w:rPr>
          <w:rFonts w:ascii="Arial" w:cs="Arial" w:eastAsia="Arial" w:hAnsi="Arial"/>
          <w:sz w:val="16"/>
          <w:szCs w:val="16"/>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46" w:lineRule="exact"/>
        <w:rPr>
          <w:rFonts w:ascii="Arial" w:cs="Arial" w:eastAsia="Arial" w:hAnsi="Arial"/>
          <w:sz w:val="16"/>
          <w:szCs w:val="16"/>
          <w:color w:val="auto"/>
        </w:rPr>
      </w:pPr>
    </w:p>
    <w:p>
      <w:pPr>
        <w:ind w:left="1560" w:hanging="255"/>
        <w:spacing w:after="0"/>
        <w:tabs>
          <w:tab w:leader="none" w:pos="156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225" w:lineRule="exact"/>
        <w:rPr>
          <w:rFonts w:ascii="Arial" w:cs="Arial" w:eastAsia="Arial" w:hAnsi="Arial"/>
          <w:sz w:val="18"/>
          <w:szCs w:val="18"/>
          <w:color w:val="auto"/>
        </w:rPr>
      </w:pPr>
    </w:p>
    <w:p>
      <w:pPr>
        <w:ind w:left="1920" w:hanging="291"/>
        <w:spacing w:after="0"/>
        <w:tabs>
          <w:tab w:leader="none" w:pos="1920" w:val="left"/>
        </w:tabs>
        <w:numPr>
          <w:ilvl w:val="2"/>
          <w:numId w:val="96"/>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225" w:lineRule="exact"/>
        <w:rPr>
          <w:rFonts w:ascii="Arial" w:cs="Arial" w:eastAsia="Arial" w:hAnsi="Arial"/>
          <w:sz w:val="18"/>
          <w:szCs w:val="18"/>
          <w:color w:val="auto"/>
        </w:rPr>
      </w:pPr>
    </w:p>
    <w:p>
      <w:pPr>
        <w:ind w:left="980" w:firstLine="649"/>
        <w:spacing w:after="0" w:line="277" w:lineRule="auto"/>
        <w:tabs>
          <w:tab w:leader="none" w:pos="1921" w:val="left"/>
        </w:tabs>
        <w:numPr>
          <w:ilvl w:val="2"/>
          <w:numId w:val="96"/>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70" w:lineRule="exact"/>
        <w:rPr>
          <w:rFonts w:ascii="Arial" w:cs="Arial" w:eastAsia="Arial" w:hAnsi="Arial"/>
          <w:sz w:val="18"/>
          <w:szCs w:val="18"/>
          <w:color w:val="auto"/>
        </w:rPr>
      </w:pPr>
    </w:p>
    <w:p>
      <w:pPr>
        <w:ind w:left="980" w:right="20" w:firstLine="649"/>
        <w:spacing w:after="0" w:line="277" w:lineRule="auto"/>
        <w:tabs>
          <w:tab w:leader="none" w:pos="1926" w:val="left"/>
        </w:tabs>
        <w:numPr>
          <w:ilvl w:val="2"/>
          <w:numId w:val="96"/>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or rates prescribed therefor in such Securities, and</w:t>
      </w:r>
    </w:p>
    <w:p>
      <w:pPr>
        <w:spacing w:after="0" w:line="170" w:lineRule="exact"/>
        <w:rPr>
          <w:rFonts w:ascii="Arial" w:cs="Arial" w:eastAsia="Arial" w:hAnsi="Arial"/>
          <w:sz w:val="18"/>
          <w:szCs w:val="18"/>
          <w:color w:val="auto"/>
        </w:rPr>
      </w:pPr>
    </w:p>
    <w:p>
      <w:pPr>
        <w:ind w:left="980" w:firstLine="649"/>
        <w:spacing w:after="0" w:line="277" w:lineRule="auto"/>
        <w:tabs>
          <w:tab w:leader="none" w:pos="1925" w:val="left"/>
        </w:tabs>
        <w:numPr>
          <w:ilvl w:val="2"/>
          <w:numId w:val="96"/>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6" w:name="page127"/>
    <w:bookmarkEnd w:id="126"/>
    <w:p>
      <w:pPr>
        <w:ind w:left="660" w:right="20" w:firstLine="645"/>
        <w:spacing w:after="0" w:line="277" w:lineRule="auto"/>
        <w:tabs>
          <w:tab w:leader="none" w:pos="1567"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Securities of that series that have become due solely by such declaration of acceleration, have been cured or waived as provided in Section 5.13.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5.3 Collection of Indebtedness and Suits for Enforcement by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left="660" w:firstLine="645"/>
        <w:spacing w:after="0" w:line="277" w:lineRule="auto"/>
        <w:tabs>
          <w:tab w:leader="none" w:pos="157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jc w:val="both"/>
        <w:ind w:left="660" w:firstLine="645"/>
        <w:spacing w:after="0" w:line="255" w:lineRule="auto"/>
        <w:tabs>
          <w:tab w:leader="none" w:pos="1566"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 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5.4 Trustee May File Proofs of Claim.</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6.7. 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may, on behalf of the Holders, vote for the election of a trustee in bankruptcy or similar official and be a member of a creditors’ or other similar committee.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5.5 Trustee May Enforce Claims Without Possession of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Section 5.6 Application of Money Collected.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6.7;</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SECOND: Subject to Article 15, to the payment of the amounts then due and unpaid for principal of and any premium, if any, and interest on the Securities in respect of which or for the benefit of which such money has been collected, ratably, without preference or priority of any kind, according to the amounts due and payable on such Securities for principal and any premium, if any, and interest, respectively;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The balance, if any, to the Company or any other Person or Persons entitled thereto.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5.7 Limitation on Suits.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 such Holder has previously given written notice to the Trustee of a continuing Event of Default with respect to the Securities of that</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series;</w:t>
      </w:r>
    </w:p>
    <w:p>
      <w:pPr>
        <w:spacing w:after="0" w:line="211" w:lineRule="exact"/>
        <w:rPr>
          <w:sz w:val="20"/>
          <w:szCs w:val="20"/>
          <w:color w:val="auto"/>
        </w:rPr>
      </w:pPr>
    </w:p>
    <w:p>
      <w:pPr>
        <w:ind w:left="660" w:right="20" w:firstLine="645"/>
        <w:spacing w:after="0" w:line="277" w:lineRule="auto"/>
        <w:tabs>
          <w:tab w:leader="none" w:pos="156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left="660" w:firstLine="645"/>
        <w:spacing w:after="0" w:line="277" w:lineRule="auto"/>
        <w:tabs>
          <w:tab w:leader="none" w:pos="1582" w:val="left"/>
        </w:tabs>
        <w:numPr>
          <w:ilvl w:val="0"/>
          <w:numId w:val="99"/>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 and</w:t>
      </w:r>
    </w:p>
    <w:p>
      <w:pPr>
        <w:spacing w:after="0" w:line="248" w:lineRule="exact"/>
        <w:rPr>
          <w:rFonts w:ascii="Arial" w:cs="Arial" w:eastAsia="Arial" w:hAnsi="Arial"/>
          <w:sz w:val="16"/>
          <w:szCs w:val="16"/>
          <w:color w:val="auto"/>
        </w:rPr>
      </w:pPr>
    </w:p>
    <w:p>
      <w:pPr>
        <w:ind w:left="660" w:firstLine="645"/>
        <w:spacing w:after="0" w:line="277" w:lineRule="auto"/>
        <w:tabs>
          <w:tab w:leader="none" w:pos="1566"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5.8 Unconditional Right of Holders to Receive Principal, Premium and Interest and to Convert.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any premium and (subject to Section 3.7) interest on such Security on the respective Stated Maturities expressed in such Security (or, in the case of redemption, on the Redemption Date), to convert such Securities in accordance with Article 14 to the extent that such right to convert is applicable to such Security, and to institute suit for the enforcement of any such payment, and such rights shall not be impaired without the consent of such Holder.</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Section 5.9 Restoration of Rights and Remedies.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5.10 Rights and Remedies Cumulative.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5.11 Delay or Omission Not Waiver.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(subject to the limitations contained in this Indenture) or by the Holders, as the case may be.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5.12 Control by 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ind w:left="660" w:right="20" w:firstLine="645"/>
        <w:spacing w:after="0" w:line="308" w:lineRule="auto"/>
        <w:tabs>
          <w:tab w:leader="none" w:pos="1582"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such direction shall not be in conflict with any rule of law or with this Indenture and the Trustee shall not have determined that the action so directed would be unjustly prejudicial to Holders of Securities of that series, or any other series, not taking part in such direction; and</w:t>
      </w:r>
    </w:p>
    <w:p>
      <w:pPr>
        <w:spacing w:after="0" w:line="146" w:lineRule="exact"/>
        <w:rPr>
          <w:rFonts w:ascii="Arial" w:cs="Arial" w:eastAsia="Arial" w:hAnsi="Arial"/>
          <w:sz w:val="17"/>
          <w:szCs w:val="17"/>
          <w:color w:val="auto"/>
        </w:rPr>
      </w:pPr>
    </w:p>
    <w:p>
      <w:pPr>
        <w:ind w:left="1560" w:hanging="255"/>
        <w:spacing w:after="0"/>
        <w:tabs>
          <w:tab w:leader="none" w:pos="15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Trustee may take any other action deemed proper by the Trustee that is not inconsistent with such direction or this Indenture.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5.13 Waiver of Past Defaults.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w:t>
      </w:r>
    </w:p>
    <w:p>
      <w:pPr>
        <w:spacing w:after="0" w:line="170" w:lineRule="exact"/>
        <w:rPr>
          <w:sz w:val="20"/>
          <w:szCs w:val="20"/>
          <w:color w:val="auto"/>
        </w:rPr>
      </w:pPr>
    </w:p>
    <w:p>
      <w:pPr>
        <w:jc w:val="both"/>
        <w:ind w:left="660" w:firstLine="645"/>
        <w:spacing w:after="0" w:line="264" w:lineRule="auto"/>
        <w:tabs>
          <w:tab w:leader="none" w:pos="156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default in the payment of the principal of or any premium or interest on any Security of such series as and when the same shall become due and payable by the terms thereof, otherwise than by acceleration (unless such default has been cured and a sum sufficient to pay all matured installments of interest, principal and premium, if any, has been deposited with the Trustee), or</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to the extent such right is applicable to such Security, a failure by the Company on request to convert any Security into Common Stock;</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9" w:name="page130"/>
    <w:bookmarkEnd w:id="129"/>
    <w:p>
      <w:pPr>
        <w:ind w:left="660" w:firstLine="645"/>
        <w:spacing w:after="0" w:line="277" w:lineRule="auto"/>
        <w:tabs>
          <w:tab w:leader="none" w:pos="156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9 cannot be modified or amended without the consent of the Holder of each Outstanding Security of such series affected.</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5.14 Undertaking for Costs.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this Section nor the Trust Indenture Act shall be deemed to authorize any court to require such an undertaking or to make such an assessment in any suit instituted by the Company or in any suit for the enforcement of the right to convert any Security in accordance with Article 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5.15 Waiver of Usury, Stay or Extension Laws.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Certain Duties and Responsibilities.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Notice of Defaults.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If a default occurs hereunder with respect to Securities of any series, the Trustee shall give the Holders of Securities of such series notice of such default as and to the extent provided by the Trust Indenture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in the case of a default in the payment of principal of (or premium, if any) or interest on any Securities of such series or in the payment of any sinking fund installment or any conversion right applicable to Securities of such series, the Trustee shall be protected in withholding such notice if and so long as a trust committee of directors and/or Responsible Officers of the Trustee in good faith determine that the withholding of such notice is in the interests of the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however, that in the case of any default of the character specified in Section 5.1(4) with respect to Securities of such series, no such notice to Holders shall be given until at least 60 days after the occurrence thereof. For the purpose of this Section, the term “default” means any event that is, or after notice or lapse of time or both would become, an Event of Default with respect to Securities of such series.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0" w:name="page131"/>
    <w:bookmarkEnd w:id="130"/>
    <w:p>
      <w:pPr>
        <w:jc w:val="both"/>
        <w:ind w:firstLine="648"/>
        <w:spacing w:after="0" w:line="259" w:lineRule="auto"/>
        <w:rPr>
          <w:sz w:val="20"/>
          <w:szCs w:val="20"/>
          <w:color w:val="auto"/>
        </w:rPr>
      </w:pPr>
      <w:r>
        <w:rPr>
          <w:rFonts w:ascii="Arial" w:cs="Arial" w:eastAsia="Arial" w:hAnsi="Arial"/>
          <w:sz w:val="18"/>
          <w:szCs w:val="18"/>
          <w:color w:val="auto"/>
        </w:rPr>
        <w:t>Except with respect to Section 10.1, the Trustee shall have no duty to inquire as to the performance of the Company with respect to the covenants contained in Article 10. In addition, the Trustee shall not be deemed to have knowledge of an Event of Default except (i) any Default or Event of Default occurring pursuant to Sections 5.1(1), 5.1(2) and 5.1(3) (defaults in payments on the Securities) or (ii) any Default or Event of Default of which the Trustee shall have received written notification or obtained actual knowledge.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Delivery of reports, information and documents to the Trustee under Section 7.4 is for informational purposes only and the Trustee’s receipt of the foregoing shall not constitute constructive notice of any information contained therein or determinable from information contained therein, including the Company’s compliance with any of their covenants hereunder (as to which the Trustee is entitled to rely conclusively on Officers’ Certificates).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6.3 Certain Rights of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provisions of Section 6.1:</w:t>
      </w:r>
    </w:p>
    <w:p>
      <w:pPr>
        <w:spacing w:after="0" w:line="225" w:lineRule="exact"/>
        <w:rPr>
          <w:sz w:val="20"/>
          <w:szCs w:val="20"/>
          <w:color w:val="auto"/>
        </w:rPr>
      </w:pPr>
    </w:p>
    <w:p>
      <w:pPr>
        <w:jc w:val="both"/>
        <w:ind w:left="660" w:firstLine="645"/>
        <w:spacing w:after="0" w:line="312" w:lineRule="auto"/>
        <w:tabs>
          <w:tab w:leader="none" w:pos="156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the absence of bad faith on the part of the Trustee, 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46" w:lineRule="exact"/>
        <w:rPr>
          <w:rFonts w:ascii="Arial" w:cs="Arial" w:eastAsia="Arial" w:hAnsi="Arial"/>
          <w:sz w:val="16"/>
          <w:szCs w:val="16"/>
          <w:color w:val="auto"/>
        </w:rPr>
      </w:pPr>
    </w:p>
    <w:p>
      <w:pPr>
        <w:ind w:left="660" w:right="20" w:firstLine="645"/>
        <w:spacing w:after="0" w:line="277" w:lineRule="auto"/>
        <w:tabs>
          <w:tab w:leader="none" w:pos="157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6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is entitled to and may, in the absence of bad faith on its part, rely upon an Officers’ Certificate;</w:t>
      </w:r>
    </w:p>
    <w:p>
      <w:pPr>
        <w:spacing w:after="0" w:line="181" w:lineRule="exact"/>
        <w:rPr>
          <w:rFonts w:ascii="Arial" w:cs="Arial" w:eastAsia="Arial" w:hAnsi="Arial"/>
          <w:sz w:val="18"/>
          <w:szCs w:val="18"/>
          <w:color w:val="auto"/>
        </w:rPr>
      </w:pPr>
    </w:p>
    <w:p>
      <w:pPr>
        <w:ind w:left="660" w:right="20" w:firstLine="645"/>
        <w:spacing w:after="0" w:line="308" w:lineRule="auto"/>
        <w:tabs>
          <w:tab w:leader="none" w:pos="158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jc w:val="both"/>
        <w:ind w:left="660" w:firstLine="645"/>
        <w:spacing w:after="0" w:line="264" w:lineRule="auto"/>
        <w:tabs>
          <w:tab w:leader="none" w:pos="156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81" w:lineRule="exact"/>
        <w:rPr>
          <w:rFonts w:ascii="Arial" w:cs="Arial" w:eastAsia="Arial" w:hAnsi="Arial"/>
          <w:sz w:val="18"/>
          <w:szCs w:val="18"/>
          <w:color w:val="auto"/>
        </w:rPr>
      </w:pPr>
    </w:p>
    <w:p>
      <w:pPr>
        <w:jc w:val="both"/>
        <w:ind w:left="660" w:firstLine="645"/>
        <w:spacing w:after="0" w:line="257" w:lineRule="auto"/>
        <w:tabs>
          <w:tab w:leader="none" w:pos="159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88" w:lineRule="exact"/>
        <w:rPr>
          <w:rFonts w:ascii="Arial" w:cs="Arial" w:eastAsia="Arial" w:hAnsi="Arial"/>
          <w:sz w:val="18"/>
          <w:szCs w:val="18"/>
          <w:color w:val="auto"/>
        </w:rPr>
      </w:pPr>
    </w:p>
    <w:p>
      <w:pPr>
        <w:jc w:val="both"/>
        <w:ind w:left="660" w:firstLine="645"/>
        <w:spacing w:after="0" w:line="264" w:lineRule="auto"/>
        <w:tabs>
          <w:tab w:leader="none" w:pos="15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6.4 Not Responsible for Recitals or Issuance of Securities.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sufficiency or priority of this Indenture or of the Securities. Neither the Trustee nor any Authenticating Agent shall be accountable for the use or application by the Company of Securities or the proceeds thereof.</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Section 6.5 May Hold Securities and Act as Trustee under Other Indentures.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Trustee, any Authenticating Agent, any Paying Agent, any Security Registrar or any other agent of the Company, in its individual or any other capacity, may become the owner or pledgee of Securities and, subject to Sections 6.8 and 6.13, may otherwise deal with the Company with the same rights it would have if it were not Trustee, Authenticating Agent, Paying Agent, Security Registrar or such other agent. Subject to the limitations imposed by the Trust Indenture Act, nothing in this Indenture shall prohibit the Trustee from becoming and acting as trustee under other indentures under which other securities, or certificates of interest of participation in other securities, of the Company are outstanding in the same manner as if it were not Trustee hereunder.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6.6 Money Held in Trust.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6.7 Compensation and Reimbursement.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agrees:</w:t>
      </w:r>
    </w:p>
    <w:p>
      <w:pPr>
        <w:spacing w:after="0" w:line="225" w:lineRule="exact"/>
        <w:rPr>
          <w:sz w:val="20"/>
          <w:szCs w:val="20"/>
          <w:color w:val="auto"/>
        </w:rPr>
      </w:pPr>
    </w:p>
    <w:p>
      <w:pPr>
        <w:ind w:left="660" w:firstLine="645"/>
        <w:spacing w:after="0" w:line="277" w:lineRule="auto"/>
        <w:tabs>
          <w:tab w:leader="none" w:pos="156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0" w:lineRule="exact"/>
        <w:rPr>
          <w:rFonts w:ascii="Arial" w:cs="Arial" w:eastAsia="Arial" w:hAnsi="Arial"/>
          <w:sz w:val="18"/>
          <w:szCs w:val="18"/>
          <w:color w:val="auto"/>
        </w:rPr>
      </w:pPr>
    </w:p>
    <w:p>
      <w:pPr>
        <w:jc w:val="both"/>
        <w:ind w:left="660" w:firstLine="645"/>
        <w:spacing w:after="0" w:line="259" w:lineRule="auto"/>
        <w:tabs>
          <w:tab w:leader="none" w:pos="156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86" w:lineRule="exact"/>
        <w:rPr>
          <w:rFonts w:ascii="Arial" w:cs="Arial" w:eastAsia="Arial" w:hAnsi="Arial"/>
          <w:sz w:val="18"/>
          <w:szCs w:val="18"/>
          <w:color w:val="auto"/>
        </w:rPr>
      </w:pPr>
    </w:p>
    <w:p>
      <w:pPr>
        <w:jc w:val="both"/>
        <w:ind w:left="660" w:firstLine="645"/>
        <w:spacing w:after="0" w:line="312" w:lineRule="auto"/>
        <w:tabs>
          <w:tab w:leader="none" w:pos="156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5.1(5) or Section 5.1(6) hereof occurs, the expenses and the compensation for the services (including the fees and expenses of its agents and counsel) are intended to constitute expenses of administration under any applicable bankruptcy, insolvency, reorganization or similar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6.8 Conflicting Interests.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Trustee has or shall acquire a conflicting interest within the meaning of the Trust Indenture Act and there is an Event of Default under the Securities of that series,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Section 6.9 Corporate Trustee Required; Eligibility.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(or if the Trustee is a member of a bank holding company system, its bank holding company has) a combined capital and surplus of at least $50,000,000. If any such Person or bank holding company publishes reports of condition at least annually, pursuant to law or to the requirements of its supervising or examining authority, then for the purposes of this Section and to the extent permitted by the Trust Indenture Act, the combined capital and surplus of such Person or bank holding company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6.10 Resignation and Removal; Appointment of Successor.</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 resignation or removal of the Trustee and no appointment of a successor Trustee pursuant to this Article shall become effective until the acceptance of appointment by the successor Trustee in accordance with the applicable requirements of Section 6.11. 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left="660" w:firstLine="645"/>
        <w:spacing w:after="0" w:line="277" w:lineRule="auto"/>
        <w:tabs>
          <w:tab w:leader="none" w:pos="157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shall fail to comply with Section 6.8 after written request therefor by the Company or by any Holder who has been a bona fide Holder of a Security for at least six months, or</w:t>
      </w:r>
    </w:p>
    <w:p>
      <w:pPr>
        <w:spacing w:after="0" w:line="170" w:lineRule="exact"/>
        <w:rPr>
          <w:rFonts w:ascii="Arial" w:cs="Arial" w:eastAsia="Arial" w:hAnsi="Arial"/>
          <w:sz w:val="18"/>
          <w:szCs w:val="18"/>
          <w:color w:val="auto"/>
        </w:rPr>
      </w:pPr>
    </w:p>
    <w:p>
      <w:pPr>
        <w:ind w:left="660" w:firstLine="645"/>
        <w:spacing w:after="0" w:line="277" w:lineRule="auto"/>
        <w:tabs>
          <w:tab w:leader="none" w:pos="157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6.9 and shall fail to resign after written request therefor by the Company or by any such Holder,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7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the retiring Trustee may petition, or any Holder who has been a bona fide Holder of a Security of such series for at least six months may petition, on behalf of himself and all others similarly situated, any court of competent jurisdiction for the appointment of a successor Trustee with respect to the Securities of such series.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3" w:name="page134"/>
    <w:bookmarkEnd w:id="133"/>
    <w:p>
      <w:pPr>
        <w:jc w:val="both"/>
        <w:ind w:firstLine="648"/>
        <w:spacing w:after="0" w:line="312" w:lineRule="auto"/>
        <w:rPr>
          <w:sz w:val="20"/>
          <w:szCs w:val="20"/>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1.6. Each notice shall include the name of the successor Trustee with respect to the Securities of such series and the address of its Corporate Trust Office.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6.11 Acceptance of Appointment by Successor.</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-36-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6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 No successor Trustee shall accept its appointment unless at the time of such acceptance such successor Trustee shall be qualified and eligible under this Article.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Section 6.12 Merger, Conversion, Consolidation or Succession to Business.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the event that any Securities shall not have been authenticated by such predecessor Trustee, any such successor Trustee may authenticate and deliver such Securities in either its own name or that of a predecessor Trustee, with the full force and effect which this Indenture provides for the certificate of authentication of the Trustee.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6.13 Preferential Collection of Claims Against Company.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6.14 Appointment of Authenticating Agent.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(or if the Authenticating Agent is a member of a bank holding company system, its bank holding company has)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5" w:name="page136"/>
    <w:bookmarkEnd w:id="135"/>
    <w:p>
      <w:pPr>
        <w:ind w:firstLine="648"/>
        <w:spacing w:after="0" w:line="277"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6.7.</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6.14, the Securities of such series may have endorsed thereon, in lieu of the Trustee’s certificate of authentication, an alternative certificate of authentication in the following form: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Authorized Officer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Company to Furnish Trustee Names and Addresses of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furnish or cause to be furnished to the Trustee</w:t>
      </w:r>
    </w:p>
    <w:p>
      <w:pPr>
        <w:spacing w:after="0" w:line="225" w:lineRule="exact"/>
        <w:rPr>
          <w:sz w:val="20"/>
          <w:szCs w:val="20"/>
          <w:color w:val="auto"/>
        </w:rPr>
      </w:pPr>
    </w:p>
    <w:p>
      <w:pPr>
        <w:jc w:val="both"/>
        <w:ind w:left="660" w:firstLine="645"/>
        <w:spacing w:after="0" w:line="264" w:lineRule="auto"/>
        <w:tabs>
          <w:tab w:leader="none" w:pos="157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each respective series of Securities, a list, in such form as the Trustee may reasonably require, of the names and addresses of the Holders of Securities of each series as of such Regular Record Date, as the case may be, or if there is no Regular Record Date for such series of Securities, semi-annually, and</w:t>
      </w:r>
    </w:p>
    <w:p>
      <w:pPr>
        <w:spacing w:after="0" w:line="181" w:lineRule="exact"/>
        <w:rPr>
          <w:rFonts w:ascii="Arial" w:cs="Arial" w:eastAsia="Arial" w:hAnsi="Arial"/>
          <w:sz w:val="18"/>
          <w:szCs w:val="18"/>
          <w:color w:val="auto"/>
        </w:rPr>
      </w:pPr>
    </w:p>
    <w:p>
      <w:pPr>
        <w:ind w:left="660" w:firstLine="645"/>
        <w:spacing w:after="0" w:line="277" w:lineRule="auto"/>
        <w:tabs>
          <w:tab w:leader="none" w:pos="156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list need be furnished by the Company to the Trustee so long as the Trustee is acting as Security Registrar.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Preservation of Information; Communications to Holders.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7.1 and the names and addresses of Holders received by the Trustee in its capacity as Security Registrar. The Trustee may destroy any list furnished to it as provided in Section 7.1 upon receipt of a new list so furnished.</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rights of Holders to communicate with other Holders with respect to their rights under this Indenture or under the Securities, and the corresponding rights and privileges of the Trustee, shall be as provided by the Trust Indenture Act. 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7.3 Reports by Trustee.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6" w:name="page137"/>
    <w:bookmarkEnd w:id="136"/>
    <w:p>
      <w:pPr>
        <w:jc w:val="both"/>
        <w:ind w:firstLine="648"/>
        <w:spacing w:after="0" w:line="277" w:lineRule="auto"/>
        <w:rPr>
          <w:sz w:val="20"/>
          <w:szCs w:val="20"/>
          <w:color w:val="auto"/>
        </w:rPr>
      </w:pPr>
      <w:r>
        <w:rPr>
          <w:rFonts w:ascii="Arial" w:cs="Arial" w:eastAsia="Arial" w:hAnsi="Arial"/>
          <w:sz w:val="18"/>
          <w:szCs w:val="18"/>
          <w:color w:val="auto"/>
        </w:rPr>
        <w:t>Reports so required to be transmitted at stated intervals of not more than 12 months shall be transmitted no later than July 15 in each calendar year, commencing with the first July 15 after the first issuance of Securities pursuant to this Indenture.</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7.4 Reports by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Any information, documents or other reports that the Company shall file with the Commission pursuant to Section 13 or 15(d) of the Exchange Act shall be filed with the Trustee within 15 days after the same is filed with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information, documents or reports filed or furnished with the Commission pursuant to its Electronic Data Gathering, Analysis and Retrieval (or EDGAR) system shall be deemed to be filed with the Trustee as of the time such information, documents or reports are filed or furnished via EDGAR.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Company May Consolidate, etc., Only on Certain Terms.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shall not consolidate with or merge into any other Person (other than a Subsidiary of the Company) (in a transaction in which the Company is not the surviving corporation) or convey, transfer or lease its properties and assets substantially as an entirety to any Person (other than a Subsidiary of the Company), unless:</w:t>
      </w:r>
    </w:p>
    <w:p>
      <w:pPr>
        <w:spacing w:after="0" w:line="181" w:lineRule="exact"/>
        <w:rPr>
          <w:sz w:val="20"/>
          <w:szCs w:val="20"/>
          <w:color w:val="auto"/>
        </w:rPr>
      </w:pPr>
    </w:p>
    <w:p>
      <w:pPr>
        <w:jc w:val="both"/>
        <w:ind w:left="660" w:firstLine="645"/>
        <w:spacing w:after="0" w:line="269" w:lineRule="auto"/>
        <w:tabs>
          <w:tab w:leader="none" w:pos="1576"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case the Company shall consolidate with or merge into another Person (in a transaction in which the Company is not the surviving corporation)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limited liability company partnership, trust or other business entity,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and the conversion rights shall be provided for in accordance with Article 14, if applicable, or as otherwise specified pursuant to Section 3.1, by supplemental indenture satisfactory in form to the Trustee, executed and delivered to the Trustee, by the Person (if other than the Company) formed by such consolidation or into which the Company shall have been merged or by the Person which shall have acquired the Company’s assets;</w:t>
      </w:r>
    </w:p>
    <w:p>
      <w:pPr>
        <w:spacing w:after="0" w:line="182" w:lineRule="exact"/>
        <w:rPr>
          <w:rFonts w:ascii="Arial" w:cs="Arial" w:eastAsia="Arial" w:hAnsi="Arial"/>
          <w:sz w:val="17"/>
          <w:szCs w:val="17"/>
          <w:color w:val="auto"/>
        </w:rPr>
      </w:pPr>
    </w:p>
    <w:p>
      <w:pPr>
        <w:jc w:val="both"/>
        <w:ind w:left="660" w:firstLine="645"/>
        <w:spacing w:after="0" w:line="312" w:lineRule="auto"/>
        <w:tabs>
          <w:tab w:leader="none" w:pos="157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occurred and be continuing; and</w:t>
      </w:r>
    </w:p>
    <w:p>
      <w:pPr>
        <w:spacing w:after="0" w:line="146" w:lineRule="exact"/>
        <w:rPr>
          <w:rFonts w:ascii="Arial" w:cs="Arial" w:eastAsia="Arial" w:hAnsi="Arial"/>
          <w:sz w:val="16"/>
          <w:szCs w:val="16"/>
          <w:color w:val="auto"/>
        </w:rPr>
      </w:pPr>
    </w:p>
    <w:p>
      <w:pPr>
        <w:jc w:val="both"/>
        <w:ind w:left="660" w:firstLine="645"/>
        <w:spacing w:after="0" w:line="286" w:lineRule="auto"/>
        <w:tabs>
          <w:tab w:leader="none" w:pos="158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Section 8.2 Successor Substituted.</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Upon any consolidation of the Company with, or merger of the Company into, any other Person or any conveyance, transfer or lease of the properties and assets of the Company substantially as an entirety in accordance with Section 8.1,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Supplemental Indentures Without Consent of 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70" w:lineRule="exact"/>
        <w:rPr>
          <w:sz w:val="20"/>
          <w:szCs w:val="20"/>
          <w:color w:val="auto"/>
        </w:rPr>
      </w:pPr>
    </w:p>
    <w:p>
      <w:pPr>
        <w:ind w:left="660" w:right="20" w:firstLine="645"/>
        <w:spacing w:after="0" w:line="277" w:lineRule="auto"/>
        <w:tabs>
          <w:tab w:leader="none" w:pos="157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or successive successions, and the assumption by any such successor of the covenants of the Company herein and in the Securities in compliance with Article 8; or</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7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57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57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81" w:lineRule="exact"/>
        <w:rPr>
          <w:rFonts w:ascii="Arial" w:cs="Arial" w:eastAsia="Arial" w:hAnsi="Arial"/>
          <w:sz w:val="18"/>
          <w:szCs w:val="18"/>
          <w:color w:val="auto"/>
        </w:rPr>
      </w:pPr>
    </w:p>
    <w:p>
      <w:pPr>
        <w:jc w:val="both"/>
        <w:ind w:left="660" w:firstLine="645"/>
        <w:spacing w:after="0" w:line="288" w:lineRule="auto"/>
        <w:tabs>
          <w:tab w:leader="none" w:pos="1576"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to add to, change or eliminate any of the provisions of this Indenture in respect of one or more series of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w:t>
      </w:r>
    </w:p>
    <w:p>
      <w:pPr>
        <w:ind w:left="940" w:hanging="284"/>
        <w:spacing w:after="0"/>
        <w:tabs>
          <w:tab w:leader="none" w:pos="9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shall become effective only when there is no such Security Outstanding; or</w:t>
      </w:r>
    </w:p>
    <w:p>
      <w:pPr>
        <w:spacing w:after="0" w:line="210" w:lineRule="exact"/>
        <w:rPr>
          <w:rFonts w:ascii="Arial" w:cs="Arial" w:eastAsia="Arial" w:hAnsi="Arial"/>
          <w:sz w:val="18"/>
          <w:szCs w:val="18"/>
          <w:color w:val="auto"/>
        </w:rPr>
      </w:pPr>
    </w:p>
    <w:p>
      <w:pPr>
        <w:ind w:left="1560" w:hanging="255"/>
        <w:spacing w:after="0"/>
        <w:tabs>
          <w:tab w:leader="none" w:pos="156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to secure the Securities, including provisions regarding the circumstances under which Collateral may be released or substituted; or</w:t>
      </w:r>
    </w:p>
    <w:p>
      <w:pPr>
        <w:spacing w:after="0" w:line="248" w:lineRule="exact"/>
        <w:rPr>
          <w:rFonts w:ascii="Arial" w:cs="Arial" w:eastAsia="Arial" w:hAnsi="Arial"/>
          <w:sz w:val="16"/>
          <w:szCs w:val="16"/>
          <w:color w:val="auto"/>
        </w:rPr>
      </w:pPr>
    </w:p>
    <w:p>
      <w:pPr>
        <w:ind w:left="1560" w:hanging="255"/>
        <w:spacing w:after="0"/>
        <w:tabs>
          <w:tab w:leader="none" w:pos="15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add or provide for a guaranty of the Securities or additional obligors on the Securities; or</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2.1 and 3.1; or</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58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8" w:name="page139"/>
    <w:bookmarkEnd w:id="138"/>
    <w:p>
      <w:pPr>
        <w:jc w:val="both"/>
        <w:ind w:left="660" w:firstLine="645"/>
        <w:spacing w:after="0" w:line="286" w:lineRule="auto"/>
        <w:tabs>
          <w:tab w:leader="none" w:pos="1661"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to cure any ambiguity, to correct or supplement any provision herein which may be defective or inconsistent with any other provision herein, or to make any other provisions with respect to matters or questions arising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action pursuant to this clause (10) shall not adversely affect the interests of the Holders of Securities of any series in any material respect; or</w:t>
      </w:r>
    </w:p>
    <w:p>
      <w:pPr>
        <w:spacing w:after="0" w:line="165" w:lineRule="exact"/>
        <w:rPr>
          <w:rFonts w:ascii="Arial" w:cs="Arial" w:eastAsia="Arial" w:hAnsi="Arial"/>
          <w:sz w:val="17"/>
          <w:szCs w:val="17"/>
          <w:color w:val="auto"/>
        </w:rPr>
      </w:pPr>
    </w:p>
    <w:p>
      <w:pPr>
        <w:jc w:val="both"/>
        <w:ind w:left="660" w:firstLine="645"/>
        <w:spacing w:after="0" w:line="264" w:lineRule="auto"/>
        <w:tabs>
          <w:tab w:leader="none" w:pos="166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the Indenture to such extent as shall be necessary to permit or facilitate the defeasance and discharge of any series of Securities pursuant to Articles 4 and 13,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such series or any other series of Securities in any material respect.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Supplemental Indentures with Consent of Holders.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supplemental indenture shall, without the consent of the Holder of each Outstanding Security affected thereby,</w:t>
      </w:r>
    </w:p>
    <w:p>
      <w:pPr>
        <w:spacing w:after="0" w:line="173" w:lineRule="exact"/>
        <w:rPr>
          <w:sz w:val="20"/>
          <w:szCs w:val="20"/>
          <w:color w:val="auto"/>
        </w:rPr>
      </w:pPr>
    </w:p>
    <w:p>
      <w:pPr>
        <w:jc w:val="both"/>
        <w:ind w:left="660" w:firstLine="645"/>
        <w:spacing w:after="0" w:line="253" w:lineRule="auto"/>
        <w:tabs>
          <w:tab w:leader="none" w:pos="158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5.2, or change the place of payment or the coin or currency in which, any Security or any premium or interest thereon is payable, or impair the right to institute suit for the enforcement of any such payment on or after the Stated Maturity thereof (or, in the case of redemption, on or after the Redemption Date), or modify the provisions of this Indenture with respect to the subordination of such series of Securities in a manner materially adverse to the Holders of Securities of such series, or, in the case of Securities of any series that are convertible into Securities or other securities of the Company, adversely affect the right of Holders to convert any of the Securities of such series other than as provided in or pursuant to this Indenture, or</w:t>
      </w:r>
    </w:p>
    <w:p>
      <w:pPr>
        <w:spacing w:after="0" w:line="197" w:lineRule="exact"/>
        <w:rPr>
          <w:rFonts w:ascii="Arial" w:cs="Arial" w:eastAsia="Arial" w:hAnsi="Arial"/>
          <w:sz w:val="18"/>
          <w:szCs w:val="18"/>
          <w:color w:val="auto"/>
        </w:rPr>
      </w:pPr>
    </w:p>
    <w:p>
      <w:pPr>
        <w:jc w:val="both"/>
        <w:ind w:left="660" w:firstLine="645"/>
        <w:spacing w:after="0" w:line="264" w:lineRule="auto"/>
        <w:tabs>
          <w:tab w:leader="none" w:pos="15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1" w:lineRule="exact"/>
        <w:rPr>
          <w:rFonts w:ascii="Arial" w:cs="Arial" w:eastAsia="Arial" w:hAnsi="Arial"/>
          <w:sz w:val="18"/>
          <w:szCs w:val="18"/>
          <w:color w:val="auto"/>
        </w:rPr>
      </w:pPr>
    </w:p>
    <w:p>
      <w:pPr>
        <w:jc w:val="both"/>
        <w:ind w:left="660" w:firstLine="645"/>
        <w:spacing w:after="0" w:line="257" w:lineRule="auto"/>
        <w:tabs>
          <w:tab w:leader="none" w:pos="15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10.8,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with respect to changes in the references to “the Trustee” and concomitant changes in this Section and Section 10.8, or the deletion of this proviso, in accordance with the requirements of Sections 6.11 and 9.1(8), or</w:t>
      </w:r>
    </w:p>
    <w:p>
      <w:pPr>
        <w:spacing w:after="0" w:line="188" w:lineRule="exact"/>
        <w:rPr>
          <w:rFonts w:ascii="Arial" w:cs="Arial" w:eastAsia="Arial" w:hAnsi="Arial"/>
          <w:sz w:val="18"/>
          <w:szCs w:val="18"/>
          <w:color w:val="auto"/>
        </w:rPr>
      </w:pPr>
    </w:p>
    <w:p>
      <w:pPr>
        <w:ind w:left="660" w:firstLine="645"/>
        <w:spacing w:after="0" w:line="277" w:lineRule="auto"/>
        <w:tabs>
          <w:tab w:leader="none" w:pos="157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applicable, make any change that adversely affects the right to convert any security as provided in Article 14 or pursuant to Section 3.1 (except as permitted by Section 9.1(9)).</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It shall not be necessary for any Act of Holders under this Section to approve the particular form of any proposed supplemental indenture, but it shall be sufficient if such Act shall approve the substance thereof.</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Section 9.3 Execution of Supplemental Indentures.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or the modifications thereby of the trusts created by this Indenture, the Trustee shall be entitled to receive, and (subject to Sections 6.1 and 6.3) shall be fully protected in relying upon,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Effect of Supplemental Indentures.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9.5 Conformity with Trust Indenture Act.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supplemental indenture executed pursuant to this Article shall conform to the requirements of the Trust Indenture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Reference in Securities to Supplemental Indentures.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9.7 Subordination Unimpaired.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 provision in any supplemental indenture that affects the superior position of the holders of Senior Debt shall be effective against holders of Senior Debt.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Payment of Principal, Premium and Interest.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10.2 Maintenance of Office or Agency.</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Unless otherwise provided in a supplemental indenture or pursuant to Section 3.1 hereof, the Place of Payment for any series of Securities shall be the Corporate Trust Office of the Trustee.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0" w:name="page141"/>
    <w:bookmarkEnd w:id="140"/>
    <w:p>
      <w:pPr>
        <w:jc w:val="both"/>
        <w:ind w:firstLine="648"/>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Money for Securities Payments to be Held in Trust.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Whenever the Company shall have one or more Paying Agents for any series of Securities, it will, on or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Any money deposited with the Trustee or any Paying Agent, or then held by the Company, in trust for the payment of the principal of or any premium or interest on any Security of any series and remaining unclaimed for a period ending on the earlier of the date that is ten Business Days prior to the date such money would escheat to the State 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Trustee or such Paying Agent, before being required to make any such repayment, may at the expense of the Company cause to be published once, in a newspaper published in the English language, customarily published on each Business Day and of general circulation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Section 10.4 Statement by Officers as to Default.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 The fiscal year of the Company currently ends on December 31; and the Company will give the Trustee prompt written notice of any change of its fiscal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Existence.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Article 8, the Company will do or cause to be done all things necessary to preserve and keep in full force and effect its existence.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10.6 Maintenance of Properties.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will cause all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10.7 Payment of Taxes and Other Claims.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Company will pay or discharge or cause to be paid or discharged, before the same shall become delinquent, (1) all taxes, assessments and governmental charges levied or imposed upon the Company or upon the income, profits or property of the Company, and (2) all lawful claims for labor, materials and supplies which, if unpaid, might by law become a lien upon the property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pay or discharge or cause to be paid or discharged any such tax, assessment, charge or claim (i) whose amount, applicability or validity is being contested in good faith by appropriate proceedings or (ii) if the failure to pay or discharge would not have a material adverse effect on the assets, business, operations, properties or condition (financial or otherwise) of the Company and its subsidiaries, taken as a whole.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10.8 Waiver of Certain Covenants.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as otherwise specified as contemplated by Section 3.1 for Securities of such series, the Company may, with respect to the Securities of any series, omit in any particular instance to comply with any term, provision or condition set forth in any covenant provided pursuant to Section 3.1(19), 9.1(2), 9.1(7), 10.6 or 10.7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Applicability of Article.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Securities of any series that are redeemable before their Stated Maturity shall be redeemable in accordance with their terms and (except as otherwise specified as contemplated by Section 3.1 for such Securities) in accordance with this Article.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Election to Redeem; Notice to Trustee.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election of the Company to redeem any Securities shall be evidenced by a Board Resolution or in another manner specified as contemplated by Section 3.1 for such Securities. In case of any redemption at the election of the Company of less than all the Securities of any series (including any such redemption affecting only a single Security),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11.3 Selection by Trustee of Securities to Be Redeemed.</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prior to the Redemption Date by the Trustee, from the Outstanding Securities of such series not previously called for redemption, by lot, or in the Trustee’s discretion, on a pro-rata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45 days prior to the Redemption Date by the Trustee, from the Outstanding Securities of such series and specified tenor not previously called for redemption in accordance with the preceding sentence.</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that have been converted during a selection of Securities to be redeemed shall be treated by the Trustee as Outstanding for the purpose of such selection.</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t>Section 11.4 Notice of Redemption.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Notice of redemption shall be given by first-class mail, postage prepaid, mailed not fewer than 30 nor more than 60 days prior to the Redemption Date, unless a shorter period is specified in the Securities to be redeemed, to each Holder of Securities to be redeemed, at its address appearing in the Security Register.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560" w:hanging="255"/>
        <w:spacing w:after="0"/>
        <w:tabs>
          <w:tab w:leader="none" w:pos="15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Redemption Price (including accrued interest, if any),</w:t>
      </w:r>
    </w:p>
    <w:p>
      <w:pPr>
        <w:spacing w:after="0" w:line="225" w:lineRule="exact"/>
        <w:rPr>
          <w:rFonts w:ascii="Arial" w:cs="Arial" w:eastAsia="Arial" w:hAnsi="Arial"/>
          <w:sz w:val="18"/>
          <w:szCs w:val="18"/>
          <w:color w:val="auto"/>
        </w:rPr>
      </w:pPr>
    </w:p>
    <w:p>
      <w:pPr>
        <w:jc w:val="both"/>
        <w:ind w:left="660" w:firstLine="645"/>
        <w:spacing w:after="0" w:line="259" w:lineRule="auto"/>
        <w:tabs>
          <w:tab w:leader="none" w:pos="157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86" w:lineRule="exact"/>
        <w:rPr>
          <w:rFonts w:ascii="Arial" w:cs="Arial" w:eastAsia="Arial" w:hAnsi="Arial"/>
          <w:sz w:val="18"/>
          <w:szCs w:val="18"/>
          <w:color w:val="auto"/>
        </w:rPr>
      </w:pPr>
    </w:p>
    <w:p>
      <w:pPr>
        <w:jc w:val="both"/>
        <w:ind w:left="660" w:firstLine="645"/>
        <w:spacing w:after="0" w:line="264" w:lineRule="auto"/>
        <w:tabs>
          <w:tab w:leader="none" w:pos="157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that on and after the Redemption Date, upon surrender of such Security, the Holder of such Security will receive, without charge, a new Security or Securities of authorized denominations for the principal amount thereof remaining unredeemed,</w:t>
      </w:r>
    </w:p>
    <w:p>
      <w:pPr>
        <w:spacing w:after="0" w:line="181" w:lineRule="exact"/>
        <w:rPr>
          <w:rFonts w:ascii="Arial" w:cs="Arial" w:eastAsia="Arial" w:hAnsi="Arial"/>
          <w:sz w:val="18"/>
          <w:szCs w:val="18"/>
          <w:color w:val="auto"/>
        </w:rPr>
      </w:pPr>
    </w:p>
    <w:p>
      <w:pPr>
        <w:ind w:left="660" w:right="20" w:firstLine="645"/>
        <w:spacing w:after="0" w:line="277" w:lineRule="auto"/>
        <w:tabs>
          <w:tab w:leader="none" w:pos="159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w:t>
      </w:r>
    </w:p>
    <w:p>
      <w:pPr>
        <w:spacing w:after="0" w:line="225" w:lineRule="exact"/>
        <w:rPr>
          <w:rFonts w:ascii="Arial" w:cs="Arial" w:eastAsia="Arial" w:hAnsi="Arial"/>
          <w:sz w:val="18"/>
          <w:szCs w:val="18"/>
          <w:color w:val="auto"/>
        </w:rPr>
      </w:pPr>
    </w:p>
    <w:p>
      <w:pPr>
        <w:ind w:left="660" w:firstLine="645"/>
        <w:spacing w:after="0" w:line="342" w:lineRule="auto"/>
        <w:tabs>
          <w:tab w:leader="none" w:pos="1581"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if applicable, the conversion price or conversion rate, as the case may be, the date on which the right to convert the principal of the Securities or the portions thereof to be redeemed will terminate, and the place or places where such Securities may be surrendered for conversion,</w:t>
      </w:r>
    </w:p>
    <w:p>
      <w:pPr>
        <w:spacing w:after="0" w:line="123" w:lineRule="exact"/>
        <w:rPr>
          <w:rFonts w:ascii="Arial" w:cs="Arial" w:eastAsia="Arial" w:hAnsi="Arial"/>
          <w:sz w:val="16"/>
          <w:szCs w:val="16"/>
          <w:color w:val="auto"/>
        </w:rPr>
      </w:pPr>
    </w:p>
    <w:p>
      <w:pPr>
        <w:ind w:left="1560" w:hanging="255"/>
        <w:spacing w:after="0"/>
        <w:tabs>
          <w:tab w:leader="none" w:pos="15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CUSIP number or numbers and/or common codes of the Security being redeemed.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Deposit of Redemption Price.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or prior to any Redemption Date, the Company shall deposit with the Trustee or with a Paying Agent (or, if the Company is acting as its own Paying Agent, segregate and hold in trust as provided in Section 10.3) an amount of money sufficient to pay the Redemption Price of, and (except if the Redemption Date shall be an Interest Payment Date) accrued interest on, all the Securities which are to be redeemed on that date.</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Security called for redemption is converted, any money deposited with the Trustee or with a Paying Agent or so segregated and held in trust for the redemption of such Security shall (subject to the right of any Holder of such Security to receive interest as provided in the last paragraph of Section 3.7) be paid to the Company on Company Request, or if then held by the Company, shall be discharged from such trust.</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Section 11.6 Securities Payable on Redemption Date.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otherwise specified as contemplated by Section 3.1,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3.7.</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11.7 Securities Redeemed in Part.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Applicability of Article.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any series except as otherwise specified as contemplated by Section 3.1 for such Securities.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12.2. Each sinking fund payment shall be applied to the redemption of Securities as provided for by the terms of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 Satisfaction of Sinking Fund Payments with Securities.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Section 12.3 Redemption of Securities for Sinking Fund.</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 fewer than 60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12.2 and will also deliver to the Trustee any Securities to be so delivered. Not fewer than 30 days prior to each such sinking fund payment date, the Trustee shall select the Securities to be redeemed upon such sinking fund payment date in the manner specified in Section 11.3 and cause notice of the redemption thereof to be given in the name of and at the expense of the Company in the manner provided in Section 11.4. Such notice having been duly given, the redemption of such Securities shall be made upon the terms and in the manner stated in Sections 11.6 and 11.7.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DEFEASANCE AND COVENANT DEFEASANCE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13.1 Company’s Option to Effect Defeasance or Covenant Defeasance.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may elect, at its option at any time, to have Section 13.2 or Section 13.3 applied to any Securities or any series of Securities, as the case may be, designated pursuant to Section 3.1 as being defeasible pursuant to such Section 13.2 or 13.3, in accordance with any applicable requirements provided pursuant to Section 3.1 and upon compliance with the conditions set forth below in this Article. Any such election shall be evidenced by a Board Resolution or in another manner specified as contemplated by Section 3.1 for such Securities.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13.2 Defeasance and Discharge.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the Company’s exercise of its option (if any) to have this Section applied to any Securities or any series of Securities, as the case may be, the Company shall be deemed to have been discharged from its obligations, and the provisions of Article 15 shall cease to be effective, with respect to such Securities as provided in this Section on and after the date the conditions set forth in Section 13.4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w:t>
      </w:r>
    </w:p>
    <w:p>
      <w:pPr>
        <w:spacing w:after="0" w:line="189" w:lineRule="exact"/>
        <w:rPr>
          <w:sz w:val="20"/>
          <w:szCs w:val="20"/>
          <w:color w:val="auto"/>
        </w:rPr>
      </w:pPr>
    </w:p>
    <w:p>
      <w:pPr>
        <w:ind w:left="660" w:firstLine="645"/>
        <w:spacing w:after="0" w:line="277" w:lineRule="auto"/>
        <w:tabs>
          <w:tab w:leader="none" w:pos="156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rights of Holders of such Securities to receive, solely from the trust fund described in Section 13.4 and as more fully set forth in such Section, payments in respect of the principal of and any premium and interest on such Securities when payments are due,</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Company’s obligations with respect to such Securities under Sections 3.4, 3.5, 3.6, 10.2 and 10.3, and, if applicable, Article 14,</w:t>
      </w:r>
    </w:p>
    <w:p>
      <w:pPr>
        <w:spacing w:after="0" w:line="236" w:lineRule="exact"/>
        <w:rPr>
          <w:rFonts w:ascii="Arial" w:cs="Arial" w:eastAsia="Arial" w:hAnsi="Arial"/>
          <w:sz w:val="17"/>
          <w:szCs w:val="17"/>
          <w:color w:val="auto"/>
        </w:rPr>
      </w:pPr>
    </w:p>
    <w:p>
      <w:pPr>
        <w:ind w:left="1560" w:hanging="255"/>
        <w:spacing w:after="0"/>
        <w:tabs>
          <w:tab w:leader="none" w:pos="15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this Article.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Subject to compliance with this Article, the Company may exercise its option (if any) to have this Section applied to any Securities notwithstanding the prior exercise of its option (if any) to have Section 13.3 applied to such Securities.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Section 13.3 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Upon the Company’s exercise of its option (if any) to have this Section applied to any Securities or any series of Securities, as the case maybe,</w:t>
      </w:r>
    </w:p>
    <w:p>
      <w:pPr>
        <w:spacing w:after="0" w:line="237" w:lineRule="exact"/>
        <w:rPr>
          <w:sz w:val="20"/>
          <w:szCs w:val="20"/>
          <w:color w:val="auto"/>
        </w:rPr>
      </w:pPr>
    </w:p>
    <w:p>
      <w:pPr>
        <w:ind w:left="660" w:firstLine="645"/>
        <w:spacing w:after="0" w:line="277" w:lineRule="auto"/>
        <w:tabs>
          <w:tab w:leader="none" w:pos="158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shall be released from its obligations under Sections 10.6 and 10.7 and any covenants provided pursuant to Sections 3.1(19), 9.1(2) or 9.1(7) for the benefit of the Holders of such Securities,</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6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occurrence of any event specified in Sections 5.1(4) (with respect to any of Sections 10.6 and 10.7 and any such covenants provided pursuant to Section 3.1(19), 9.1(2) or 9.1(7)) and the occurrence of any Event of Default specified pursuant to Section 3.1, shall be deemed not to be or result in an Event of Default, and</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provisions of Article 15 shall cease to be effective,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each case with respect to such Securities or series of Securities as provided in this Section on and after the date the conditions set forth in Section 13.4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5.1(4) and the occurrence of any Event of Default specified pursuant to Section 3.1) or Article 15,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13.4 Conditions to Defeasance or 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shall be the conditions to the application of Section 13.2 or Section 13.3 to any Securities or any series of Securities, as the case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211" w:lineRule="exact"/>
        <w:rPr>
          <w:sz w:val="20"/>
          <w:szCs w:val="20"/>
          <w:color w:val="auto"/>
        </w:rPr>
      </w:pPr>
    </w:p>
    <w:p>
      <w:pPr>
        <w:jc w:val="both"/>
        <w:ind w:left="660" w:firstLine="645"/>
        <w:spacing w:after="0" w:line="259" w:lineRule="auto"/>
        <w:tabs>
          <w:tab w:leader="none" w:pos="159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 shall irrevocably have deposited or caused to be deposited with the Trustee (or another trustee which satisfies the requirements contemplated by Section 6.9 and agrees to comply with the provisions of this Article applicable to it) as trust funds in trust for the purpose of making the following payments, specifically pledged as security for, and dedicated solely to, the benefits of the Holders of such Securities,</w:t>
      </w:r>
    </w:p>
    <w:p>
      <w:pPr>
        <w:spacing w:after="0" w:line="186" w:lineRule="exact"/>
        <w:rPr>
          <w:rFonts w:ascii="Arial" w:cs="Arial" w:eastAsia="Arial" w:hAnsi="Arial"/>
          <w:sz w:val="18"/>
          <w:szCs w:val="18"/>
          <w:color w:val="auto"/>
        </w:rPr>
      </w:pPr>
    </w:p>
    <w:p>
      <w:pPr>
        <w:ind w:left="1920" w:hanging="291"/>
        <w:spacing w:after="0"/>
        <w:tabs>
          <w:tab w:leader="none" w:pos="19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of the United States of America,</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cash in currency of the United States of America in an amount, or</w:t>
      </w:r>
    </w:p>
    <w:p>
      <w:pPr>
        <w:spacing w:after="0" w:line="225" w:lineRule="exact"/>
        <w:rPr>
          <w:rFonts w:ascii="Arial" w:cs="Arial" w:eastAsia="Arial" w:hAnsi="Arial"/>
          <w:sz w:val="18"/>
          <w:szCs w:val="18"/>
          <w:color w:val="auto"/>
        </w:rPr>
      </w:pPr>
    </w:p>
    <w:p>
      <w:pPr>
        <w:ind w:left="1300" w:right="20" w:firstLine="653"/>
        <w:spacing w:after="0" w:line="277" w:lineRule="auto"/>
        <w:tabs>
          <w:tab w:leader="none" w:pos="2223" w:val="left"/>
        </w:tabs>
        <w:numPr>
          <w:ilvl w:val="2"/>
          <w:numId w:val="115"/>
        </w:numPr>
        <w:rPr>
          <w:rFonts w:ascii="Arial" w:cs="Arial" w:eastAsia="Arial" w:hAnsi="Arial"/>
          <w:sz w:val="18"/>
          <w:szCs w:val="18"/>
          <w:color w:val="auto"/>
        </w:rPr>
      </w:pPr>
      <w:r>
        <w:rPr>
          <w:rFonts w:ascii="Arial" w:cs="Arial" w:eastAsia="Arial" w:hAnsi="Arial"/>
          <w:sz w:val="18"/>
          <w:szCs w:val="18"/>
          <w:color w:val="auto"/>
        </w:rPr>
        <w:t>U.S. Government Obligations which through the scheduled payment of principal and interest in respect thereof in accordance with their terms will provide, not later than one day before the due date of any payment, an amount in cash, or</w:t>
      </w:r>
    </w:p>
    <w:p>
      <w:pPr>
        <w:spacing w:after="0" w:line="170" w:lineRule="exact"/>
        <w:rPr>
          <w:rFonts w:ascii="Arial" w:cs="Arial" w:eastAsia="Arial" w:hAnsi="Arial"/>
          <w:sz w:val="18"/>
          <w:szCs w:val="18"/>
          <w:color w:val="auto"/>
        </w:rPr>
      </w:pPr>
    </w:p>
    <w:p>
      <w:pPr>
        <w:ind w:left="2260" w:hanging="307"/>
        <w:spacing w:after="0"/>
        <w:tabs>
          <w:tab w:leader="none" w:pos="226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a combination thereof, or</w:t>
      </w:r>
    </w:p>
    <w:p>
      <w:pPr>
        <w:spacing w:after="0" w:line="225" w:lineRule="exact"/>
        <w:rPr>
          <w:rFonts w:ascii="Arial" w:cs="Arial" w:eastAsia="Arial" w:hAnsi="Arial"/>
          <w:sz w:val="18"/>
          <w:szCs w:val="18"/>
          <w:color w:val="auto"/>
        </w:rPr>
      </w:pPr>
    </w:p>
    <w:p>
      <w:pPr>
        <w:ind w:left="1920" w:hanging="291"/>
        <w:spacing w:after="0"/>
        <w:tabs>
          <w:tab w:leader="none" w:pos="19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other than that of the United States of America,</w:t>
      </w:r>
    </w:p>
    <w:p>
      <w:pPr>
        <w:spacing w:after="0" w:line="225" w:lineRule="exact"/>
        <w:rPr>
          <w:rFonts w:ascii="Arial" w:cs="Arial" w:eastAsia="Arial" w:hAnsi="Arial"/>
          <w:sz w:val="18"/>
          <w:szCs w:val="18"/>
          <w:color w:val="auto"/>
        </w:rPr>
      </w:pPr>
    </w:p>
    <w:p>
      <w:pPr>
        <w:ind w:left="2160" w:hanging="207"/>
        <w:spacing w:after="0"/>
        <w:tabs>
          <w:tab w:leader="none" w:pos="216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cash in the currency in which such series of Securities is denominated in an amount, or</w:t>
      </w:r>
    </w:p>
    <w:p>
      <w:pPr>
        <w:spacing w:after="0" w:line="225" w:lineRule="exact"/>
        <w:rPr>
          <w:rFonts w:ascii="Arial" w:cs="Arial" w:eastAsia="Arial" w:hAnsi="Arial"/>
          <w:sz w:val="18"/>
          <w:szCs w:val="18"/>
          <w:color w:val="auto"/>
        </w:rPr>
      </w:pPr>
    </w:p>
    <w:p>
      <w:pPr>
        <w:ind w:left="1300" w:firstLine="653"/>
        <w:spacing w:after="0" w:line="277" w:lineRule="auto"/>
        <w:tabs>
          <w:tab w:leader="none" w:pos="2262" w:val="left"/>
        </w:tabs>
        <w:numPr>
          <w:ilvl w:val="2"/>
          <w:numId w:val="115"/>
        </w:numPr>
        <w:rPr>
          <w:rFonts w:ascii="Arial" w:cs="Arial" w:eastAsia="Arial" w:hAnsi="Arial"/>
          <w:sz w:val="18"/>
          <w:szCs w:val="18"/>
          <w:color w:val="auto"/>
        </w:rPr>
      </w:pPr>
      <w:r>
        <w:rPr>
          <w:rFonts w:ascii="Arial" w:cs="Arial" w:eastAsia="Arial" w:hAnsi="Arial"/>
          <w:sz w:val="18"/>
          <w:szCs w:val="18"/>
          <w:color w:val="auto"/>
        </w:rPr>
        <w:t>Foreign Government Obligations which through the scheduled payment of principal and interest in respect thereof in accordance with their terms will provide, not later than one day before the due date of any payment, an amount in cash, or</w:t>
      </w:r>
    </w:p>
    <w:p>
      <w:pPr>
        <w:spacing w:after="0" w:line="170" w:lineRule="exact"/>
        <w:rPr>
          <w:rFonts w:ascii="Arial" w:cs="Arial" w:eastAsia="Arial" w:hAnsi="Arial"/>
          <w:sz w:val="18"/>
          <w:szCs w:val="18"/>
          <w:color w:val="auto"/>
        </w:rPr>
      </w:pPr>
    </w:p>
    <w:p>
      <w:pPr>
        <w:ind w:left="2260" w:hanging="307"/>
        <w:spacing w:after="0"/>
        <w:tabs>
          <w:tab w:leader="none" w:pos="226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a combination thereof,</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7" w:name="page148"/>
    <w:bookmarkEnd w:id="147"/>
    <w:p>
      <w:pPr>
        <w:jc w:val="both"/>
        <w:spacing w:after="0" w:line="312" w:lineRule="auto"/>
        <w:rPr>
          <w:sz w:val="20"/>
          <w:szCs w:val="20"/>
          <w:color w:val="auto"/>
        </w:rPr>
      </w:pPr>
      <w:r>
        <w:rPr>
          <w:rFonts w:ascii="Arial" w:cs="Arial" w:eastAsia="Arial" w:hAnsi="Arial"/>
          <w:sz w:val="16"/>
          <w:szCs w:val="16"/>
          <w:color w:val="auto"/>
        </w:rPr>
        <w:t>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w:t>
      </w:r>
    </w:p>
    <w:p>
      <w:pPr>
        <w:spacing w:after="0" w:line="147" w:lineRule="exact"/>
        <w:rPr>
          <w:sz w:val="20"/>
          <w:szCs w:val="20"/>
          <w:color w:val="auto"/>
        </w:rPr>
      </w:pPr>
    </w:p>
    <w:p>
      <w:pPr>
        <w:ind w:left="660" w:firstLine="645"/>
        <w:spacing w:after="0" w:line="277" w:lineRule="auto"/>
        <w:tabs>
          <w:tab w:leader="none" w:pos="156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event of an election to have Section 13.2 apply to any Securities or any series of Securities, as the case may be, the Company shall have delivered to the Trustee an Opinion of Counsel stating that</w:t>
      </w:r>
    </w:p>
    <w:p>
      <w:pPr>
        <w:spacing w:after="0" w:line="170" w:lineRule="exact"/>
        <w:rPr>
          <w:rFonts w:ascii="Arial" w:cs="Arial" w:eastAsia="Arial" w:hAnsi="Arial"/>
          <w:sz w:val="18"/>
          <w:szCs w:val="18"/>
          <w:color w:val="auto"/>
        </w:rPr>
      </w:pPr>
    </w:p>
    <w:p>
      <w:pPr>
        <w:ind w:left="1920" w:hanging="291"/>
        <w:spacing w:after="0"/>
        <w:tabs>
          <w:tab w:leader="none" w:pos="19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225" w:lineRule="exact"/>
        <w:rPr>
          <w:rFonts w:ascii="Arial" w:cs="Arial" w:eastAsia="Arial" w:hAnsi="Arial"/>
          <w:sz w:val="18"/>
          <w:szCs w:val="18"/>
          <w:color w:val="auto"/>
        </w:rPr>
      </w:pPr>
    </w:p>
    <w:p>
      <w:pPr>
        <w:ind w:left="1920" w:hanging="291"/>
        <w:spacing w:after="0"/>
        <w:tabs>
          <w:tab w:leader="none" w:pos="19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since the date of this instrument, there has been a change in the applicable Federal income tax law,</w:t>
      </w:r>
    </w:p>
    <w:p>
      <w:pPr>
        <w:spacing w:after="0" w:line="225" w:lineRule="exact"/>
        <w:rPr>
          <w:rFonts w:ascii="Arial" w:cs="Arial" w:eastAsia="Arial" w:hAnsi="Arial"/>
          <w:sz w:val="18"/>
          <w:szCs w:val="18"/>
          <w:color w:val="auto"/>
        </w:rPr>
      </w:pPr>
    </w:p>
    <w:p>
      <w:pPr>
        <w:jc w:val="both"/>
        <w:ind w:left="980" w:firstLine="649"/>
        <w:spacing w:after="0" w:line="259" w:lineRule="auto"/>
        <w:tabs>
          <w:tab w:leader="none" w:pos="191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86" w:lineRule="exact"/>
        <w:rPr>
          <w:rFonts w:ascii="Arial" w:cs="Arial" w:eastAsia="Arial" w:hAnsi="Arial"/>
          <w:sz w:val="18"/>
          <w:szCs w:val="18"/>
          <w:color w:val="auto"/>
        </w:rPr>
      </w:pPr>
    </w:p>
    <w:p>
      <w:pPr>
        <w:jc w:val="both"/>
        <w:ind w:left="660" w:firstLine="645"/>
        <w:spacing w:after="0" w:line="257" w:lineRule="auto"/>
        <w:tabs>
          <w:tab w:leader="none" w:pos="156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event of an election to have Section 13.3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88" w:lineRule="exact"/>
        <w:rPr>
          <w:rFonts w:ascii="Arial" w:cs="Arial" w:eastAsia="Arial" w:hAnsi="Arial"/>
          <w:sz w:val="18"/>
          <w:szCs w:val="18"/>
          <w:color w:val="auto"/>
        </w:rPr>
      </w:pPr>
    </w:p>
    <w:p>
      <w:pPr>
        <w:ind w:left="660" w:firstLine="645"/>
        <w:spacing w:after="0" w:line="277" w:lineRule="auto"/>
        <w:tabs>
          <w:tab w:leader="none" w:pos="159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70" w:lineRule="exact"/>
        <w:rPr>
          <w:rFonts w:ascii="Arial" w:cs="Arial" w:eastAsia="Arial" w:hAnsi="Arial"/>
          <w:sz w:val="18"/>
          <w:szCs w:val="18"/>
          <w:color w:val="auto"/>
        </w:rPr>
      </w:pPr>
    </w:p>
    <w:p>
      <w:pPr>
        <w:jc w:val="both"/>
        <w:ind w:left="660" w:firstLine="645"/>
        <w:spacing w:after="0" w:line="291" w:lineRule="auto"/>
        <w:tabs>
          <w:tab w:leader="none" w:pos="157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5.1(5) and</w:t>
      </w:r>
    </w:p>
    <w:p>
      <w:pPr>
        <w:ind w:left="660"/>
        <w:spacing w:after="0" w:line="261" w:lineRule="auto"/>
        <w:rPr>
          <w:rFonts w:ascii="Arial" w:cs="Arial" w:eastAsia="Arial" w:hAnsi="Arial"/>
          <w:sz w:val="16"/>
          <w:szCs w:val="16"/>
          <w:color w:val="auto"/>
        </w:rPr>
      </w:pPr>
      <w:r>
        <w:rPr>
          <w:rFonts w:ascii="Arial" w:cs="Arial" w:eastAsia="Arial" w:hAnsi="Arial"/>
          <w:sz w:val="18"/>
          <w:szCs w:val="18"/>
          <w:color w:val="auto"/>
        </w:rPr>
        <w:t>(6), at any time on or prior to the 90th day after the date of such deposit (it being understood that this condition shall not be deemed satisfied until after such 90th day).</w:t>
      </w:r>
    </w:p>
    <w:p>
      <w:pPr>
        <w:spacing w:after="0" w:line="183" w:lineRule="exact"/>
        <w:rPr>
          <w:rFonts w:ascii="Arial" w:cs="Arial" w:eastAsia="Arial" w:hAnsi="Arial"/>
          <w:sz w:val="16"/>
          <w:szCs w:val="16"/>
          <w:color w:val="auto"/>
        </w:rPr>
      </w:pPr>
    </w:p>
    <w:p>
      <w:pPr>
        <w:ind w:left="660" w:firstLine="645"/>
        <w:spacing w:after="0" w:line="277" w:lineRule="auto"/>
        <w:tabs>
          <w:tab w:leader="none" w:pos="15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56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agreement or instrument to which the Company is a party or by which it is bound.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8" w:name="page149"/>
    <w:bookmarkEnd w:id="148"/>
    <w:p>
      <w:pPr>
        <w:ind w:left="660" w:firstLine="645"/>
        <w:spacing w:after="0" w:line="342" w:lineRule="auto"/>
        <w:tabs>
          <w:tab w:leader="none" w:pos="15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123" w:lineRule="exact"/>
        <w:rPr>
          <w:rFonts w:ascii="Arial" w:cs="Arial" w:eastAsia="Arial" w:hAnsi="Arial"/>
          <w:sz w:val="16"/>
          <w:szCs w:val="16"/>
          <w:color w:val="auto"/>
        </w:rPr>
      </w:pPr>
    </w:p>
    <w:p>
      <w:pPr>
        <w:ind w:left="1560" w:hanging="255"/>
        <w:spacing w:after="0"/>
        <w:tabs>
          <w:tab w:leader="none" w:pos="15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At the time of such deposit,</w:t>
      </w:r>
    </w:p>
    <w:p>
      <w:pPr>
        <w:spacing w:after="0" w:line="225" w:lineRule="exact"/>
        <w:rPr>
          <w:rFonts w:ascii="Arial" w:cs="Arial" w:eastAsia="Arial" w:hAnsi="Arial"/>
          <w:sz w:val="18"/>
          <w:szCs w:val="18"/>
          <w:color w:val="auto"/>
        </w:rPr>
      </w:pPr>
    </w:p>
    <w:p>
      <w:pPr>
        <w:ind w:left="1920" w:hanging="291"/>
        <w:spacing w:after="0"/>
        <w:tabs>
          <w:tab w:leader="none" w:pos="192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no default in the payment of any principal of or premium or interest on any Senior Debt shall have occurred and be continuing,</w:t>
      </w:r>
    </w:p>
    <w:p>
      <w:pPr>
        <w:spacing w:after="0" w:line="236" w:lineRule="exact"/>
        <w:rPr>
          <w:rFonts w:ascii="Arial" w:cs="Arial" w:eastAsia="Arial" w:hAnsi="Arial"/>
          <w:sz w:val="17"/>
          <w:szCs w:val="17"/>
          <w:color w:val="auto"/>
        </w:rPr>
      </w:pPr>
    </w:p>
    <w:p>
      <w:pPr>
        <w:jc w:val="both"/>
        <w:ind w:left="980" w:firstLine="649"/>
        <w:spacing w:after="0" w:line="264" w:lineRule="auto"/>
        <w:tabs>
          <w:tab w:leader="none" w:pos="191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no event of default with respect to any Senior Debt shall have resulted in such Senior Debt becoming, and continuing to be, due and payable prior to the date on which it would otherwise have become due and payable (unless payment of such Senior Debt has been made or duly provided for), and</w:t>
      </w:r>
    </w:p>
    <w:p>
      <w:pPr>
        <w:spacing w:after="0" w:line="181" w:lineRule="exact"/>
        <w:rPr>
          <w:rFonts w:ascii="Arial" w:cs="Arial" w:eastAsia="Arial" w:hAnsi="Arial"/>
          <w:sz w:val="18"/>
          <w:szCs w:val="18"/>
          <w:color w:val="auto"/>
        </w:rPr>
      </w:pPr>
    </w:p>
    <w:p>
      <w:pPr>
        <w:jc w:val="both"/>
        <w:ind w:left="980" w:firstLine="649"/>
        <w:spacing w:after="0" w:line="264" w:lineRule="auto"/>
        <w:tabs>
          <w:tab w:leader="none" w:pos="191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no other event of default with respect to any Senior Debt shall have occurred and be continuing permitting (after notice or lapse of time or both) the holders of such Senior Debt (or a trustee on behalf of such holders) to declare such Senior Debt due and payable prior to the date on which it would otherwise have become due and payable.</w:t>
      </w:r>
    </w:p>
    <w:p>
      <w:pPr>
        <w:spacing w:after="0" w:line="181" w:lineRule="exact"/>
        <w:rPr>
          <w:rFonts w:ascii="Arial" w:cs="Arial" w:eastAsia="Arial" w:hAnsi="Arial"/>
          <w:sz w:val="18"/>
          <w:szCs w:val="18"/>
          <w:color w:val="auto"/>
        </w:rPr>
      </w:pPr>
    </w:p>
    <w:p>
      <w:pPr>
        <w:ind w:left="660" w:firstLine="645"/>
        <w:spacing w:after="0" w:line="277" w:lineRule="auto"/>
        <w:tabs>
          <w:tab w:leader="none" w:pos="166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13.5 Deposited Money, U.S. Government Obligations and Foreign Government Obligations to be Held in Trust; Miscellaneous Provisions.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Subject to the provisions of the last paragraph of Section 10.3, all money, U.S. Government Obligations and Foreign Government Obligations (including the proceeds thereof) deposited with the Trustee or other qualifying trustee (solely for purposes of this Section and Section 13.6, the Trustee and any such other trustee are referred to collectively as the “Trustee”) pursuant to Section 13.4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Money, U.S. Government Obligations and Foreign Government Obligations so held in trust shall not be subject to the provisions of Article 15.</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U.S. Government Obligations or Foreign Government Obligations deposited pursuant to Section 13.4 or the principal and interest received in respect thereof other than any such tax, fee or other charge which by law is for the account of the Holders of Outstanding Securities.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Anything in this Article to the contrary notwithstanding, the Trustee shall deliver or pay to the Company from time to time upon Company Request any money, U.S. Government Obligations or Foreign Government Obligations held by it as provided in Section 13.4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13.6 Reinstatement.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13.2 or 13.3 shall be revived and reinstated as though no deposit had occurred pursuant to this Article with respect to such Securities, until such time as the Trustee or Paying Agent is permitted to apply all money held in trust pursuant to Section 13.5 with respect to such Securities in accordance with this Article;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 Applicability of Article.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provisions of this Article shall be applicable to the Securities of any series which are convertible into shares of Common Stock of the Company, and the issuance of such shares of Common Stock upon the conversion of such Securities, except as otherwise specified as contemplated by Section 3.1 for the Securities of such series.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14.2 Exercise of Conversion Privilege.</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order to exercise a conversion privilege, the Holder of a Security of a series with such a privilege shall surrender such Security to the Company at the office or agency maintained for that purpose pursuant to Section 10.2, accompanied by a duly executed conversion notice to the Company substantially in the form set forth in Section 2.6 stating that the Holder elects to convert such Security or a specified portion thereof. Such notice shall also state, if different from the name and address of such Holder, the name or names (with address) in which the certificate or certificates for shares of Common Stock, which shall be issuable on such conversion, shall be issued. Securities surrendered for conversion shall (if so required by the Company or the Trustee) be duly endorsed by or accompanied by instruments of transfer in forms satisfactory to the Company and the Trustee duly executed by the Holder or its attorney duly authorized in writing; and Securities so surrendered for conversion (in whole or in part) during the period from the close of business on any Regular Record Date to the opening of business on the next succeeding Interest Payment Date (excluding Securities or portions thereof called for redemption during the period beginning at the close of business on a Regular Record Date and ending at the opening of business on the first Business Day after the next succeeding Interest Payment Date, or if such Interest Payment Date is not a Business Day, the second such Business Day) shall also be accompanied by payment in funds acceptable to the Company of an amount equal to the interest payable on such Interest Payment Date on the principal amount of such Security then being converted, and such interest shall be payable to such Holder notwithstanding the conversion of such Security, subject to the provisions of Section 3.7 relating to the payment of Defaulted Interest by the Company. As promptly as practicable after the receipt of such notice and of any payment required pursuant to a Board Resolution and, subject to Section 3.3, set forth, or determined in the manner provided, in an Officers’ Certificate, or established in one or more indentures supplemental hereto setting forth the terms of such series of Security, and the surrender of such Security in accordance with such reasonable regulations as the Company may prescribe, the Company shall issue and shall deliver, at the office or agency at which such Security is surrendered, to such Holder or on its written order, a certificate or certificates for the number of full shares of Common Stock issuable upon the conversion of such Security (or specified portion thereof), in accordance with the provisions of such Board Resolution, Officers’ Certificate or supplemental indenture, and cash as provided therein in respect of any fractional share of such Common Stock otherwise issuable upon such conversion. Such conversion shall be deemed to have been effected immediately prior to the close of business on the date on which such notice and such payment, if required, shall have been received in proper order for conversion by the Company and such Security shall have been surrendered as aforesaid (unless such Holder shall have so surrendered such Security and shall have instructed the Company to effect the conversion on a particular date following such surrender and such Holder shall be entitled to convert such Security on such date, in which case such conversion shall be deemed to be effected immediately prior to the close of business on such date) and at such time the rights of the Holder of such Security as such Security Holder shall cease and the person or persons in whose name or names any certificate or certificates for shares of Common Stock of the Company shall be issuable upon such conversion shall be deemed to have become the Holder or Holders of record of the shares represented thereby. Except as set forth above and subject to the final paragraph of Section 3.7, no payment or adjustment shall be made upon any conversion on account of any interest accrued on the Securities (or any part thereof) surrendered for conversion or on account of any dividends on the Common Stock of the Company issued upon such conversion.</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0" w:name="page151"/>
    <w:bookmarkEnd w:id="150"/>
    <w:p>
      <w:pPr>
        <w:jc w:val="both"/>
        <w:ind w:firstLine="648"/>
        <w:spacing w:after="0" w:line="264" w:lineRule="auto"/>
        <w:rPr>
          <w:sz w:val="20"/>
          <w:szCs w:val="20"/>
          <w:color w:val="auto"/>
        </w:rPr>
      </w:pPr>
      <w:r>
        <w:rPr>
          <w:rFonts w:ascii="Arial" w:cs="Arial" w:eastAsia="Arial" w:hAnsi="Arial"/>
          <w:sz w:val="18"/>
          <w:szCs w:val="18"/>
          <w:color w:val="auto"/>
        </w:rPr>
        <w:t>In the case of any Security which is converted in part only, upon such conversion the Company shall execute and the Trustee shall authenticate and deliver to or on the order of the Holder thereof, at the expense of the Company, a new Security or Securities of the same series, of authorized denominations, in aggregate principal amount equal to the unconverted portion of such Security.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14.3 No Fractional Shares.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No fractional share of Common Stock of the Company shall be issued upon conversions of Securities of any series. If more than one Security shall be surrendered for conversion at one time by the same Holder, the number of full shares which shall be issuable upon conversion shall be computed on the basis of the aggregate principal amount of the Securities (or specified portions thereof to the extent permitted hereby) so surrendered. If, except for the provisions of this Section 14.3, any Holder of a Security or Securities would be entitled to a fractional share of Common Stock of the Company upon the conversion of such Security or Securities, or specified portions thereof, the Company shall pay to such Holder an amount in cash equal to the current market value of such fractional share computed, (i) if such Common Stock is listed or admitted to unlisted trading privileges on a national securities exchange or market, on the basis of the last reported sale price regular way on such exchange or market on the last trading day prior to the date of conversion upon which such a sale shall have been effected, or (ii) if such Common Stock is not at the time so listed or admitted to unlisted trading privileges on a national securities exchange or market, on the basis of the average of the bid and asked prices of such Common Stock in the over-the-counter market, on the last trading day prior to the date of conversion, as reported by the National Quotation Bureau, Incorporated or similar organization if the National Quotation Bureau, Incorporated is no longer reporting such information, or if not so available, the fair market price as determined by the Board of Directors. For purposes of this Section, “trading day” shall mean each Monday, Tuesday, Wednesday, Thursday and Friday other than any day on which the Common Stock is not traded on the principal exchange or market on which the Common Stock is then traded or quoted.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14.4 Adjustment of Conversion Price or Conversion Rate.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conversion price or conversion rate, as the case may be, of Securities of any series that is convertible into Common Stock of the Company shall be adjusted for any stock dividends, stock splits, reclassifications, combinations or similar transactions in accordance with the terms of the supplemental indenture or Board Resolutions setting forth the terms of the Securities of such series.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Whenever the conversion price or conversion rate, as the case may be, is adjusted, the Company shall compute the adjusted conversion price or conversion rate, as the case may be, in accordance with terms of the applicable Board Resolution or supplemental indenture and shall prepare an Officers’ Certificate setting forth the adjusted conversion price or conversion rate, as the case may be, and showing in reasonable detail the facts upon which such adjustment is based, and such certificate shall forthwith be filed at each office or agency maintained for the purpose of conversion of Securities pursuant to Section 10.2 and, if different, with the Trustee. The Company shall forthwith cause a notice setting forth the adjusted conversion price or conversion rate, as the case may be, to be mailed, first class postage prepaid, to each Holder of Securities of such series at its address appearing on the Security Register and to any conversion agent other than the Trustee.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14.5 Notice of Certain Corporate 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case:</w:t>
      </w:r>
    </w:p>
    <w:p>
      <w:pPr>
        <w:spacing w:after="0" w:line="225" w:lineRule="exact"/>
        <w:rPr>
          <w:sz w:val="20"/>
          <w:szCs w:val="20"/>
          <w:color w:val="auto"/>
        </w:rPr>
      </w:pPr>
    </w:p>
    <w:p>
      <w:pPr>
        <w:jc w:val="both"/>
        <w:ind w:left="660" w:firstLine="645"/>
        <w:spacing w:after="0" w:line="264" w:lineRule="auto"/>
        <w:tabs>
          <w:tab w:leader="none" w:pos="156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shall declare a dividend (or any other distribution) on its Common Stock payable otherwise than in cash out of its retained earnings (other than a dividend for which approval of any shareholders of the Company is required) that would require an adjustment pursuant to Section 14.4; or</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1" w:name="page152"/>
    <w:bookmarkEnd w:id="151"/>
    <w:p>
      <w:pPr>
        <w:jc w:val="both"/>
        <w:ind w:left="660" w:firstLine="645"/>
        <w:spacing w:after="0" w:line="264" w:lineRule="auto"/>
        <w:tabs>
          <w:tab w:leader="none" w:pos="157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 shall authorize the granting to all or substantially all of the holders of its Common Stock of rights, options or warrants to subscribe for or purchase any shares of capital stock of any class or of any other rights (other than any such grant for which approval of any shareholders of the Company is required); or</w:t>
      </w:r>
    </w:p>
    <w:p>
      <w:pPr>
        <w:spacing w:after="0" w:line="181" w:lineRule="exact"/>
        <w:rPr>
          <w:rFonts w:ascii="Arial" w:cs="Arial" w:eastAsia="Arial" w:hAnsi="Arial"/>
          <w:sz w:val="18"/>
          <w:szCs w:val="18"/>
          <w:color w:val="auto"/>
        </w:rPr>
      </w:pPr>
    </w:p>
    <w:p>
      <w:pPr>
        <w:jc w:val="both"/>
        <w:ind w:left="660" w:firstLine="645"/>
        <w:spacing w:after="0" w:line="264" w:lineRule="auto"/>
        <w:tabs>
          <w:tab w:leader="none" w:pos="158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of any reclassification of the Common Stock of the Company (other than a subdivision or combination of its outstanding shares of Common Stock, or of any consolidation, merger or share exchange to which the Company is a party and for which approval of any shareholders of the Company is required), or of the sale of all or substantially all of the assets of the Company; or</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 up of the Company;</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then the Company shall cause to be filed with the Trustee, and shall cause to be mailed to all Holders at their last addresses as they shall appear in the Security Register, at least 20 days (or 10 days in any case specified in clause (1) or (2) above) prior to the applicable record date hereinafter specified, a notice stating</w:t>
      </w:r>
    </w:p>
    <w:p>
      <w:pPr>
        <w:jc w:val="both"/>
        <w:ind w:firstLine="8"/>
        <w:spacing w:after="0" w:line="290" w:lineRule="auto"/>
        <w:tabs>
          <w:tab w:leader="none" w:pos="21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(ii) the date on which such reclassification, consolidation, merger, share exchange, sale,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share exchange, sale, dissolution, liquidation or winding up. If at any time the Trustee shall not be the conversion agent, a copy of such notice shall also forthwith be filed by the Company with the Trustee.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14.6 Reservation of Shares of Common Stock.</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shall at all times reserve and keep available, free from preemptive rights, out of its authorized but unissued Common Stock, for the purpose of effecting the conversion of Securities, the full number of shares of Common Stock of the Company then issuable upon the conversion of all outstanding Securities of any series that has conversion rights.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14.7 Payment of Certain Taxes upon Conversion.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Except as provided in the next sentence, the Company will pay any and all taxes that may be payable in respect of the issue or delivery of shares of its Common Stock on conversion of Securities pursuant hereto. The Company shall not, however, be required to pay any tax which may be payable in respect of any transfer involved in the issue and delivery of shares of its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14.8 Nonassessability.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covenants that all shares of its Common Stock that may be issued upon conversion of Securities will upon issue in accordance with the terms hereof be duly and validly issued and fully paid and nonassessable.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Section 14.9 Provision in Case of Consolidation, Merger or Sale of Assets.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case of any consolidation or merger of the Company with or into any other Person, any merger of another Person with or into the Company (other than a merger which does not result in any reclassification, conversion, exchange or cancellation of outstanding shares of Common Stock of the Company) or any conveyance, sale, transfer or lease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of a series then Outstanding that is convertible into Common Stock of the Company shall have the right thereafter (which right shall be the exclusive conversion right thereafter available to said Holder), during the period such Security shall be convertible, to convert such Security only into the kind and amount of securities, cash and other property receivable upon such consolidation, merger, conveyance, sale, transfer or lease by a holder of the number of shares of Common Stock of the Company into which such Security might have been converted immediately prior to such consolidation, merger, conveyance, sale, transfer or lease, assuming such holder of Common Stock of the Company (i) is not a Person with which the Company consolidated or merged with or into or which merged into or with the Company or to which such conveyance, sale, transfer or lease was made, as the case may be (a “Constituent Person”), or an Affiliate of a Constituent Person and (ii) failed to exercise his rights of election, if any, as to the kind or amount of securities, cash and other property receivable upon such consolidation, merger, conveyance, sale, transfer or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kind or amount of securities, cash and other property receivable upon such consolidation, merger, conveyance, sale, transfer, or lease is not the same for each share of Common Stock of the Company held immediately prior to such consolidation, merger, conveyance, sale, transfer or lease by others than a Constituent Person or an Affiliate thereof and in respect of which such rights of election shall not have been exercised (“Non-electing Share”), then for the purpose of this Section 14.9 the kind and amount of securities, cash and other property receivable upon such consolidation, merger, conveyance, sale, transfer or lease by the holders of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or in accordance with the terms of the supplemental indenture or Board Resolutions setting forth the terms of such adjustments. The above provisions of this Section 14.9 shall similarly apply to successive consolidations, mergers, conveyances, sales, transfers or leases. Notice of the execution of such a supplemental indenture shall be given by the Company to the Holder of each Security of a series that is convertible into Common Stock of the Company as provided in Section 1.6 promptly upon such execution.</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Neither the Trustee nor any conversion agent, if any, shall be under any responsibility to determine the correctness of any provisions contained in any such supplemental indenture relating either to the kind or amount of shares of stock or other securities or property or cash receivable by Holders of Securities of a series convertible into Common Stock of the Company upon the conversion of their Securities after any such consolidation, merger, conveyance, transfer, sale or lease or to any such adjustment, but may accept as conclusive evidence of the correctness of any such provisions, and shall be protected in relying upon, an Opinion of Counsel with respect thereto, which the Company shall cause to be furnished to the Trustee upon request.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14.10 Duties of Trustee Regarding Conversion.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Neither the Trustee nor any conversion agent shall at any time be under any duty or responsibility to any Holder of Securities of any series that is convertible into Common Stock of the Company to determine whether any facts exist which may require any adjustment of the conversion price or conversion rate, as the case may be, or with respect to the nature or extent of any such adjustment when made, or with respect to the method employed, whether herein or in any supplemental indenture, any resolutions of the Board of Directors or written instrument executed by one or more officers of the Company provided to be employed in making the same. Neither the Trustee nor any conversion agent shall be accountable with respect to the validity or value (or the kind or amount) of any shares of Common Stock of the Company, or of any securities or property, which may at any time be issued or delivered upon the conversion of any Securities and neither the Trustee nor any conversion agent makes any representation with respect thereto. Subject to the provisions of Section 6.1, neither the Trustee nor any conversion agent shall be responsible for any failure of the Company to issue, transfer or deliver any shares of its Common Stock or stock certificates or other securities or property upon the surrender of any Security for the purpose of conversion or to comply with any of the covenants of the Company contained in this Article 14 or in the applicable supplemental indenture, resolutions of the Board of Directors or written instrument executed by one or more duly authorized officers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14.11 Repayment of Certain Funds upon Conversion.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funds which at any time shall have been deposited by the Company or on its behalf with the Trustee or any other paying agent for the purpose of paying the principal of, and premium, if any, and interest, if any, on any of the Securities (including, but not limited to, funds deposited for the sinking fund referred to in Article 12 hereof and funds deposited pursuant to Article 13 hereof) and which shall not be required for such purposes because of the conversion of such Securities as provided in this Article 14 shall after such conversion be repaid to the Company by the Trustee upon the Company’s written request.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SUBORDINATION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15.1 Agreement of Subordination.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as otherwise provided in a supplemental indenture or pursuant to Section 3.1, the Company covenants and agrees, and each Holder of Securities issued hereunder by its acceptance thereof likewise covenants and agrees, that all Securities shall be issued subject to the provisions of this Article 15; and each Person holding any Security, whether upon original issue or upon transfer, assignment or exchange thereof, accepts and agrees to be bound by such provisions.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payment of the principal of, premium, if any, and interest on all Securities (including, but not limited to, the redemption price with respect to the Securities called for redemption in accordance with Article 11 as provided in the Indenture) issued hereunder shall, to the extent and in the manner hereinafter set forth, be subordinated and subject in right of payment to the prior payment in full of all Senior Debt, whether outstanding at the date of this Indenture or thereafter incurred.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provision of this Article 15 shall prevent the occurrence of any default or Event of Default hereunder.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15.2 Payments to 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payment shall be made with respect to the principal of, or premium, if any, or interest on the Securities (including, but not limited to, the redemption price with respect to the Securities to be called for redemption in accordance with Article 11 as provided in the Indenture), except payments and distributions made by the Trustee as permitted by the first or second paragraph of Section 15.5, if:</w:t>
      </w:r>
    </w:p>
    <w:p>
      <w:pPr>
        <w:spacing w:after="0" w:line="181" w:lineRule="exact"/>
        <w:rPr>
          <w:sz w:val="20"/>
          <w:szCs w:val="20"/>
          <w:color w:val="auto"/>
        </w:rPr>
      </w:pPr>
    </w:p>
    <w:p>
      <w:pPr>
        <w:jc w:val="both"/>
        <w:ind w:left="1300" w:right="20" w:firstLine="653"/>
        <w:spacing w:after="0" w:line="259" w:lineRule="auto"/>
        <w:tabs>
          <w:tab w:leader="none" w:pos="217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default in the payment of principal, premium, if any, interest, rent or other obligations due on any Senior Debt occurs and is continuing (or, in the case of Senior Debt for which there is a period of grace, in the event of such a default that continues beyond the period of grace, if any, specified in the instrument or lease evidencing such Senior Debt) (a “Payment Default”), unless and until such default shall have been cured or waived or shall have ceased to exist; or</w:t>
      </w:r>
    </w:p>
    <w:p>
      <w:pPr>
        <w:spacing w:after="0" w:line="186" w:lineRule="exact"/>
        <w:rPr>
          <w:rFonts w:ascii="Arial" w:cs="Arial" w:eastAsia="Arial" w:hAnsi="Arial"/>
          <w:sz w:val="18"/>
          <w:szCs w:val="18"/>
          <w:color w:val="auto"/>
        </w:rPr>
      </w:pPr>
    </w:p>
    <w:p>
      <w:pPr>
        <w:jc w:val="both"/>
        <w:ind w:left="1300" w:right="20" w:firstLine="653"/>
        <w:spacing w:after="0" w:line="312" w:lineRule="auto"/>
        <w:tabs>
          <w:tab w:leader="none" w:pos="222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 default, other than a Payment Default, on any Designated Senior Debt occurs and is continuing that then permits holders of such Designated Senior Debt to accelerate its maturity and the Trustee receives a notice of the default (a “Payment Blockage Notice”) from a holder of Designated Senior Debt, a Representative of Designated Senior Debt or the Company (a “Non-Payment Default”).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Trustee receives any Payment Blockage Notice pursuant to clause (ii) above, no subsequent Payment Blockage Notice shall be effective for purposes of this Section unless and until at least 365 days shall have elapsed since the initial effectiveness of the immediately prior Payment Blockage Notice. No Non-Payment Default that existed or was continuing on the date of delivery of any Payment Blockage Notice to the Trustee shall be, or be made, the basis for a subsequent Payment Blockage Notice.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54" w:name="page155"/>
    <w:bookmarkEnd w:id="154"/>
    <w:p>
      <w:pPr>
        <w:ind w:left="660"/>
        <w:spacing w:after="0"/>
        <w:rPr>
          <w:sz w:val="20"/>
          <w:szCs w:val="20"/>
          <w:color w:val="auto"/>
        </w:rPr>
      </w:pPr>
      <w:r>
        <w:rPr>
          <w:rFonts w:ascii="Arial" w:cs="Arial" w:eastAsia="Arial" w:hAnsi="Arial"/>
          <w:sz w:val="18"/>
          <w:szCs w:val="18"/>
          <w:color w:val="auto"/>
        </w:rPr>
        <w:t>The Company may and shall resume payments on and distributions in respect of the Securities upon the earlier of:</w:t>
      </w:r>
    </w:p>
    <w:p>
      <w:pPr>
        <w:spacing w:after="0" w:line="225" w:lineRule="exact"/>
        <w:rPr>
          <w:sz w:val="20"/>
          <w:szCs w:val="20"/>
          <w:color w:val="auto"/>
        </w:rPr>
      </w:pPr>
    </w:p>
    <w:p>
      <w:pPr>
        <w:ind w:left="1560" w:hanging="255"/>
        <w:spacing w:after="0"/>
        <w:tabs>
          <w:tab w:leader="none" w:pos="15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the case of any Payment Default, the date upon which the Payment Default is cured or waived or ceases to exist, or</w:t>
      </w:r>
    </w:p>
    <w:p>
      <w:pPr>
        <w:spacing w:after="0" w:line="225" w:lineRule="exact"/>
        <w:rPr>
          <w:rFonts w:ascii="Arial" w:cs="Arial" w:eastAsia="Arial" w:hAnsi="Arial"/>
          <w:sz w:val="18"/>
          <w:szCs w:val="18"/>
          <w:color w:val="auto"/>
        </w:rPr>
      </w:pPr>
    </w:p>
    <w:p>
      <w:pPr>
        <w:ind w:left="660" w:firstLine="645"/>
        <w:spacing w:after="0" w:line="277" w:lineRule="auto"/>
        <w:tabs>
          <w:tab w:leader="none" w:pos="157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 the case of a Non-Payment Default, the earlier of (a) the date upon which such Non-Payment Default is cured, waived or ceases to exist or (b) 179 days after the date on which the applicable Payment Blockage Notice is received by the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this Article 15 otherwise prohibits the payment or distribution at such time.</w:t>
      </w:r>
    </w:p>
    <w:p>
      <w:pPr>
        <w:spacing w:after="0" w:line="22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Upon any payment or distribution of assets of the Company of any kind or character, whether in cash, property or securities, to creditors upon any dissolution or winding-up or liquidation or reorganization of the Company, whether voluntary or involuntary or in bankruptcy, insolvency, reorganization, liquidation, receivership or other proceedings, or upon an assignment for the benefit of creditors or any marshalling of the assets and liabilities of the Company, or otherwise, all amounts due or to become due upon all Senior Debt shall first be paid in full in cash or other payment satisfactory to the holders of such Senior Debt, or payment thereof in accordance with its terms provided for in cash or other payment satisfactory to the holders of such Senior Debt, before any payment is made on account of the principal of, premium, if any, or interest on the Securities (except payments made pursuant to Article 4 from monies deposited with the Trustee pursuant thereto prior to commencement of proceedings for such dissolution, winding-up, liquidation, reorganization, assignment for the benefit of creditors or the marshalling of assets and liabilities of the Company); and upon any such dissolution, winding-up, liquidation, reorganization, assignment for the benefit of creditors or marshalling of assets and liabilities of the Company or bankruptcy, insolvency, receivership or other proceeding, any payment by the Company, or distribution of assets of the Company of any kind or character, whether in cash, property or securities, to which the Holders of the Securities or the Trustee would be entitled, except for the provision of this Article 15, shall (except as aforesaid) be paid by the Company or by any receiver, trustee in bankruptcy, liquidating trustee, agent or other Person making such payment or distribution, or by the Holders of the Securities or by the Trustee under this Indenture if received by them or it, directly to the holders of Senior Debt (pro rata to such holders on the basis of the respective amounts of Senior Debt held by such holders, or as otherwise required by law or a court order) or their Representative or Representatives, or to the trustee or trustees under any indenture pursuant to which any instruments evidencing any Senior Debt may have been issued, as their respective interests may appear, to the extent necessary to pay all Senior Debt in full, in cash or other payment satisfactory to the holders of such Senior Debt, after giving effect to any concurrent payment or distribution to or for the holders of Senior Debt, before any payment or distribution or provision therefor is made to the Holders of the Securities or to the Trustee.</w:t>
      </w:r>
    </w:p>
    <w:p>
      <w:pPr>
        <w:spacing w:after="0" w:line="19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For purposes of this Article 15, the words, “cash, property or securities” shall not be deemed to include shares of stock of the Company as reorganized or readjusted, or securities of the Company or any other corporation provided for by a plan of reorganization or readjustment, the payment of which is subordinated at least to the extent provided in this Article 15 with respect to the Securities to the payment of all Senior Debt which may at the time be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Senior Debt is assumed by the new corporation, if any, resulting from any reorganization or readjustment, and (ii) the rights of the holders of Senior Debt (other than leases which are not assumed by the Company or the new corporation, as the case may be) are not, without the consent of such holders, altered by such reorganization or readjustment. The consolidation of the Company with, or the merger of the Company into, another corporation or the liquidation or dissolution of the Company following the conveyance or transfer of its property as an entirety, or substantially as an entirety, to another corporation upon the terms and conditions provided for in Article 8 shall not be deemed a dissolution, winding-up, liquidation or reorganization for the purposes of this Section 15.2 if such other corporation shall, as a part of such consolidation, merger, conveyance or transfer, comply with the conditions stated in Article 8.</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event of the acceleration of the Securities because of an Event of Default, no payment or distribution shall be made to the Trustee or any Holder of Securities in respect of the principal of, premium, if any, or interest on the Securities (including, but not limited to, the redemption price with respect to the Securities called for redemption in accordance with Article 11 as provided in the Indenture), except payments and distributions made by the Trustee as permitted by the first or second paragraph of Section 15.5, until all Senior Debt has been paid in full in cash or other payment satisfactory to the holders of Senior Debt or such acceleration is rescinded in accordance with the terms of this Indenture. If payment of the Securities is accelerated because of an Event of Default, the Company shall promptly notify holders of Senior Debt of the acceleration.</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55" w:name="page156"/>
    <w:bookmarkEnd w:id="155"/>
    <w:p>
      <w:pPr>
        <w:jc w:val="both"/>
        <w:ind w:firstLine="648"/>
        <w:spacing w:after="0" w:line="270" w:lineRule="auto"/>
        <w:rPr>
          <w:sz w:val="20"/>
          <w:szCs w:val="20"/>
          <w:color w:val="auto"/>
        </w:rPr>
      </w:pPr>
      <w:r>
        <w:rPr>
          <w:rFonts w:ascii="Arial" w:cs="Arial" w:eastAsia="Arial" w:hAnsi="Arial"/>
          <w:sz w:val="17"/>
          <w:szCs w:val="17"/>
          <w:color w:val="auto"/>
        </w:rPr>
        <w:t>In the event that, notwithstanding the foregoing provisions, any payment or distribution of assets of the Company of any kind or character, whether in cash, property or securities (including, without limitation, by way of setoff or otherwise), prohibited by the foregoing, shall be received by the Trustee or the Holders of the Securities before all Senior Debt is paid in full in cash or other payment satisfactory to the holders of such Senior Debt, or provision is made for such payment thereof in accordance with its terms in cash or other payment satisfactory to the holders of such Senior Debt, such payment or distribution shall be held in trust for the benefit of and shall be paid over or delivered to the holders of Senior Debt or their Representative or Representatives, or to the trustee or trustees under any indenture pursuant to which any instruments evidencing any Senior Debt may have been issued, as their respective interests may appear, as calculated by the Company, for application to the payment of all Senior Debt remaining unpaid to the extent necessary to pay all Senior Debt in full in cash or other payment satisfactory to the holders of such Senior Debt, after giving effect to any concurrent payment or distribution to or for the holders of such Senior Debt.</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Nothing in this Section 15.2 shall apply to claims of, or payments to, the Trustee under or pursuant to Section 6.7. This Section 15.2 shall be subject to the further provisions of Section 15.5.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15.3 Subrogation of Securities.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Subject to the payment in full of all Senior Debt, the rights of the Holders of the Securities shall be subrogated to the extent of the payments or distributions made to the holders of such Senior Debt pursuant to the provisions of this Article 15 (equally and ratably with the holders of all indebtedness of the Company which by its express terms is subordinated to other indebtedness of the Company to substantially the same extent as the Securities are subordinated and is entitled to like rights of subrogation) to the rights of the holders of Senior Debt to receive payments or distributions of cash, property or securities of the Company applicable to the Senior Debt until the principal, premium, if any, and interest on the Securities shall be paid in full; and, for the purposes of such subrogation, no payments or distributions to the holders of the Senior Debt of any cash, property or securities to which the Holders of the Securities or the Trustee would be entitled except for the provisions of this Article 15, and no payment over pursuant to the provisions of this Article 15, to or for the benefit of the holders of Senior Debt by Holders of the Securities or the Trustee, shall, as between the Company, its creditors other than holders of Senior Debt, and the Holders of the Securities, be deemed to be a payment by the Company to or on account of the Senior Debt; and no payments or distributions of cash, property or securities to or for the benefit of the Holders of the Securities pursuant to the subrogation provisions of this Article 15, which would otherwise have been paid to the holders of Senior Debt shall be deemed to be a payment by the Company to or for the account of the Securities. It is understood that the provisions of this Article 15 are and are intended solely for the purposes of defining the relative rights of the Holders of the Securities, on the one hand, and the holders of the Senior Debt, on the other hand.</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Nothing contained in this Article 15 or elsewhere in this Indenture or in the Securities is intended to or shall impair, as among the Company, its creditors other than the holders of Senior Debt, and the Holders of the Securities, the obligation of the Company, which is absolute and unconditional, to pay to the Holders of the Securities the principal of (and premium, if any) and interest on the Securities as and when the same shall become due and payable in accordance with their terms, or is intended to or shall affect the relative rights of the Holders of the Securities and creditors of the Company other than the holders of the Senior Debt, nor shall anything herein or therein prevent the Trustee or the Holder of any Security from exercising all remedies otherwise permitted by applicable law upon default under this Indenture, subject to the rights, if any, under this Article 15 of the holders of Senior Debt in respect of cash, property or securities of the Company received upon the exercise of any such remedy.</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any payment or distribution of assets of the Company referred to in this Article 15, the Trustee, subject to the provisions of Section 6.1, and the Holders of the Securities shall be entitled to rely upon any order or decree made by any court of competent jurisdiction in which such bankruptcy,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Debt and other indebtedness of the Company, the amount thereof or payable thereon and all other facts pertinent thereto or to this Article 15.</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Section 15.4 Authorization to Effect Subordination.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Each Holder of a Security by the holder’s acceptance thereof authorizes and directs the Trustee on the holder’s behalf to take such action as may be necessary or appropriate to effectuate the subordination as provided in this Article 15 and appoints the Trustee to act as the holder’s attorney-in-fact for any and all such purposes. If the Trustee does not file a proper proof of claim or proof of debt in the form required in any proceeding referred to in Section 5.4 hereof at least 30 days before the expiration of the time to file such claim, the holders of any Senior Debt or their representatives are hereby authorized to file an appropriate claim for and on behalf of the Holders of the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15.5 Notice to Trustee.</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Company shall give prompt written notice in the form of an Officers’ Certificate to a Responsible Officer of the Trustee and to any Paying Agent of any fact known to the Company which would prohibit the making of any payment of monies to or by the Trustee or any Paying Agent in respect of the Securities pursuant to the provisions of this Article 15. Notwithstanding the provisions of this Article 15 or any other provision of this Indenture, the Trustee shall not be charged with knowledge of the existence of any facts which would prohibit the making of any payment of monies to or by the Trustee in respect of the Securities pursuant to the provisions of this Article 15, unless and until a Responsible Officer of the Trustee shall have received written notice thereof at the Corporate Trust Office from the Company (in the form of an Officers’ Certificate) or a Representative or a holder or holders of Senior Debt or from any trustee therefor; and before the receipt of any such written notice, the Trustee, subject to the provisions of Section 6.1, shall be entitled in all respects to assume that no such facts exist;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on a date not fewer than two Business Days prior to the date upon which by the terms hereof any such monies may become payable for any purpose (including, without limitation, the payment of the principal of, or premium, if any, or interest on any Security) the Trustee shall not have received, with respect to such monies, the notice provided for in this Section 15.5,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anything in this Article 15 to the contrary, nothing shall prevent any payment by the Trustee to the Holders of monies deposited with it pursuant to Section 4.1, and any such payment shall not be subject to the provisions of Section 15.1 or 15.2.</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Trustee, subject to the provisions of Section 6.1, shall be entitled to rely on the delivery to it of a written notice by a Representative or a person representing himself to be a holder of Senior Debt (or a trustee on behalf of such holder) to establish that such notice has been given by a Representative or a holder of Senior Debt or a trustee on behalf of any such holder or holders. The Trustee shall not be required to make any payment or distribution to or on behalf of a holder of Senior Debt pursuant to this Article 15 unless it has received satisfactory evidence as to the amount of Senior Debt held by such person, the extent to which such person is entitled to participate in such payment or distribution and any other facts pertinent to the rights of such person under this Article 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15.6 Trustee’s Relation to Senior Debt.</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Trustee in its individual capacity shall be entitled to all the rights set forth in this Article 15 in respect of any Senior Debt at any time held by it, to the same extent as any other holder of Senior Debt, and nothing in this Indenture shall deprive the Trustee of any of its rights as such holder.</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respect to the holders of Senior Debt, the Trustee undertakes to perform or to observe only such of its covenants and obligations as are specifically set forth in this Article 15, and no implied covenants or obligations with respect to the holders of Senior Debt shall be read into this Indenture against the Trustee. The Trustee shall not be deemed to owe any fiduciary duty to the holders of Senior Debt and, subject to the provisions of Section 6.1, the Trustee shall not be liable to any holder of Senior Debt (i) for any failure to make any payments or distributions to such holders or (ii) if it shall pay over or deliver to Holders of Securities, the Company or any other Person money or assets to which any holder of Senior Debt shall be entitled by virtue of this Article 15 or otherwise.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Section 15.7 No Impairment of Subordination.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right of any present or future holder of any Senior Debt to enforce subordination as herein provided shall at any time in any way be prejudiced or impaired by any act or failure to act on the part of the Company or by any act or failure to act, in good faith, by any such holder, or by any noncompliance by the Company, the Trustee or any Holder of Securities with the terms, provisions and covenants of this Indenture, regardless of any knowledge thereof which any such holder may have or otherwise be charged with.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15.8 Certain Conversions/Exchanges Deemed Payment.</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For the purposes of this Article 15 only, (1) the issuance and delivery of junior securities upon conversion or exchange of Securities in accordance with Article 14 or otherwise (except upon conversion of the Securities in accordance with their terms) shall not be deemed to constitute a payment or distribution on account of the principal of (or premium, if any) or interest on Securities or on account of the purchase or other acquisition of Securities, and</w:t>
      </w:r>
    </w:p>
    <w:p>
      <w:pPr>
        <w:jc w:val="both"/>
        <w:ind w:firstLine="8"/>
        <w:spacing w:after="0" w:line="288" w:lineRule="auto"/>
        <w:tabs>
          <w:tab w:leader="none" w:pos="27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payment, issuance or delivery of cash (except in satisfaction of fractional shares pursuant to Section 14.3), property or securities (other than junior securities) upon conversion or exchange of a Security shall be deemed to constitute payment on account of the principal of such Security. For the purposes of this Section 15.8, the term “junior securities” means (a) shares of any stock of any class of the Company, or (b) securities of the Company which are subordinated in right of payment to all Senior Debt which may be outstanding at the time of issuance or delivery of such securities to substantially the same extent as, or to a greater extent than, the Securities are so subordinated as provided in this Article. Nothing contained in this Article 15 or elsewhere in this Indenture or in the Securities is intended to or shall impair, as among the Company, its creditors other than holders of Senior Debt and the Holders of Securities, the right, which is absolute and unconditional, of the Holder of any Security to convert such Security in accordance with Article 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15.9 Article Applicable to Paying Agents.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If at any time any Paying Agent other than the Trustee shall have been appointed by the Company and be then acting hereunder, the term “Trustee” as used in this Article shall (unless the context otherwise requires) be construed as extending to and including such Paying Agent within its meaning as fully for all intents and purposes as if such Paying Agent were named in this Article in addition to or in place of the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first paragraph of Section 15.5 shall not apply to the Company or any Affiliate of the Company if the Company or such Affiliate acts as Paying Agent. The Trustee shall not be responsible for the actions or inactions of any other Paying Agents (including the Company if acting as its own Paying Agent) and shall have no control of any funds held by such other Paying Agents.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15.10 Senior Debt Entitled to Rely.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holders of Senior Debt (including, without limitation, Designated Senior Debt) shall have the right to rely upon this Article 15, and no amendment or modification of the provisions contained herein shall diminish the rights of such holders unless such holders shall have agreed in writing thereto.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15.11 Reliance on Judicial Order or Certificate of Liquidating Agent.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Upon any payment or distribution of assets of the Company referred to in this Article, the Trustee and the Holders shall be entitled to rely upon any order or decree entered by any court of competent jurisdiction in which such dissolution, winding up, liquidation, reorganization, assignment for the benefit of creditors or marshalling of assets and liabilities of the Company or bankruptcy, insolvency, receivership or other like proceeding is pending, or a certificate of the trustee in bankruptcy, liquidating trustee, custodian, receiver, assignee for the benefit of creditors, agent or other person making such payment or distribution, delivered to the Trustee or to the Holders, for the purpose of ascertaining the persons entitled to participate in such payment or distribution, the holders of Senior Debt and other indebtedness of the Company, the amount thereof or payable thereon, the amount or amounts paid or distributed thereon and all other facts pertinent thereto or to this Article.</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Section 15.12 Trust Monies Not Subordinated.</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Notwithstanding anything contained herein to the contrary, payments from money, U.S. Government Obligations and/or Foreign Government Obligations held in trust under Article 4 or Article 13 by the Trustee for the payment of the principal of, premium, if any, and interest on the Securities shall not be subordinated to the prior payment in full of any Senior Debt of the Company or subject to the restrictions set forth in this Article 15, and none of the Holders shall be obligated to pay over any such amount to the Company or any holder of Senior Debt of the Company or any other creditor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remainder of this page is intentionally left blank.]</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59" w:name="page160"/>
    <w:bookmarkEnd w:id="159"/>
    <w:p>
      <w:pPr>
        <w:spacing w:after="0"/>
        <w:rPr>
          <w:sz w:val="20"/>
          <w:szCs w:val="20"/>
          <w:color w:val="auto"/>
        </w:rPr>
      </w:pPr>
      <w:r>
        <w:rPr>
          <w:rFonts w:ascii="Arial" w:cs="Arial" w:eastAsia="Arial" w:hAnsi="Arial"/>
          <w:sz w:val="16"/>
          <w:szCs w:val="16"/>
          <w:color w:val="auto"/>
        </w:rPr>
        <w:t>IN WITNESS WHEREOF, the parties hereto have caused this Indenture to be duly executed as of the day and year first above written.</w:t>
      </w:r>
    </w:p>
    <w:p>
      <w:pPr>
        <w:spacing w:after="0" w:line="24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IMPRIMIS PHARMACEUTICALS, INC.</w:t>
      </w: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160020</wp:posOffset>
            </wp:positionV>
            <wp:extent cx="364490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644900" cy="17145"/>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5715</wp:posOffset>
            </wp:positionV>
            <wp:extent cx="339598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5715</wp:posOffset>
            </wp:positionV>
            <wp:extent cx="339598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21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680"/>
          </w:cols>
          <w:pgMar w:left="900" w:top="665" w:right="1319" w:bottom="1440" w:gutter="0" w:footer="0" w:header="0"/>
        </w:sectPr>
      </w:pPr>
    </w:p>
    <w:bookmarkStart w:id="160" w:name="page161"/>
    <w:bookmarkEnd w:id="16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Golenbock Eiseman Assor Bell &amp; Peskoe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711 Third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May 26,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12264 El Camino Real, Suite 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 92130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acted as counsel to Imprimis Pharmaceuticals, Inc., a Delaware corporation (the “Company”), in connection with its filing on the date hereof of a Registration Statement on Form S-3 (the “Registration Statement”) under the Securities Act of 1933, as amended (the “Act”), with the Securities and Exchange Commission (the “Commission”).</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Registration Statement relates to the proposed issuance and sale, from time to time, pursuant to Rule 415 under the Act, as set forth in the Registration Statement, the prospectus contained therein (the “Prospectus”) and the supplements to the prospectus referred to therein (each a “Prospectus Supplement”), of up to an aggregate offering price of $75,000,000, or the equivalent thereof, of shares of the Company’s common stock, $0.001 par value per share (the “Common Stock”), shares of the Company’s preferred stock, $0.001 par value per share (the “Preferred Stock”), the Company’s senior and subordinated debt securities (the “Debt Securities”), warrants to purchase any of the securities described above (the “Warrants”), and depositary shares (the “Depositary Shares”) of the Company representing a fractional interest in a share of Preferred Stock of the Company (the Common Stock, the Preferred Stock, the Debt Securities, the Warrants and the Depositary Shares are collectively referred to herein as the “Securities”)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Securities are to be sold from time to time as set forth in the Registration Statement, the Prospectus contained therein and the Prospectus Supplements. The Debt Securities are to be issued pursuant to a senior debt securities indenture (the “Senior Indenture”) and a subordinated debt securities indenture (the “Subordinated Indenture” and taken with the Senior Indenture, the “Indentures”), as applicable, both of which have been filed as exhibits to the Registration Statement and are to be entered into, in each case, between the Company and a trustee to be named in a Prospectus Supplement to the Registration Statement. The Securities are to be sold pursuant to a purchase, underwriting or similar agreement in substantially the form to be filed under a Current Report on Form 8-K. The Debt Securities are to be issued in the forms set forth in the Indentures. Each Indenture may be supplemented, as applicable, in connection with the issuance of each such series of Debt Securities, by a supplemental indenture or other appropriate action of the Company creating such series of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2" w:name="page163"/>
    <w:bookmarkEnd w:id="162"/>
    <w:p>
      <w:pPr>
        <w:jc w:val="both"/>
        <w:ind w:firstLine="648"/>
        <w:spacing w:after="0" w:line="268" w:lineRule="auto"/>
        <w:rPr>
          <w:sz w:val="20"/>
          <w:szCs w:val="20"/>
          <w:color w:val="auto"/>
        </w:rPr>
      </w:pPr>
      <w:r>
        <w:rPr>
          <w:rFonts w:ascii="Arial" w:cs="Arial" w:eastAsia="Arial" w:hAnsi="Arial"/>
          <w:sz w:val="17"/>
          <w:szCs w:val="17"/>
          <w:color w:val="auto"/>
        </w:rPr>
        <w:t>We have examined instruments, documents, certificates and records that we have deemed relevant and necessary for the basis of our opinions hereinafter expressed. In such examination, we have assumed: (i) the authenticity of original documents and the genuineness of all signatures; (ii) the conformity to the originals of all documents submitted to us as copies; (iii) the truth, accuracy and completeness of the information, representations and warranties contained in the instruments, documents, certificates and records we have reviewed; (iv) that the Registration Statement, and any amendments thereto (including post-effective amendments), will have become effective under the Act; (v) that a Prospectus Supplement will have been filed with the Commission describing the Securities offered thereby; (vi) that all Securities will be issued and sold in compliance with applicable U.S. federal and state securities laws and in the manner stated in the Registration Statement and the applicable Prospectus Supplement; (vii) that a definitive purchase, underwriting or similar agreement with respect to any Securities offered will have been duly authorized and validly executed and delivered by the Company and the other parties thereto; (viii) that any Securities issuable upon conversion, exchange, redemption or exercise of any Securities being offered will be duly authorized, created and, if appropriate, reserved for issuance upon such conversion, exchange, redemption or exercise; (ix) with respect to shares of Common Stock or Preferred Stock offered, that there will be sufficient shares of Common Stock or Preferred Stock authorized under the Company’s organizational documents that are not otherwise reserved for issuance; and (x)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foregoing and the other matters set forth herein, it is our opinion that, as of the date hereof:</w:t>
      </w:r>
    </w:p>
    <w:p>
      <w:pPr>
        <w:spacing w:after="0" w:line="225" w:lineRule="exact"/>
        <w:rPr>
          <w:sz w:val="20"/>
          <w:szCs w:val="20"/>
          <w:color w:val="auto"/>
        </w:rPr>
      </w:pPr>
    </w:p>
    <w:p>
      <w:pPr>
        <w:jc w:val="both"/>
        <w:ind w:firstLine="656"/>
        <w:spacing w:after="0" w:line="271" w:lineRule="auto"/>
        <w:tabs>
          <w:tab w:leader="none" w:pos="84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With respect to shares of Common Stock, when both: (a) the Board of Directors of the Company or a duly constituted and acting committee thereof (such Board of Directors or committee being hereinafter referred to as the “Board”) has taken all necessary corporate action to approve the issuance and the terms of the offering of the shares of Common Stock and related matters; and (b) certificates representing the shares of Common Stock have been duly executed, countersigned, registered and delivered either (i) in accordance with the applicable definitive purchase, underwriting or similar agreement approved by the Board, or upon the exercise of Warrants to purchase Common Stock, upon payment of the consideration therefor (not less than the par value of the Common Stock) provided for therein or (ii) upon conversion or exercise of any other Security, in accordance with the terms of such Security or the instrument governing such Security providing for such conversion or exercise as approved by the Board, for the consideration approved by the Board, then the shares of Common Stock will be validly issued, fully paid and non-assessable.</w:t>
      </w:r>
    </w:p>
    <w:p>
      <w:pPr>
        <w:spacing w:after="0" w:line="178" w:lineRule="exact"/>
        <w:rPr>
          <w:rFonts w:ascii="Arial" w:cs="Arial" w:eastAsia="Arial" w:hAnsi="Arial"/>
          <w:sz w:val="17"/>
          <w:szCs w:val="17"/>
          <w:color w:val="auto"/>
        </w:rPr>
      </w:pPr>
    </w:p>
    <w:p>
      <w:pPr>
        <w:jc w:val="both"/>
        <w:ind w:firstLine="656"/>
        <w:spacing w:after="0" w:line="290" w:lineRule="auto"/>
        <w:tabs>
          <w:tab w:leader="none" w:pos="82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With respect to any particular series of shares of Preferred Stock, when both: (a) the Board has taken all necessary corporate action to approve the issuance and terms of the shares of Preferred Stock, the terms of the offering thereof, and related matters, including the adoption of a certificate of designation (a “Certificate”) relating to such Preferred Stock conforming to the Delaware General Corporation Law (the “DGCL”) and the filing of the Certificate with the Secretary of State of the State of Delaware; and (b) certificates representing the shares of Preferred Stock have been duly executed, countersigned, registered and delivered either (i) in accordance with the applicable definitive purchase, underwriting or similar agreement approved by the Board, or upon the exercise of Warrants to purchase Preferred Stock, upon payment of the consideration therefor (not less than the par value of the Preferred Stock) provided for therein or (ii) upon conversion or exercise of such Security or the instrument governing such Security providing for such conversion or exercise as approved by the Board, for the consideration approved by the Board, then the shares of Preferred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63" w:name="page164"/>
    <w:bookmarkEnd w:id="163"/>
    <w:p>
      <w:pPr>
        <w:jc w:val="both"/>
        <w:ind w:left="-656" w:firstLine="656"/>
        <w:spacing w:after="0" w:line="288" w:lineRule="auto"/>
        <w:tabs>
          <w:tab w:leader="none" w:pos="176"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With respect to Debt Securities to be issued under either the Senior Indenture or Subordinated Indenture, when: (a) the Trustee is qualified to act as Trustee under the Senior Indenture or Subordinated Indenture, as applicable, and the Company has filed respective Form T-1s for the Trustee with the Commission; (b) the Trustee has duly executed and delivered the Subordinated Indenture or Senior Indenture, as applicable; (c) the Senior Indenture or Subordinated Indenture, as applicable, has been duly authorized and validly executed and delivered by the Company to the Trustee; (d) the Senior Indenture or Subordinated Indenture, as applicable, has been duly qualified under the Trust Indenture Act of 1939, as amended; (e) the Board has taken all necessary corporate action to approve the issuance and terms of such Debt Securities, the terms of the offering thereof and related matters; and (f) such Debt Securities have been duly executed, authenticated, issued and delivered in accordance with the provisions of the Senior Indenture or Subordinated Indenture, as applicable, and the applicable definitive purchase, underwriting or similar agreement approved by the Board, or upon the exercise of Warrants to purchase Debt Securities, upon payment of the consideration therefor provided for therein, such Debt Securities will be validly issued and will constitute valid and binding obligations of the Company, enforceable against the Company in accordance with their terms, and entitled to the benefits of the applicable Indenture.</w:t>
      </w:r>
    </w:p>
    <w:p>
      <w:pPr>
        <w:spacing w:after="0" w:line="169" w:lineRule="exact"/>
        <w:rPr>
          <w:rFonts w:ascii="Arial" w:cs="Arial" w:eastAsia="Arial" w:hAnsi="Arial"/>
          <w:sz w:val="16"/>
          <w:szCs w:val="16"/>
          <w:color w:val="auto"/>
        </w:rPr>
      </w:pPr>
    </w:p>
    <w:p>
      <w:pPr>
        <w:jc w:val="both"/>
        <w:ind w:left="-656" w:firstLine="656"/>
        <w:spacing w:after="0" w:line="276" w:lineRule="auto"/>
        <w:tabs>
          <w:tab w:leader="none" w:pos="17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With respect to the Warrants, when both: (a) the Board has taken all necessary corporate action to approve the issuance and terms of the Warrants and related matters; and (b) the Warrants have been duly executed and delivered against payment therefor, pursuant to the applicable definitive purchase, underwriting, warrant or similar agreement duly authorized, executed and delivered by the Company and a warrant agent, and the certificates for the Warrants have been duly executed and delivered by the Company and such warrant agent, then the Warrants will be validly issued and will constitute valid and binding obligations of the Company, enforceable against the Company in accordance with their terms.</w:t>
      </w:r>
    </w:p>
    <w:p>
      <w:pPr>
        <w:spacing w:after="0" w:line="172" w:lineRule="exact"/>
        <w:rPr>
          <w:rFonts w:ascii="Arial" w:cs="Arial" w:eastAsia="Arial" w:hAnsi="Arial"/>
          <w:sz w:val="17"/>
          <w:szCs w:val="17"/>
          <w:color w:val="auto"/>
        </w:rPr>
      </w:pPr>
    </w:p>
    <w:p>
      <w:pPr>
        <w:jc w:val="both"/>
        <w:ind w:left="-656" w:firstLine="656"/>
        <w:spacing w:after="0" w:line="289" w:lineRule="auto"/>
        <w:tabs>
          <w:tab w:leader="none" w:pos="20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With respect to Depositary Shares, when: (a) the Board has taken all necessary corporate action to approve the issuance and terms of the Depositary Shares, the terms of the offering thereof, and related matters, including the adoption of a Certificate relating to the Preferred Stock underlying such Depositary Shares and the filing of the Certificate with the Secretary of State of the State of Delaware; (b) the Deposit Agreement (the “Deposit Agreement”) or agreements relating to the Depositary Shares and the related Depositary Receipts (the “Depository Receipts”) have been duly authorized and validly executed and delivered by the Company and the depositary appointed by the Company; (c) the shares of Preferred Stock underlying such Depositary Shares have been deposited with a bank or trust company (which meets the requirements for the depositary set forth in the Registration Statement) under the applicable Deposit Agreement; and (d) the Depositary Receipts representing the Depositary Shares have been duly executed, countersigned, registered and delivered in accordance with the appropriate Deposit Agreement and the applicable definitive purchase, underwriting or similar agreement approved by the Board upon payment of the consideration therefor provided for therein, the Depositary Shares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252095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666" w:right="239" w:bottom="1440" w:gutter="0" w:footer="0" w:header="0"/>
        </w:sectPr>
      </w:pPr>
    </w:p>
    <w:bookmarkStart w:id="164" w:name="page165"/>
    <w:bookmarkEnd w:id="164"/>
    <w:p>
      <w:pPr>
        <w:jc w:val="both"/>
        <w:ind w:firstLine="648"/>
        <w:spacing w:after="0" w:line="302" w:lineRule="auto"/>
        <w:rPr>
          <w:sz w:val="20"/>
          <w:szCs w:val="20"/>
          <w:color w:val="auto"/>
        </w:rPr>
      </w:pPr>
      <w:r>
        <w:rPr>
          <w:rFonts w:ascii="Arial" w:cs="Arial" w:eastAsia="Arial" w:hAnsi="Arial"/>
          <w:sz w:val="16"/>
          <w:szCs w:val="16"/>
          <w:color w:val="auto"/>
        </w:rPr>
        <w:t>Attorneys at our Firm are admitted to the practice of law in the State of New York, and we express no opinion as to the laws of any other jurisdiction, other than the Federal laws of the United States of America, the State of New York as to the enforceability of the Debt Securities and the DGCL. We are not licensed to practice law in the State of Delaware and, accordingly, our opinions as to the DGCL are based solely on a review of the official statutes of the state of Delaware and the applicable provisions of the Delaware Constitution and the reported judicial decisions interpreting such statutes and provisions.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hereby consent to the use of this opinion as an exhibit to the Registration Statement, to the use of our firm name as your counsel, and to all references made to us in the Registration Statement and in the Prospectus forming a part thereof. In giving this consent, we do not hereby admit that we are in the category of persons whose consent is required under Section 7 of the Securities Act of 1933, as amended, or the rules and regulations promulgated thereunder.</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 Golenbock Eiseman Assor Bell &amp; Peskoe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188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5" w:name="page166"/>
    <w:bookmarkEnd w:id="16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4925695</wp:posOffset>
            </wp:positionH>
            <wp:positionV relativeFrom="page">
              <wp:posOffset>226060</wp:posOffset>
            </wp:positionV>
            <wp:extent cx="2478405" cy="1037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2478405" cy="10375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ind w:left="1028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this Registration Statement on Form S-3 of our report dated March 21, 2017, relating to the consolidated financial statements of Imprimis Pharmaceuticals, Inc. and subsidiaries as of December 31, 2016 and 2015 and for each of the two years in the period ended December 31, 2016, appearing in the Annual Report on Form 10-K of Imprimis Pharmaceuticals, Inc. and subsidiaries for the year ended December 31,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 “Experts” in the Prospectus, which is part of this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1094740</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1042670</wp:posOffset>
            </wp:positionH>
            <wp:positionV relativeFrom="paragraph">
              <wp:posOffset>142875</wp:posOffset>
            </wp:positionV>
            <wp:extent cx="5179695" cy="677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79695" cy="677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7" w:name="page168"/>
    <w:bookmarkEnd w:id="1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1)"/>
      <w:numFmt w:val="decimal"/>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1)"/>
      <w:numFmt w:val="decimal"/>
      <w:start w:val="1"/>
    </w:lvl>
  </w:abstractNum>
  <w:abstractNum w:abstractNumId="18">
    <w:nsid w:val="42C296BD"/>
    <w:multiLevelType w:val="hybridMultilevel"/>
    <w:lvl w:ilvl="0">
      <w:lvlJc w:val="left"/>
      <w:lvlText w:val="(%1)"/>
      <w:numFmt w:val="decimal"/>
      <w:start w:val="1"/>
    </w:lvl>
  </w:abstractNum>
  <w:abstractNum w:abstractNumId="19">
    <w:nsid w:val="168E121F"/>
    <w:multiLevelType w:val="hybridMultilevel"/>
    <w:lvl w:ilvl="0">
      <w:lvlJc w:val="left"/>
      <w:lvlText w:val="(%1)"/>
      <w:numFmt w:val="decimal"/>
      <w:start w:val="3"/>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lvl w:ilvl="1">
      <w:lvlJc w:val="left"/>
      <w:lvlText w:val="●"/>
      <w:numFmt w:val="bullet"/>
      <w:start w:val="1"/>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
      <w:numFmt w:val="bullet"/>
      <w:start w:val="1"/>
    </w:lvl>
  </w:abstractNum>
  <w:abstractNum w:abstractNumId="31">
    <w:nsid w:val="8F2B15E"/>
    <w:multiLevelType w:val="hybridMultilevel"/>
    <w:lvl w:ilvl="0">
      <w:lvlJc w:val="left"/>
      <w:lvlText w:val="●"/>
      <w:numFmt w:val="bullet"/>
      <w:start w:val="1"/>
    </w:lvl>
  </w:abstractNum>
  <w:abstractNum w:abstractNumId="32">
    <w:nsid w:val="1A32234B"/>
    <w:multiLevelType w:val="hybridMultilevel"/>
    <w:lvl w:ilvl="0">
      <w:lvlJc w:val="left"/>
      <w:lvlText w:val="*"/>
      <w:numFmt w:val="bullet"/>
      <w:start w:val="1"/>
    </w:lvl>
  </w:abstractNum>
  <w:abstractNum w:abstractNumId="33">
    <w:nsid w:val="3B0FD379"/>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lvl w:ilvl="3">
      <w:lvlJc w:val="left"/>
      <w:lvlText w:val="(%4)"/>
      <w:numFmt w:val="upperLetter"/>
      <w:start w:val="1"/>
    </w:lvl>
  </w:abstractNum>
  <w:abstractNum w:abstractNumId="34">
    <w:nsid w:val="68EB2F6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5">
    <w:nsid w:val="4962813B"/>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6">
    <w:nsid w:val="60B6DF70"/>
    <w:multiLevelType w:val="hybridMultilevel"/>
    <w:lvl w:ilvl="0">
      <w:lvlJc w:val="left"/>
      <w:lvlText w:val="(%1)"/>
      <w:numFmt w:val="decimal"/>
      <w:start w:val="1"/>
    </w:lvl>
  </w:abstractNum>
  <w:abstractNum w:abstractNumId="37">
    <w:nsid w:val="6A5EE64"/>
    <w:multiLevelType w:val="hybridMultilevel"/>
    <w:lvl w:ilvl="0">
      <w:lvlJc w:val="left"/>
      <w:lvlText w:val="(%1)"/>
      <w:numFmt w:val="decimal"/>
      <w:start w:val="1"/>
    </w:lvl>
  </w:abstractNum>
  <w:abstractNum w:abstractNumId="38">
    <w:nsid w:val="14330624"/>
    <w:multiLevelType w:val="hybridMultilevel"/>
    <w:lvl w:ilvl="0">
      <w:lvlJc w:val="left"/>
      <w:lvlText w:val="(%1)"/>
      <w:numFmt w:val="decimal"/>
      <w:start w:val="4"/>
    </w:lvl>
  </w:abstractNum>
  <w:abstractNum w:abstractNumId="39">
    <w:nsid w:val="7FFFCA11"/>
    <w:multiLevelType w:val="hybridMultilevel"/>
    <w:lvl w:ilvl="0">
      <w:lvlJc w:val="left"/>
      <w:lvlText w:val="(%1)"/>
      <w:numFmt w:val="decimal"/>
      <w:start w:val="1"/>
    </w:lvl>
  </w:abstractNum>
  <w:abstractNum w:abstractNumId="40">
    <w:nsid w:val="1A27709E"/>
    <w:multiLevelType w:val="hybridMultilevel"/>
    <w:lvl w:ilvl="0">
      <w:lvlJc w:val="left"/>
      <w:lvlText w:val="(%1)"/>
      <w:numFmt w:val="decimal"/>
      <w:start w:val="1"/>
    </w:lvl>
  </w:abstractNum>
  <w:abstractNum w:abstractNumId="41">
    <w:nsid w:val="71EA1109"/>
    <w:multiLevelType w:val="hybridMultilevel"/>
    <w:lvl w:ilvl="0">
      <w:lvlJc w:val="left"/>
      <w:lvlText w:val="(%1)"/>
      <w:numFmt w:val="decimal"/>
      <w:start w:val="1"/>
    </w:lvl>
  </w:abstractNum>
  <w:abstractNum w:abstractNumId="42">
    <w:nsid w:val="100F59DC"/>
    <w:multiLevelType w:val="hybridMultilevel"/>
    <w:lvl w:ilvl="0">
      <w:lvlJc w:val="left"/>
      <w:lvlText w:val="(%1)"/>
      <w:numFmt w:val="decimal"/>
      <w:start w:val="3"/>
    </w:lvl>
  </w:abstractNum>
  <w:abstractNum w:abstractNumId="43">
    <w:nsid w:val="7FB7E0AA"/>
    <w:multiLevelType w:val="hybridMultilevel"/>
    <w:lvl w:ilvl="0">
      <w:lvlJc w:val="left"/>
      <w:lvlText w:val="(%1)"/>
      <w:numFmt w:val="decimal"/>
      <w:start w:val="15"/>
    </w:lvl>
  </w:abstractNum>
  <w:abstractNum w:abstractNumId="44">
    <w:nsid w:val="6EB5BD4"/>
    <w:multiLevelType w:val="hybridMultilevel"/>
    <w:lvl w:ilvl="0">
      <w:lvlJc w:val="left"/>
      <w:lvlText w:val="(%1)"/>
      <w:numFmt w:val="decimal"/>
      <w:start w:val="1"/>
    </w:lvl>
  </w:abstractNum>
  <w:abstractNum w:abstractNumId="45">
    <w:nsid w:val="6F6DD9AC"/>
    <w:multiLevelType w:val="hybridMultilevel"/>
    <w:lvl w:ilvl="0">
      <w:lvlJc w:val="left"/>
      <w:lvlText w:val="(%1)"/>
      <w:numFmt w:val="decimal"/>
      <w:start w:val="1"/>
    </w:lvl>
  </w:abstractNum>
  <w:abstractNum w:abstractNumId="46">
    <w:nsid w:val="94211F2"/>
    <w:multiLevelType w:val="hybridMultilevel"/>
    <w:lvl w:ilvl="0">
      <w:lvlJc w:val="left"/>
      <w:lvlText w:val="(%1)"/>
      <w:numFmt w:val="decimal"/>
      <w:start w:val="1"/>
    </w:lvl>
  </w:abstractNum>
  <w:abstractNum w:abstractNumId="47">
    <w:nsid w:val="885E1B"/>
    <w:multiLevelType w:val="hybridMultilevel"/>
    <w:lvl w:ilvl="0">
      <w:lvlJc w:val="left"/>
      <w:lvlText w:val="(%1)"/>
      <w:numFmt w:val="decimal"/>
      <w:start w:val="1"/>
    </w:lvl>
    <w:lvl w:ilvl="1">
      <w:lvlJc w:val="left"/>
      <w:lvlText w:val="(%2)"/>
      <w:numFmt w:val="upperLetter"/>
      <w:start w:val="1"/>
    </w:lvl>
  </w:abstractNum>
  <w:abstractNum w:abstractNumId="48">
    <w:nsid w:val="76272110"/>
    <w:multiLevelType w:val="hybridMultilevel"/>
    <w:lvl w:ilvl="0">
      <w:lvlJc w:val="left"/>
      <w:lvlText w:val="(%1)"/>
      <w:numFmt w:val="upperLetter"/>
      <w:start w:val="2"/>
    </w:lvl>
    <w:lvl w:ilvl="1">
      <w:lvlJc w:val="left"/>
      <w:lvlText w:val="(%2)"/>
      <w:numFmt w:val="lowerRoman"/>
      <w:start w:val="1"/>
    </w:lvl>
  </w:abstractNum>
  <w:abstractNum w:abstractNumId="49">
    <w:nsid w:val="4C04A8AF"/>
    <w:multiLevelType w:val="hybridMultilevel"/>
    <w:lvl w:ilvl="0">
      <w:lvlJc w:val="left"/>
      <w:lvlText w:val="(%1)"/>
      <w:numFmt w:val="decimal"/>
      <w:start w:val="2"/>
    </w:lvl>
  </w:abstractNum>
  <w:abstractNum w:abstractNumId="50">
    <w:nsid w:val="1716703B"/>
    <w:multiLevelType w:val="hybridMultilevel"/>
    <w:lvl w:ilvl="0">
      <w:lvlJc w:val="left"/>
      <w:lvlText w:val="(%1)"/>
      <w:numFmt w:val="decimal"/>
      <w:start w:val="1"/>
    </w:lvl>
  </w:abstractNum>
  <w:abstractNum w:abstractNumId="51">
    <w:nsid w:val="14E17E33"/>
    <w:multiLevelType w:val="hybridMultilevel"/>
    <w:lvl w:ilvl="0">
      <w:lvlJc w:val="left"/>
      <w:lvlText w:val="(%1)"/>
      <w:numFmt w:val="decimal"/>
      <w:start w:val="4"/>
    </w:lvl>
  </w:abstractNum>
  <w:abstractNum w:abstractNumId="52">
    <w:nsid w:val="3222E7CD"/>
    <w:multiLevelType w:val="hybridMultilevel"/>
    <w:lvl w:ilvl="0">
      <w:lvlJc w:val="left"/>
      <w:lvlText w:val="(%1)"/>
      <w:numFmt w:val="lowerLetter"/>
      <w:start w:val="1"/>
    </w:lvl>
  </w:abstractNum>
  <w:abstractNum w:abstractNumId="53">
    <w:nsid w:val="74DE0EE3"/>
    <w:multiLevelType w:val="hybridMultilevel"/>
    <w:lvl w:ilvl="0">
      <w:lvlJc w:val="left"/>
      <w:lvlText w:val="(%1)"/>
      <w:numFmt w:val="lowerLetter"/>
      <w:start w:val="2"/>
    </w:lvl>
  </w:abstractNum>
  <w:abstractNum w:abstractNumId="54">
    <w:nsid w:val="68EBC550"/>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55">
    <w:nsid w:val="2DF6D648"/>
    <w:multiLevelType w:val="hybridMultilevel"/>
    <w:lvl w:ilvl="0">
      <w:lvlJc w:val="left"/>
      <w:lvlText w:val="(%1)"/>
      <w:numFmt w:val="decimal"/>
      <w:start w:val="1"/>
    </w:lvl>
  </w:abstractNum>
  <w:abstractNum w:abstractNumId="56">
    <w:nsid w:val="46B7D447"/>
    <w:multiLevelType w:val="hybridMultilevel"/>
    <w:lvl w:ilvl="0">
      <w:lvlJc w:val="left"/>
      <w:lvlText w:val="(%1)"/>
      <w:numFmt w:val="decimal"/>
      <w:start w:val="2"/>
    </w:lvl>
  </w:abstractNum>
  <w:abstractNum w:abstractNumId="57">
    <w:nsid w:val="4A2AC315"/>
    <w:multiLevelType w:val="hybridMultilevel"/>
    <w:lvl w:ilvl="0">
      <w:lvlJc w:val="left"/>
      <w:lvlText w:val="(%1)"/>
      <w:numFmt w:val="decimal"/>
      <w:start w:val="1"/>
    </w:lvl>
  </w:abstractNum>
  <w:abstractNum w:abstractNumId="58">
    <w:nsid w:val="39EE015C"/>
    <w:multiLevelType w:val="hybridMultilevel"/>
    <w:lvl w:ilvl="0">
      <w:lvlJc w:val="left"/>
      <w:lvlText w:val="(%1)"/>
      <w:numFmt w:val="decimal"/>
      <w:start w:val="2"/>
    </w:lvl>
  </w:abstractNum>
  <w:abstractNum w:abstractNumId="59">
    <w:nsid w:val="57FC4FBB"/>
    <w:multiLevelType w:val="hybridMultilevel"/>
    <w:lvl w:ilvl="0">
      <w:lvlJc w:val="left"/>
      <w:lvlText w:val="(%1)"/>
      <w:numFmt w:val="decimal"/>
      <w:start w:val="1"/>
    </w:lvl>
  </w:abstractNum>
  <w:abstractNum w:abstractNumId="60">
    <w:nsid w:val="CC1016F"/>
    <w:multiLevelType w:val="hybridMultilevel"/>
    <w:lvl w:ilvl="0">
      <w:lvlJc w:val="left"/>
      <w:lvlText w:val="(%1)"/>
      <w:numFmt w:val="decimal"/>
      <w:start w:val="1"/>
    </w:lvl>
  </w:abstractNum>
  <w:abstractNum w:abstractNumId="61">
    <w:nsid w:val="43F18422"/>
    <w:multiLevelType w:val="hybridMultilevel"/>
    <w:lvl w:ilvl="0">
      <w:lvlJc w:val="left"/>
      <w:lvlText w:val="(%1)"/>
      <w:numFmt w:val="decimal"/>
      <w:start w:val="1"/>
    </w:lvl>
  </w:abstractNum>
  <w:abstractNum w:abstractNumId="62">
    <w:nsid w:val="60EF0119"/>
    <w:multiLevelType w:val="hybridMultilevel"/>
    <w:lvl w:ilvl="0">
      <w:lvlJc w:val="left"/>
      <w:lvlText w:val="(%1)"/>
      <w:numFmt w:val="decimal"/>
      <w:start w:val="1"/>
    </w:lvl>
  </w:abstractNum>
  <w:abstractNum w:abstractNumId="63">
    <w:nsid w:val="26F324BA"/>
    <w:multiLevelType w:val="hybridMultilevel"/>
    <w:lvl w:ilvl="0">
      <w:lvlJc w:val="left"/>
      <w:lvlText w:val="(%1)"/>
      <w:numFmt w:val="decimal"/>
      <w:start w:val="1"/>
    </w:lvl>
  </w:abstractNum>
  <w:abstractNum w:abstractNumId="64">
    <w:nsid w:val="7F01579B"/>
    <w:multiLevelType w:val="hybridMultilevel"/>
    <w:lvl w:ilvl="0">
      <w:lvlJc w:val="left"/>
      <w:lvlText w:val="(%1)"/>
      <w:numFmt w:val="decimal"/>
      <w:start w:val="1"/>
    </w:lvl>
  </w:abstractNum>
  <w:abstractNum w:abstractNumId="65">
    <w:nsid w:val="49DA307D"/>
    <w:multiLevelType w:val="hybridMultilevel"/>
    <w:lvl w:ilvl="0">
      <w:lvlJc w:val="left"/>
      <w:lvlText w:val="(%1)"/>
      <w:numFmt w:val="decimal"/>
      <w:start w:val="1"/>
    </w:lvl>
  </w:abstractNum>
  <w:abstractNum w:abstractNumId="66">
    <w:nsid w:val="7055A5F5"/>
    <w:multiLevelType w:val="hybridMultilevel"/>
    <w:lvl w:ilvl="0">
      <w:lvlJc w:val="left"/>
      <w:lvlText w:val="%1"/>
      <w:numFmt w:val="upperLetter"/>
      <w:start w:val="1"/>
    </w:lvl>
    <w:lvl w:ilvl="1">
      <w:lvlJc w:val="left"/>
      <w:lvlText w:val="(%2)"/>
      <w:numFmt w:val="decimal"/>
      <w:start w:val="1"/>
    </w:lvl>
  </w:abstractNum>
  <w:abstractNum w:abstractNumId="67">
    <w:nsid w:val="5FB8370B"/>
    <w:multiLevelType w:val="hybridMultilevel"/>
    <w:lvl w:ilvl="0">
      <w:lvlJc w:val="left"/>
      <w:lvlText w:val="(%1)"/>
      <w:numFmt w:val="upperLetter"/>
      <w:start w:val="2"/>
    </w:lvl>
    <w:lvl w:ilvl="1">
      <w:lvlJc w:val="left"/>
      <w:lvlText w:val="(%2)"/>
      <w:numFmt w:val="decimal"/>
      <w:start w:val="6"/>
    </w:lvl>
  </w:abstractNum>
  <w:abstractNum w:abstractNumId="68">
    <w:nsid w:val="50801EE1"/>
    <w:multiLevelType w:val="hybridMultilevel"/>
    <w:lvl w:ilvl="0">
      <w:lvlJc w:val="left"/>
      <w:lvlText w:val="(%1)"/>
      <w:numFmt w:val="decimal"/>
      <w:start w:val="10"/>
    </w:lvl>
  </w:abstractNum>
  <w:abstractNum w:abstractNumId="69">
    <w:nsid w:val="488AC1A"/>
    <w:multiLevelType w:val="hybridMultilevel"/>
    <w:lvl w:ilvl="0">
      <w:lvlJc w:val="left"/>
      <w:lvlText w:val="(%1)"/>
      <w:numFmt w:val="decimal"/>
      <w:start w:val="1"/>
    </w:lvl>
  </w:abstractNum>
  <w:abstractNum w:abstractNumId="70">
    <w:nsid w:val="5FB8011C"/>
    <w:multiLevelType w:val="hybridMultilevel"/>
    <w:lvl w:ilvl="0">
      <w:lvlJc w:val="left"/>
      <w:lvlText w:val="(%1)"/>
      <w:numFmt w:val="decimal"/>
      <w:start w:val="1"/>
    </w:lvl>
  </w:abstractNum>
  <w:abstractNum w:abstractNumId="71">
    <w:nsid w:val="6AA78F7F"/>
    <w:multiLevelType w:val="hybridMultilevel"/>
    <w:lvl w:ilvl="0">
      <w:lvlJc w:val="left"/>
      <w:lvlText w:val="(%1)"/>
      <w:numFmt w:val="decimal"/>
      <w:start w:val="3"/>
    </w:lvl>
  </w:abstractNum>
  <w:abstractNum w:abstractNumId="72">
    <w:nsid w:val="7672BD23"/>
    <w:multiLevelType w:val="hybridMultilevel"/>
    <w:lvl w:ilvl="0">
      <w:lvlJc w:val="left"/>
      <w:lvlText w:val="(%1)"/>
      <w:numFmt w:val="decimal"/>
      <w:start w:val="1"/>
    </w:lvl>
  </w:abstractNum>
  <w:abstractNum w:abstractNumId="73">
    <w:nsid w:val="6FC75AF8"/>
    <w:multiLevelType w:val="hybridMultilevel"/>
    <w:lvl w:ilvl="0">
      <w:lvlJc w:val="left"/>
      <w:lvlText w:val="(%1)"/>
      <w:numFmt w:val="decimal"/>
      <w:start w:val="1"/>
    </w:lvl>
  </w:abstractNum>
  <w:abstractNum w:abstractNumId="74">
    <w:nsid w:val="6A5F702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75">
    <w:nsid w:val="7D5E18F8"/>
    <w:multiLevelType w:val="hybridMultilevel"/>
    <w:lvl w:ilvl="0">
      <w:lvlJc w:val="left"/>
      <w:lvlText w:val="(%1)"/>
      <w:numFmt w:val="decimal"/>
      <w:start w:val="2"/>
    </w:lvl>
  </w:abstractNum>
  <w:abstractNum w:abstractNumId="76">
    <w:nsid w:val="5F3534A4"/>
    <w:multiLevelType w:val="hybridMultilevel"/>
    <w:lvl w:ilvl="0">
      <w:lvlJc w:val="left"/>
      <w:lvlText w:val="(%1)"/>
      <w:numFmt w:val="decimal"/>
      <w:start w:val="3"/>
    </w:lvl>
  </w:abstractNum>
  <w:abstractNum w:abstractNumId="77">
    <w:nsid w:val="73A1821B"/>
    <w:multiLevelType w:val="hybridMultilevel"/>
    <w:lvl w:ilvl="0">
      <w:lvlJc w:val="left"/>
      <w:lvlText w:val="(%1)"/>
      <w:numFmt w:val="decimal"/>
      <w:start w:val="1"/>
    </w:lvl>
  </w:abstractNum>
  <w:abstractNum w:abstractNumId="78">
    <w:nsid w:val="7DE67713"/>
    <w:multiLevelType w:val="hybridMultilevel"/>
    <w:lvl w:ilvl="0">
      <w:lvlJc w:val="left"/>
      <w:lvlText w:val="(%1)"/>
      <w:numFmt w:val="decimal"/>
      <w:start w:val="3"/>
    </w:lvl>
  </w:abstractNum>
  <w:abstractNum w:abstractNumId="79">
    <w:nsid w:val="555C55B5"/>
    <w:multiLevelType w:val="hybridMultilevel"/>
    <w:lvl w:ilvl="0">
      <w:lvlJc w:val="left"/>
      <w:lvlText w:val="(%1)"/>
      <w:numFmt w:val="lowerRoman"/>
      <w:start w:val="1"/>
    </w:lvl>
  </w:abstractNum>
  <w:abstractNum w:abstractNumId="80">
    <w:nsid w:val="3FA62ACA"/>
    <w:multiLevelType w:val="hybridMultilevel"/>
    <w:lvl w:ilvl="0">
      <w:lvlJc w:val="left"/>
      <w:lvlText w:val="(%1)"/>
      <w:numFmt w:val="decimal"/>
      <w:start w:val="1"/>
    </w:lvl>
  </w:abstractNum>
  <w:abstractNum w:abstractNumId="81">
    <w:nsid w:val="14FCE74E"/>
    <w:multiLevelType w:val="hybridMultilevel"/>
    <w:lvl w:ilvl="0">
      <w:lvlJc w:val="left"/>
      <w:lvlText w:val="(%1)"/>
      <w:numFmt w:val="decimal"/>
      <w:start w:val="1"/>
    </w:lvl>
  </w:abstractNum>
  <w:abstractNum w:abstractNumId="82">
    <w:nsid w:val="6A3DD3E8"/>
    <w:multiLevelType w:val="hybridMultilevel"/>
    <w:lvl w:ilvl="0">
      <w:lvlJc w:val="left"/>
      <w:lvlText w:val="(%1)"/>
      <w:numFmt w:val="decimal"/>
      <w:start w:val="1"/>
    </w:lvl>
  </w:abstractNum>
  <w:abstractNum w:abstractNumId="83">
    <w:nsid w:val="71C91298"/>
    <w:multiLevelType w:val="hybridMultilevel"/>
    <w:lvl w:ilvl="0">
      <w:lvlJc w:val="left"/>
      <w:lvlText w:val="$"/>
      <w:numFmt w:val="bullet"/>
      <w:start w:val="1"/>
    </w:lvl>
  </w:abstractNum>
  <w:abstractNum w:abstractNumId="84">
    <w:nsid w:val="9DAF632"/>
    <w:multiLevelType w:val="hybridMultilevel"/>
    <w:lvl w:ilvl="0">
      <w:lvlJc w:val="left"/>
      <w:lvlText w:val="(%1)"/>
      <w:numFmt w:val="decimal"/>
      <w:start w:val="1"/>
    </w:lvl>
  </w:abstractNum>
  <w:abstractNum w:abstractNumId="85">
    <w:nsid w:val="53299938"/>
    <w:multiLevelType w:val="hybridMultilevel"/>
    <w:lvl w:ilvl="0">
      <w:lvlJc w:val="left"/>
      <w:lvlText w:val="(%1)"/>
      <w:numFmt w:val="decimal"/>
      <w:start w:val="14"/>
    </w:lvl>
  </w:abstractNum>
  <w:abstractNum w:abstractNumId="86">
    <w:nsid w:val="1FBFE8E0"/>
    <w:multiLevelType w:val="hybridMultilevel"/>
    <w:lvl w:ilvl="0">
      <w:lvlJc w:val="left"/>
      <w:lvlText w:val="(%1)"/>
      <w:numFmt w:val="decimal"/>
      <w:start w:val="1"/>
    </w:lvl>
  </w:abstractNum>
  <w:abstractNum w:abstractNumId="87">
    <w:nsid w:val="5092CA79"/>
    <w:multiLevelType w:val="hybridMultilevel"/>
    <w:lvl w:ilvl="0">
      <w:lvlJc w:val="left"/>
      <w:lvlText w:val="(%1)"/>
      <w:numFmt w:val="decimal"/>
      <w:start w:val="1"/>
    </w:lvl>
  </w:abstractNum>
  <w:abstractNum w:abstractNumId="88">
    <w:nsid w:val="1D545C4D"/>
    <w:multiLevelType w:val="hybridMultilevel"/>
    <w:lvl w:ilvl="0">
      <w:lvlJc w:val="left"/>
      <w:lvlText w:val="(%1)"/>
      <w:numFmt w:val="decimal"/>
      <w:start w:val="1"/>
    </w:lvl>
  </w:abstractNum>
  <w:abstractNum w:abstractNumId="89">
    <w:nsid w:val="59ADEA3D"/>
    <w:multiLevelType w:val="hybridMultilevel"/>
    <w:lvl w:ilvl="0">
      <w:lvlJc w:val="left"/>
      <w:lvlText w:val="(%1)"/>
      <w:numFmt w:val="decimal"/>
      <w:start w:val="2"/>
    </w:lvl>
  </w:abstractNum>
  <w:abstractNum w:abstractNumId="90">
    <w:nsid w:val="288F1A3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91">
    <w:nsid w:val="2A155DBC"/>
    <w:multiLevelType w:val="hybridMultilevel"/>
    <w:lvl w:ilvl="0">
      <w:lvlJc w:val="left"/>
      <w:lvlText w:val="(%1)"/>
      <w:numFmt w:val="decimal"/>
      <w:start w:val="2"/>
    </w:lvl>
  </w:abstractNum>
  <w:abstractNum w:abstractNumId="92">
    <w:nsid w:val="1D9F6E5F"/>
    <w:multiLevelType w:val="hybridMultilevel"/>
    <w:lvl w:ilvl="0">
      <w:lvlJc w:val="left"/>
      <w:lvlText w:val="(%1)"/>
      <w:numFmt w:val="decimal"/>
      <w:start w:val="1"/>
    </w:lvl>
  </w:abstractNum>
  <w:abstractNum w:abstractNumId="93">
    <w:nsid w:val="97E1B4E"/>
    <w:multiLevelType w:val="hybridMultilevel"/>
    <w:lvl w:ilvl="0">
      <w:lvlJc w:val="left"/>
      <w:lvlText w:val="(%1)"/>
      <w:numFmt w:val="lowerLetter"/>
      <w:start w:val="1"/>
    </w:lvl>
  </w:abstractNum>
  <w:abstractNum w:abstractNumId="94">
    <w:nsid w:val="51088277"/>
    <w:multiLevelType w:val="hybridMultilevel"/>
    <w:lvl w:ilvl="0">
      <w:lvlJc w:val="left"/>
      <w:lvlText w:val="(%1)"/>
      <w:numFmt w:val="lowerLetter"/>
      <w:start w:val="2"/>
    </w:lvl>
  </w:abstractNum>
  <w:abstractNum w:abstractNumId="95">
    <w:nsid w:val="1CA0C5FA"/>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96">
    <w:nsid w:val="53584BCB"/>
    <w:multiLevelType w:val="hybridMultilevel"/>
    <w:lvl w:ilvl="0">
      <w:lvlJc w:val="left"/>
      <w:lvlText w:val="(%1)"/>
      <w:numFmt w:val="decimal"/>
      <w:start w:val="2"/>
    </w:lvl>
  </w:abstractNum>
  <w:abstractNum w:abstractNumId="97">
    <w:nsid w:val="415E286C"/>
    <w:multiLevelType w:val="hybridMultilevel"/>
    <w:lvl w:ilvl="0">
      <w:lvlJc w:val="left"/>
      <w:lvlText w:val="(%1)"/>
      <w:numFmt w:val="decimal"/>
      <w:start w:val="1"/>
    </w:lvl>
  </w:abstractNum>
  <w:abstractNum w:abstractNumId="98">
    <w:nsid w:val="7C58FD05"/>
    <w:multiLevelType w:val="hybridMultilevel"/>
    <w:lvl w:ilvl="0">
      <w:lvlJc w:val="left"/>
      <w:lvlText w:val="(%1)"/>
      <w:numFmt w:val="decimal"/>
      <w:start w:val="2"/>
    </w:lvl>
  </w:abstractNum>
  <w:abstractNum w:abstractNumId="99">
    <w:nsid w:val="23D86AAC"/>
    <w:multiLevelType w:val="hybridMultilevel"/>
    <w:lvl w:ilvl="0">
      <w:lvlJc w:val="left"/>
      <w:lvlText w:val="(%1)"/>
      <w:numFmt w:val="decimal"/>
      <w:start w:val="1"/>
    </w:lvl>
  </w:abstractNum>
  <w:abstractNum w:abstractNumId="100">
    <w:nsid w:val="45E6D486"/>
    <w:multiLevelType w:val="hybridMultilevel"/>
    <w:lvl w:ilvl="0">
      <w:lvlJc w:val="left"/>
      <w:lvlText w:val="(%1)"/>
      <w:numFmt w:val="decimal"/>
      <w:start w:val="1"/>
    </w:lvl>
  </w:abstractNum>
  <w:abstractNum w:abstractNumId="101">
    <w:nsid w:val="5C10FE21"/>
    <w:multiLevelType w:val="hybridMultilevel"/>
    <w:lvl w:ilvl="0">
      <w:lvlJc w:val="left"/>
      <w:lvlText w:val="(%1)"/>
      <w:numFmt w:val="decimal"/>
      <w:start w:val="3"/>
    </w:lvl>
  </w:abstractNum>
  <w:abstractNum w:abstractNumId="102">
    <w:nsid w:val="E7FFA2B"/>
    <w:multiLevelType w:val="hybridMultilevel"/>
    <w:lvl w:ilvl="0">
      <w:lvlJc w:val="left"/>
      <w:lvlText w:val="(%1)"/>
      <w:numFmt w:val="decimal"/>
      <w:start w:val="1"/>
    </w:lvl>
  </w:abstractNum>
  <w:abstractNum w:abstractNumId="103">
    <w:nsid w:val="3C5991AA"/>
    <w:multiLevelType w:val="hybridMultilevel"/>
    <w:lvl w:ilvl="0">
      <w:lvlJc w:val="left"/>
      <w:lvlText w:val="(%1)"/>
      <w:numFmt w:val="decimal"/>
      <w:start w:val="1"/>
    </w:lvl>
  </w:abstractNum>
  <w:abstractNum w:abstractNumId="104">
    <w:nsid w:val="4BD8591A"/>
    <w:multiLevelType w:val="hybridMultilevel"/>
    <w:lvl w:ilvl="0">
      <w:lvlJc w:val="left"/>
      <w:lvlText w:val="(%1)"/>
      <w:numFmt w:val="decimal"/>
      <w:start w:val="1"/>
    </w:lvl>
  </w:abstractNum>
  <w:abstractNum w:abstractNumId="105">
    <w:nsid w:val="78DF6A55"/>
    <w:multiLevelType w:val="hybridMultilevel"/>
    <w:lvl w:ilvl="0">
      <w:lvlJc w:val="left"/>
      <w:lvlText w:val="(%1)"/>
      <w:numFmt w:val="decimal"/>
      <w:start w:val="1"/>
    </w:lvl>
  </w:abstractNum>
  <w:abstractNum w:abstractNumId="106">
    <w:nsid w:val="39B7AAA2"/>
    <w:multiLevelType w:val="hybridMultilevel"/>
    <w:lvl w:ilvl="0">
      <w:lvlJc w:val="left"/>
      <w:lvlText w:val="(%1)"/>
      <w:numFmt w:val="decimal"/>
      <w:start w:val="1"/>
    </w:lvl>
  </w:abstractNum>
  <w:abstractNum w:abstractNumId="107">
    <w:nsid w:val="2B0D8DBE"/>
    <w:multiLevelType w:val="hybridMultilevel"/>
    <w:lvl w:ilvl="0">
      <w:lvlJc w:val="left"/>
      <w:lvlText w:val="%1"/>
      <w:numFmt w:val="upperLetter"/>
      <w:start w:val="1"/>
    </w:lvl>
    <w:lvl w:ilvl="1">
      <w:lvlJc w:val="left"/>
      <w:lvlText w:val="(%2)"/>
      <w:numFmt w:val="decimal"/>
      <w:start w:val="1"/>
    </w:lvl>
  </w:abstractNum>
  <w:abstractNum w:abstractNumId="108">
    <w:nsid w:val="6C80EC70"/>
    <w:multiLevelType w:val="hybridMultilevel"/>
    <w:lvl w:ilvl="0">
      <w:lvlJc w:val="left"/>
      <w:lvlText w:val="(%1)"/>
      <w:numFmt w:val="upperLetter"/>
      <w:start w:val="2"/>
    </w:lvl>
    <w:lvl w:ilvl="1">
      <w:lvlJc w:val="left"/>
      <w:lvlText w:val="(%2)"/>
      <w:numFmt w:val="decimal"/>
      <w:start w:val="6"/>
    </w:lvl>
  </w:abstractNum>
  <w:abstractNum w:abstractNumId="109">
    <w:nsid w:val="379E21B5"/>
    <w:multiLevelType w:val="hybridMultilevel"/>
    <w:lvl w:ilvl="0">
      <w:lvlJc w:val="left"/>
      <w:lvlText w:val="(%1)"/>
      <w:numFmt w:val="decimal"/>
      <w:start w:val="10"/>
    </w:lvl>
  </w:abstractNum>
  <w:abstractNum w:abstractNumId="110">
    <w:nsid w:val="69E373"/>
    <w:multiLevelType w:val="hybridMultilevel"/>
    <w:lvl w:ilvl="0">
      <w:lvlJc w:val="left"/>
      <w:lvlText w:val="(%1)"/>
      <w:numFmt w:val="decimal"/>
      <w:start w:val="1"/>
    </w:lvl>
  </w:abstractNum>
  <w:abstractNum w:abstractNumId="111">
    <w:nsid w:val="2C27173B"/>
    <w:multiLevelType w:val="hybridMultilevel"/>
    <w:lvl w:ilvl="0">
      <w:lvlJc w:val="left"/>
      <w:lvlText w:val="(%1)"/>
      <w:numFmt w:val="decimal"/>
      <w:start w:val="1"/>
    </w:lvl>
  </w:abstractNum>
  <w:abstractNum w:abstractNumId="112">
    <w:nsid w:val="4C9B0904"/>
    <w:multiLevelType w:val="hybridMultilevel"/>
    <w:lvl w:ilvl="0">
      <w:lvlJc w:val="left"/>
      <w:lvlText w:val="(%1)"/>
      <w:numFmt w:val="decimal"/>
      <w:start w:val="1"/>
    </w:lvl>
  </w:abstractNum>
  <w:abstractNum w:abstractNumId="113">
    <w:nsid w:val="6AA7B75C"/>
    <w:multiLevelType w:val="hybridMultilevel"/>
    <w:lvl w:ilvl="0">
      <w:lvlJc w:val="left"/>
      <w:lvlText w:val="(%1)"/>
      <w:numFmt w:val="decimal"/>
      <w:start w:val="1"/>
    </w:lvl>
  </w:abstractNum>
  <w:abstractNum w:abstractNumId="114">
    <w:nsid w:val="1DF029D3"/>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15">
    <w:nsid w:val="5675FF36"/>
    <w:multiLevelType w:val="hybridMultilevel"/>
    <w:lvl w:ilvl="0">
      <w:lvlJc w:val="left"/>
      <w:lvlText w:val="(%1)"/>
      <w:numFmt w:val="decimal"/>
      <w:start w:val="2"/>
    </w:lvl>
    <w:lvl w:ilvl="1">
      <w:lvlJc w:val="left"/>
      <w:lvlText w:val="(%2)"/>
      <w:numFmt w:val="upperLetter"/>
      <w:start w:val="1"/>
    </w:lvl>
  </w:abstractNum>
  <w:abstractNum w:abstractNumId="116">
    <w:nsid w:val="3DD15094"/>
    <w:multiLevelType w:val="hybridMultilevel"/>
    <w:lvl w:ilvl="0">
      <w:lvlJc w:val="left"/>
      <w:lvlText w:val="(%1)"/>
      <w:numFmt w:val="decimal"/>
      <w:start w:val="8"/>
    </w:lvl>
    <w:lvl w:ilvl="1">
      <w:lvlJc w:val="left"/>
      <w:lvlText w:val="(%2)"/>
      <w:numFmt w:val="upperLetter"/>
      <w:start w:val="1"/>
    </w:lvl>
  </w:abstractNum>
  <w:abstractNum w:abstractNumId="117">
    <w:nsid w:val="3DB012B3"/>
    <w:multiLevelType w:val="hybridMultilevel"/>
    <w:lvl w:ilvl="0">
      <w:lvlJc w:val="left"/>
      <w:lvlText w:val="(%1)"/>
      <w:numFmt w:val="decimal"/>
      <w:start w:val="1"/>
    </w:lvl>
  </w:abstractNum>
  <w:abstractNum w:abstractNumId="118">
    <w:nsid w:val="2708C9AF"/>
    <w:multiLevelType w:val="hybridMultilevel"/>
    <w:lvl w:ilvl="0">
      <w:lvlJc w:val="left"/>
      <w:lvlText w:val="(%1)"/>
      <w:numFmt w:val="decimal"/>
      <w:start w:val="2"/>
    </w:lvl>
  </w:abstractNum>
  <w:abstractNum w:abstractNumId="119">
    <w:nsid w:val="5B25ACE2"/>
    <w:multiLevelType w:val="hybridMultilevel"/>
    <w:lvl w:ilvl="0">
      <w:lvlJc w:val="left"/>
      <w:lvlText w:val="(%1)"/>
      <w:numFmt w:val="lowerRoman"/>
      <w:start w:val="1"/>
    </w:lvl>
  </w:abstractNum>
  <w:abstractNum w:abstractNumId="120">
    <w:nsid w:val="175DFCF0"/>
    <w:multiLevelType w:val="hybridMultilevel"/>
    <w:lvl w:ilvl="0">
      <w:lvlJc w:val="left"/>
      <w:lvlText w:val="(%1)"/>
      <w:numFmt w:val="lowerRoman"/>
      <w:start w:val="1"/>
    </w:lvl>
  </w:abstractNum>
  <w:abstractNum w:abstractNumId="121">
    <w:nsid w:val="4F97E3E4"/>
    <w:multiLevelType w:val="hybridMultilevel"/>
    <w:lvl w:ilvl="0">
      <w:lvlJc w:val="left"/>
      <w:lvlText w:val="(%1)"/>
      <w:numFmt w:val="decimal"/>
      <w:start w:val="2"/>
    </w:lvl>
  </w:abstractNum>
  <w:abstractNum w:abstractNumId="122">
    <w:nsid w:val="53B0A9E"/>
    <w:multiLevelType w:val="hybridMultilevel"/>
    <w:lvl w:ilvl="0">
      <w:lvlJc w:val="left"/>
      <w:lvlText w:val="(%1)"/>
      <w:numFmt w:val="decimal"/>
      <w:start w:val="2"/>
    </w:lvl>
  </w:abstractNum>
  <w:abstractNum w:abstractNumId="123">
    <w:nsid w:val="34FD6B4F"/>
    <w:multiLevelType w:val="hybridMultilevel"/>
    <w:lvl w:ilvl="0">
      <w:lvlJc w:val="left"/>
      <w:lvlText w:val="%1."/>
      <w:numFmt w:val="decimal"/>
      <w:start w:val="1"/>
    </w:lvl>
  </w:abstractNum>
  <w:abstractNum w:abstractNumId="124">
    <w:nsid w:val="5915FF3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2020-01-17T10:59:04Z</dcterms:created>
  <dcterms:modified xsi:type="dcterms:W3CDTF">2020-01-17T10:59:04Z</dcterms:modified>
</cp:coreProperties>
</file>