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360" w:right="0" w:hanging="0"/>
        <w:rPr>
          <w:bdr w:val="single" w:sz="16" w:space="1" w:color="000000"/>
        </w:rPr>
      </w:pPr>
      <w:bookmarkStart w:id="0" w:name="c20619e8vk.htm"/>
      <w:bookmarkStart w:id="1" w:name="ksc20619e8vk"/>
      <w:bookmarkEnd w:id="0"/>
      <w:bookmarkEnd w:id="1"/>
      <w:r>
        <w:rPr>
          <w:bdr w:val="single" w:sz="16" w:space="1" w:color="000000"/>
        </w:rPr>
        <w:t> </w:t>
      </w:r>
    </w:p>
    <w:p>
      <w:pPr>
        <w:pStyle w:val="TextBody"/>
        <w:rPr>
          <w:bdr w:val="single" w:sz="8" w:space="1" w:color="000000"/>
        </w:rPr>
      </w:pPr>
      <w:r>
        <w:rPr>
          <w:bdr w:val="single" w:sz="8" w:space="1" w:color="000000"/>
        </w:rPr>
        <w:t> </w:t>
      </w:r>
    </w:p>
    <w:p>
      <w:pPr>
        <w:pStyle w:val="TextBody"/>
        <w:ind w:left="360" w:right="0" w:hanging="0"/>
        <w:jc w:val="center"/>
        <w:rPr>
          <w:rFonts w:ascii="Times New Roman;Times;serif" w:hAnsi="Times New Roman;Times;serif"/>
          <w:b/>
          <w:sz w:val="23"/>
        </w:rPr>
      </w:pPr>
      <w:r>
        <w:rPr>
          <w:rFonts w:ascii="Times New Roman;Times;serif" w:hAnsi="Times New Roman;Times;serif"/>
          <w:b/>
          <w:sz w:val="23"/>
        </w:rPr>
        <w:t>UNITED STATES</w:t>
        <w:br/>
        <w:t>SECURITIES AND EXCHANGE COMMISSION</w:t>
        <w:br/>
      </w:r>
      <w:r>
        <w:rPr>
          <w:rFonts w:ascii="Times New Roman;Times;serif" w:hAnsi="Times New Roman;Times;serif"/>
          <w:b/>
          <w:sz w:val="20"/>
        </w:rPr>
        <w:t xml:space="preserve">Washington, D.C. 20549 </w:t>
      </w:r>
    </w:p>
    <w:p>
      <w:pPr>
        <w:pStyle w:val="TextBody"/>
        <w:ind w:left="360" w:right="0" w:hanging="0"/>
        <w:jc w:val="center"/>
        <w:rPr>
          <w:rFonts w:ascii="Times New Roman;Times;serif" w:hAnsi="Times New Roman;Times;serif"/>
          <w:sz w:val="30"/>
        </w:rPr>
      </w:pPr>
      <w:r>
        <w:rPr>
          <w:rFonts w:ascii="Times New Roman;Times;serif" w:hAnsi="Times New Roman;Times;serif"/>
          <w:b/>
          <w:sz w:val="30"/>
        </w:rPr>
        <w:t>FORM 8-K</w:t>
      </w:r>
      <w:r>
        <w:rPr>
          <w:rFonts w:ascii="Times New Roman;Times;serif" w:hAnsi="Times New Roman;Times;serif"/>
          <w:sz w:val="30"/>
        </w:rPr>
        <w:t xml:space="preserve"> </w:t>
      </w:r>
    </w:p>
    <w:p>
      <w:pPr>
        <w:pStyle w:val="TextBody"/>
        <w:ind w:left="360" w:right="0" w:hanging="0"/>
        <w:jc w:val="center"/>
        <w:rPr>
          <w:rFonts w:ascii="Times New Roman;Times;serif" w:hAnsi="Times New Roman;Times;serif"/>
          <w:sz w:val="20"/>
        </w:rPr>
      </w:pPr>
      <w:r>
        <w:rPr>
          <w:rFonts w:ascii="Times New Roman;Times;serif" w:hAnsi="Times New Roman;Times;serif"/>
          <w:b/>
          <w:sz w:val="20"/>
        </w:rPr>
        <w:t>CURRENT REPORT</w:t>
        <w:br/>
        <w:t>Pursuant to Section 13 or 15(d) of the Securities Exchange Act of 1934</w:t>
      </w:r>
      <w:r>
        <w:rPr>
          <w:rFonts w:ascii="Times New Roman;Times;serif" w:hAnsi="Times New Roman;Times;serif"/>
          <w:sz w:val="20"/>
        </w:rPr>
        <w:t xml:space="preserve"> </w:t>
      </w:r>
    </w:p>
    <w:p>
      <w:pPr>
        <w:pStyle w:val="TextBody"/>
        <w:ind w:left="360" w:right="0" w:hanging="0"/>
        <w:jc w:val="center"/>
        <w:rPr>
          <w:rFonts w:ascii="Times New Roman;Times;serif" w:hAnsi="Times New Roman;Times;serif"/>
          <w:sz w:val="17"/>
        </w:rPr>
      </w:pPr>
      <w:r>
        <w:rPr>
          <w:rFonts w:ascii="Times New Roman;Times;serif" w:hAnsi="Times New Roman;Times;serif"/>
          <w:b/>
          <w:sz w:val="17"/>
        </w:rPr>
        <w:t>Date of Report (Date of earliest event reported): July 26, 2011</w:t>
      </w:r>
      <w:r>
        <w:rPr>
          <w:rFonts w:ascii="Times New Roman;Times;serif" w:hAnsi="Times New Roman;Times;serif"/>
          <w:sz w:val="17"/>
        </w:rPr>
        <w:t xml:space="preserve"> </w:t>
      </w:r>
    </w:p>
    <w:p>
      <w:pPr>
        <w:pStyle w:val="TextBody"/>
        <w:spacing w:before="0" w:after="0"/>
        <w:ind w:left="360" w:right="0" w:hanging="0"/>
        <w:jc w:val="center"/>
        <w:rPr>
          <w:rFonts w:ascii="Times New Roman;Times;serif" w:hAnsi="Times New Roman;Times;serif"/>
          <w:sz w:val="40"/>
        </w:rPr>
      </w:pPr>
      <w:r>
        <w:rPr>
          <w:rFonts w:ascii="Times New Roman;Times;serif" w:hAnsi="Times New Roman;Times;serif"/>
          <w:b/>
          <w:sz w:val="40"/>
        </w:rPr>
        <w:t>Transdel Pharmaceuticals, Inc.</w:t>
        <w:br/>
      </w:r>
      <w:r>
        <w:rPr>
          <w:rFonts w:ascii="Times New Roman;Times;serif" w:hAnsi="Times New Roman;Times;serif"/>
          <w:sz w:val="17"/>
        </w:rPr>
        <w:t xml:space="preserve">(Exact name of registrant as specified in its charter) </w:t>
      </w:r>
    </w:p>
    <w:tbl>
      <w:tblPr>
        <w:tblW w:w="5000" w:type="pct"/>
        <w:jc w:val="left"/>
        <w:tblInd w:w="360" w:type="dxa"/>
        <w:tblCellMar>
          <w:top w:w="0" w:type="dxa"/>
          <w:left w:w="0" w:type="dxa"/>
          <w:bottom w:w="0" w:type="dxa"/>
          <w:right w:w="0" w:type="dxa"/>
        </w:tblCellMar>
      </w:tblPr>
      <w:tblGrid>
        <w:gridCol w:w="3298"/>
        <w:gridCol w:w="103"/>
        <w:gridCol w:w="3402"/>
        <w:gridCol w:w="103"/>
        <w:gridCol w:w="3299"/>
      </w:tblGrid>
      <w:tr>
        <w:trPr/>
        <w:tc>
          <w:tcPr>
            <w:tcW w:w="3298" w:type="dxa"/>
            <w:tcBorders/>
            <w:shd w:fill="auto" w:val="clear"/>
            <w:vAlign w:val="center"/>
          </w:tcPr>
          <w:p>
            <w:pPr>
              <w:pStyle w:val="TableContents"/>
              <w:spacing w:before="0" w:after="283"/>
              <w:rPr/>
            </w:pPr>
            <w:r>
              <w:rPr/>
              <w:t> </w:t>
            </w:r>
          </w:p>
        </w:tc>
        <w:tc>
          <w:tcPr>
            <w:tcW w:w="103" w:type="dxa"/>
            <w:tcBorders/>
            <w:shd w:fill="auto" w:val="clear"/>
            <w:vAlign w:val="center"/>
          </w:tcPr>
          <w:p>
            <w:pPr>
              <w:pStyle w:val="TableContents"/>
              <w:spacing w:before="0" w:after="283"/>
              <w:rPr/>
            </w:pPr>
            <w:r>
              <w:rPr/>
              <w:t> </w:t>
            </w:r>
          </w:p>
        </w:tc>
        <w:tc>
          <w:tcPr>
            <w:tcW w:w="3402" w:type="dxa"/>
            <w:tcBorders/>
            <w:shd w:fill="auto" w:val="clear"/>
            <w:vAlign w:val="center"/>
          </w:tcPr>
          <w:p>
            <w:pPr>
              <w:pStyle w:val="TableContents"/>
              <w:spacing w:before="0" w:after="283"/>
              <w:rPr/>
            </w:pPr>
            <w:r>
              <w:rPr/>
              <w:t> </w:t>
            </w:r>
          </w:p>
        </w:tc>
        <w:tc>
          <w:tcPr>
            <w:tcW w:w="103" w:type="dxa"/>
            <w:tcBorders/>
            <w:shd w:fill="auto" w:val="clear"/>
            <w:vAlign w:val="center"/>
          </w:tcPr>
          <w:p>
            <w:pPr>
              <w:pStyle w:val="TableContents"/>
              <w:spacing w:before="0" w:after="283"/>
              <w:rPr/>
            </w:pPr>
            <w:r>
              <w:rPr/>
              <w:t> </w:t>
            </w:r>
          </w:p>
        </w:tc>
        <w:tc>
          <w:tcPr>
            <w:tcW w:w="3299" w:type="dxa"/>
            <w:tcBorders/>
            <w:shd w:fill="auto" w:val="clear"/>
            <w:vAlign w:val="center"/>
          </w:tcPr>
          <w:p>
            <w:pPr>
              <w:pStyle w:val="TableContents"/>
              <w:spacing w:before="0" w:after="283"/>
              <w:rPr/>
            </w:pPr>
            <w:r>
              <w:rPr/>
              <w:t> </w:t>
            </w:r>
          </w:p>
        </w:tc>
      </w:tr>
      <w:tr>
        <w:trPr/>
        <w:tc>
          <w:tcPr>
            <w:tcW w:w="3298" w:type="dxa"/>
            <w:tcBorders>
              <w:bottom w:val="single" w:sz="2" w:space="0" w:color="000000"/>
            </w:tcBorders>
            <w:shd w:fill="auto" w:val="clear"/>
            <w:tcMar>
              <w:bottom w:w="28" w:type="dxa"/>
            </w:tcMar>
            <w:vAlign w:val="bottom"/>
          </w:tcPr>
          <w:p>
            <w:pPr>
              <w:pStyle w:val="TableContents"/>
              <w:spacing w:before="0" w:after="283"/>
              <w:rPr>
                <w:b/>
              </w:rPr>
            </w:pPr>
            <w:r>
              <w:rPr>
                <w:b/>
              </w:rPr>
              <w:t>Delaware</w:t>
            </w:r>
          </w:p>
        </w:tc>
        <w:tc>
          <w:tcPr>
            <w:tcW w:w="103" w:type="dxa"/>
            <w:tcBorders/>
            <w:shd w:fill="auto" w:val="clear"/>
            <w:vAlign w:val="bottom"/>
          </w:tcPr>
          <w:p>
            <w:pPr>
              <w:pStyle w:val="TableContents"/>
              <w:spacing w:before="0" w:after="283"/>
              <w:rPr/>
            </w:pPr>
            <w:r>
              <w:rPr/>
              <w:t> </w:t>
            </w:r>
          </w:p>
        </w:tc>
        <w:tc>
          <w:tcPr>
            <w:tcW w:w="3402" w:type="dxa"/>
            <w:tcBorders>
              <w:bottom w:val="single" w:sz="2" w:space="0" w:color="000000"/>
            </w:tcBorders>
            <w:shd w:fill="auto" w:val="clear"/>
            <w:tcMar>
              <w:bottom w:w="28" w:type="dxa"/>
            </w:tcMar>
            <w:vAlign w:val="bottom"/>
          </w:tcPr>
          <w:p>
            <w:pPr>
              <w:pStyle w:val="TableContents"/>
              <w:spacing w:before="0" w:after="283"/>
              <w:rPr>
                <w:b/>
              </w:rPr>
            </w:pPr>
            <w:r>
              <w:rPr>
                <w:b/>
              </w:rPr>
              <w:t>000-52998</w:t>
            </w:r>
          </w:p>
        </w:tc>
        <w:tc>
          <w:tcPr>
            <w:tcW w:w="103" w:type="dxa"/>
            <w:tcBorders/>
            <w:shd w:fill="auto" w:val="clear"/>
            <w:vAlign w:val="bottom"/>
          </w:tcPr>
          <w:p>
            <w:pPr>
              <w:pStyle w:val="TableContents"/>
              <w:spacing w:before="0" w:after="283"/>
              <w:rPr/>
            </w:pPr>
            <w:r>
              <w:rPr/>
              <w:t> </w:t>
            </w:r>
          </w:p>
        </w:tc>
        <w:tc>
          <w:tcPr>
            <w:tcW w:w="3299" w:type="dxa"/>
            <w:tcBorders>
              <w:bottom w:val="single" w:sz="2" w:space="0" w:color="000000"/>
            </w:tcBorders>
            <w:shd w:fill="auto" w:val="clear"/>
            <w:tcMar>
              <w:bottom w:w="28" w:type="dxa"/>
            </w:tcMar>
            <w:vAlign w:val="bottom"/>
          </w:tcPr>
          <w:p>
            <w:pPr>
              <w:pStyle w:val="TableContents"/>
              <w:spacing w:before="0" w:after="283"/>
              <w:rPr>
                <w:b/>
              </w:rPr>
            </w:pPr>
            <w:r>
              <w:rPr>
                <w:b/>
              </w:rPr>
              <w:t>45-0567010</w:t>
            </w:r>
          </w:p>
        </w:tc>
      </w:tr>
      <w:tr>
        <w:trPr/>
        <w:tc>
          <w:tcPr>
            <w:tcW w:w="3298" w:type="dxa"/>
            <w:tcBorders/>
            <w:shd w:fill="auto" w:val="clear"/>
          </w:tcPr>
          <w:p>
            <w:pPr>
              <w:pStyle w:val="TableContents"/>
              <w:spacing w:before="0" w:after="283"/>
              <w:rPr/>
            </w:pPr>
            <w:r>
              <w:rPr/>
              <w:t>(State or other Jurisdiction of Incorporation)</w:t>
            </w:r>
          </w:p>
        </w:tc>
        <w:tc>
          <w:tcPr>
            <w:tcW w:w="103" w:type="dxa"/>
            <w:tcBorders/>
            <w:shd w:fill="auto" w:val="clear"/>
          </w:tcPr>
          <w:p>
            <w:pPr>
              <w:pStyle w:val="TableContents"/>
              <w:spacing w:before="0" w:after="283"/>
              <w:rPr/>
            </w:pPr>
            <w:r>
              <w:rPr/>
              <w:t> </w:t>
            </w:r>
          </w:p>
        </w:tc>
        <w:tc>
          <w:tcPr>
            <w:tcW w:w="3402" w:type="dxa"/>
            <w:tcBorders/>
            <w:shd w:fill="auto" w:val="clear"/>
          </w:tcPr>
          <w:p>
            <w:pPr>
              <w:pStyle w:val="TableContents"/>
              <w:spacing w:before="0" w:after="283"/>
              <w:rPr/>
            </w:pPr>
            <w:r>
              <w:rPr/>
              <w:t>(Commission File Number)</w:t>
            </w:r>
          </w:p>
        </w:tc>
        <w:tc>
          <w:tcPr>
            <w:tcW w:w="103" w:type="dxa"/>
            <w:tcBorders/>
            <w:shd w:fill="auto" w:val="clear"/>
          </w:tcPr>
          <w:p>
            <w:pPr>
              <w:pStyle w:val="TableContents"/>
              <w:spacing w:before="0" w:after="283"/>
              <w:rPr/>
            </w:pPr>
            <w:r>
              <w:rPr/>
              <w:t> </w:t>
            </w:r>
          </w:p>
        </w:tc>
        <w:tc>
          <w:tcPr>
            <w:tcW w:w="3299" w:type="dxa"/>
            <w:tcBorders/>
            <w:shd w:fill="auto" w:val="clear"/>
          </w:tcPr>
          <w:p>
            <w:pPr>
              <w:pStyle w:val="TableContents"/>
              <w:spacing w:before="0" w:after="283"/>
              <w:rPr/>
            </w:pPr>
            <w:r>
              <w:rPr/>
              <w:t>(IRS Employer Identification No.)</w:t>
            </w:r>
          </w:p>
        </w:tc>
      </w:tr>
    </w:tbl>
    <w:tbl>
      <w:tblPr>
        <w:tblW w:w="5000" w:type="pct"/>
        <w:jc w:val="left"/>
        <w:tblInd w:w="360" w:type="dxa"/>
        <w:tblCellMar>
          <w:top w:w="0" w:type="dxa"/>
          <w:left w:w="0" w:type="dxa"/>
          <w:bottom w:w="0" w:type="dxa"/>
          <w:right w:w="0" w:type="dxa"/>
        </w:tblCellMar>
      </w:tblPr>
      <w:tblGrid>
        <w:gridCol w:w="5051"/>
        <w:gridCol w:w="102"/>
        <w:gridCol w:w="5052"/>
      </w:tblGrid>
      <w:tr>
        <w:trPr/>
        <w:tc>
          <w:tcPr>
            <w:tcW w:w="5051"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5052" w:type="dxa"/>
            <w:tcBorders/>
            <w:shd w:fill="auto" w:val="clear"/>
            <w:vAlign w:val="center"/>
          </w:tcPr>
          <w:p>
            <w:pPr>
              <w:pStyle w:val="TableContents"/>
              <w:spacing w:before="0" w:after="283"/>
              <w:rPr/>
            </w:pPr>
            <w:r>
              <w:rPr/>
              <w:t> </w:t>
            </w:r>
          </w:p>
        </w:tc>
      </w:tr>
      <w:tr>
        <w:trPr/>
        <w:tc>
          <w:tcPr>
            <w:tcW w:w="5051" w:type="dxa"/>
            <w:tcBorders>
              <w:bottom w:val="single" w:sz="2" w:space="0" w:color="000000"/>
            </w:tcBorders>
            <w:shd w:fill="auto" w:val="clear"/>
            <w:tcMar>
              <w:bottom w:w="28" w:type="dxa"/>
            </w:tcMar>
            <w:vAlign w:val="bottom"/>
          </w:tcPr>
          <w:p>
            <w:pPr>
              <w:pStyle w:val="TableContents"/>
              <w:spacing w:before="0" w:after="283"/>
              <w:rPr>
                <w:b/>
              </w:rPr>
            </w:pPr>
            <w:r>
              <w:rPr>
                <w:b/>
              </w:rPr>
              <w:t xml:space="preserve">601-C East Palomar Street #456, Chula Vista, CA </w:t>
            </w:r>
          </w:p>
        </w:tc>
        <w:tc>
          <w:tcPr>
            <w:tcW w:w="102" w:type="dxa"/>
            <w:tcBorders/>
            <w:shd w:fill="auto" w:val="clear"/>
            <w:vAlign w:val="bottom"/>
          </w:tcPr>
          <w:p>
            <w:pPr>
              <w:pStyle w:val="TableContents"/>
              <w:spacing w:before="0" w:after="283"/>
              <w:rPr/>
            </w:pPr>
            <w:r>
              <w:rPr/>
              <w:t> </w:t>
            </w:r>
          </w:p>
        </w:tc>
        <w:tc>
          <w:tcPr>
            <w:tcW w:w="5052" w:type="dxa"/>
            <w:tcBorders>
              <w:bottom w:val="single" w:sz="2" w:space="0" w:color="000000"/>
            </w:tcBorders>
            <w:shd w:fill="auto" w:val="clear"/>
            <w:tcMar>
              <w:bottom w:w="28" w:type="dxa"/>
            </w:tcMar>
            <w:vAlign w:val="bottom"/>
          </w:tcPr>
          <w:p>
            <w:pPr>
              <w:pStyle w:val="TableContents"/>
              <w:spacing w:before="0" w:after="283"/>
              <w:rPr>
                <w:b/>
              </w:rPr>
            </w:pPr>
            <w:r>
              <w:rPr>
                <w:b/>
              </w:rPr>
              <w:t>91911</w:t>
            </w:r>
          </w:p>
        </w:tc>
      </w:tr>
      <w:tr>
        <w:trPr/>
        <w:tc>
          <w:tcPr>
            <w:tcW w:w="5051" w:type="dxa"/>
            <w:tcBorders/>
            <w:shd w:fill="auto" w:val="clear"/>
          </w:tcPr>
          <w:p>
            <w:pPr>
              <w:pStyle w:val="TableContents"/>
              <w:spacing w:before="0" w:after="283"/>
              <w:rPr/>
            </w:pPr>
            <w:r>
              <w:rPr/>
              <w:t>(Address of Principal Executive Offices)</w:t>
            </w:r>
          </w:p>
        </w:tc>
        <w:tc>
          <w:tcPr>
            <w:tcW w:w="102" w:type="dxa"/>
            <w:tcBorders/>
            <w:shd w:fill="auto" w:val="clear"/>
          </w:tcPr>
          <w:p>
            <w:pPr>
              <w:pStyle w:val="TableContents"/>
              <w:spacing w:before="0" w:after="283"/>
              <w:rPr/>
            </w:pPr>
            <w:r>
              <w:rPr/>
              <w:t> </w:t>
            </w:r>
          </w:p>
        </w:tc>
        <w:tc>
          <w:tcPr>
            <w:tcW w:w="5052" w:type="dxa"/>
            <w:tcBorders/>
            <w:shd w:fill="auto" w:val="clear"/>
          </w:tcPr>
          <w:p>
            <w:pPr>
              <w:pStyle w:val="TableContents"/>
              <w:spacing w:before="0" w:after="283"/>
              <w:rPr/>
            </w:pPr>
            <w:r>
              <w:rPr/>
              <w:t>(Zip Code)</w:t>
            </w:r>
          </w:p>
        </w:tc>
      </w:tr>
    </w:tbl>
    <w:p>
      <w:pPr>
        <w:pStyle w:val="TextBody"/>
        <w:spacing w:before="0" w:after="0"/>
        <w:ind w:left="360" w:right="0" w:hanging="0"/>
        <w:jc w:val="center"/>
        <w:rPr>
          <w:rFonts w:ascii="Times New Roman;Times;serif" w:hAnsi="Times New Roman;Times;serif"/>
          <w:sz w:val="17"/>
        </w:rPr>
      </w:pPr>
      <w:r>
        <w:rPr>
          <w:rFonts w:ascii="Times New Roman;Times;serif" w:hAnsi="Times New Roman;Times;serif"/>
          <w:sz w:val="17"/>
        </w:rPr>
        <w:t xml:space="preserve">Registrant’s telephone number, including area code: </w:t>
      </w:r>
      <w:r>
        <w:rPr>
          <w:rFonts w:ascii="Times New Roman;Times;serif" w:hAnsi="Times New Roman;Times;serif"/>
          <w:b/>
          <w:sz w:val="17"/>
        </w:rPr>
        <w:t>(858) 457-5300</w:t>
      </w:r>
      <w:r>
        <w:rPr>
          <w:rFonts w:ascii="Times New Roman;Times;serif" w:hAnsi="Times New Roman;Times;serif"/>
          <w:sz w:val="17"/>
        </w:rPr>
        <w:t xml:space="preserve"> </w:t>
      </w:r>
    </w:p>
    <w:tbl>
      <w:tblPr>
        <w:tblW w:w="5780" w:type="dxa"/>
        <w:jc w:val="left"/>
        <w:tblInd w:w="360" w:type="dxa"/>
        <w:tblCellMar>
          <w:top w:w="0" w:type="dxa"/>
          <w:left w:w="0" w:type="dxa"/>
          <w:bottom w:w="0" w:type="dxa"/>
          <w:right w:w="0" w:type="dxa"/>
        </w:tblCellMar>
      </w:tblPr>
      <w:tblGrid>
        <w:gridCol w:w="5780"/>
      </w:tblGrid>
      <w:tr>
        <w:trPr/>
        <w:tc>
          <w:tcPr>
            <w:tcW w:w="5780" w:type="dxa"/>
            <w:tcBorders/>
            <w:shd w:fill="auto" w:val="clear"/>
            <w:vAlign w:val="center"/>
          </w:tcPr>
          <w:p>
            <w:pPr>
              <w:pStyle w:val="TableContents"/>
              <w:spacing w:before="0" w:after="283"/>
              <w:rPr/>
            </w:pPr>
            <w:r>
              <w:rPr/>
              <w:t> </w:t>
            </w:r>
          </w:p>
        </w:tc>
      </w:tr>
      <w:tr>
        <w:trPr/>
        <w:tc>
          <w:tcPr>
            <w:tcW w:w="5780" w:type="dxa"/>
            <w:tcBorders>
              <w:bottom w:val="single" w:sz="2" w:space="0" w:color="000000"/>
            </w:tcBorders>
            <w:shd w:fill="auto" w:val="clear"/>
            <w:tcMar>
              <w:bottom w:w="28" w:type="dxa"/>
            </w:tcMar>
            <w:vAlign w:val="center"/>
          </w:tcPr>
          <w:p>
            <w:pPr>
              <w:pStyle w:val="TableContents"/>
              <w:spacing w:before="0" w:after="283"/>
              <w:rPr>
                <w:b/>
              </w:rPr>
            </w:pPr>
            <w:r>
              <w:rPr>
                <w:b/>
              </w:rPr>
              <w:t>4275 Executive Square, Suite 230, La Jolla, CA 92037</w:t>
            </w:r>
          </w:p>
        </w:tc>
      </w:tr>
      <w:tr>
        <w:trPr/>
        <w:tc>
          <w:tcPr>
            <w:tcW w:w="5780" w:type="dxa"/>
            <w:tcBorders/>
            <w:shd w:fill="auto" w:val="clear"/>
            <w:vAlign w:val="center"/>
          </w:tcPr>
          <w:p>
            <w:pPr>
              <w:pStyle w:val="TableContents"/>
              <w:spacing w:before="0" w:after="283"/>
              <w:rPr/>
            </w:pPr>
            <w:r>
              <w:rPr/>
              <w:t>(Former name or former address if changed since last report.)</w:t>
            </w:r>
          </w:p>
        </w:tc>
      </w:tr>
    </w:tbl>
    <w:p>
      <w:pPr>
        <w:pStyle w:val="TextBody"/>
        <w:ind w:left="360" w:right="0" w:hanging="0"/>
        <w:jc w:val="left"/>
        <w:rPr>
          <w:rFonts w:ascii="Times New Roman;Times;serif" w:hAnsi="Times New Roman;Times;serif"/>
          <w:sz w:val="17"/>
        </w:rPr>
      </w:pPr>
      <w:r>
        <w:rPr>
          <w:rFonts w:ascii="Times New Roman;Times;serif" w:hAnsi="Times New Roman;Times;serif"/>
          <w:sz w:val="17"/>
        </w:rPr>
        <w:t xml:space="preserve">Check the appropriate box below if the Form 8-K filing is intended to simultaneously satisfy the filing obligation of the registrant under any of the following provisions: </w:t>
      </w:r>
    </w:p>
    <w:p>
      <w:pPr>
        <w:pStyle w:val="TextBody"/>
        <w:spacing w:before="0" w:after="0"/>
        <w:ind w:left="360" w:right="0" w:hanging="0"/>
        <w:jc w:val="left"/>
        <w:rPr>
          <w:rFonts w:ascii="Times New Roman;Times;serif" w:hAnsi="Times New Roman;Times;serif"/>
          <w:sz w:val="17"/>
        </w:rPr>
      </w:pPr>
      <w:r>
        <w:rPr>
          <w:rFonts w:ascii="Wingdings" w:hAnsi="Wingdings"/>
          <w:sz w:val="17"/>
        </w:rPr>
        <w:t>o</w:t>
      </w:r>
      <w:r>
        <w:rPr>
          <w:rFonts w:ascii="Times New Roman;Times;serif" w:hAnsi="Times New Roman;Times;serif"/>
          <w:sz w:val="17"/>
        </w:rPr>
        <w:t xml:space="preserve"> Written communications pursuant to Rule 425 under the Securities Act (17 CFR 230.425)</w:t>
        <w:br/>
        <w:br/>
      </w:r>
      <w:r>
        <w:rPr>
          <w:rFonts w:ascii="Wingdings" w:hAnsi="Wingdings"/>
          <w:sz w:val="17"/>
        </w:rPr>
        <w:t>o</w:t>
      </w:r>
      <w:r>
        <w:rPr>
          <w:rFonts w:ascii="Times New Roman;Times;serif" w:hAnsi="Times New Roman;Times;serif"/>
          <w:sz w:val="17"/>
        </w:rPr>
        <w:t xml:space="preserve"> Soliciting material pursuant to Rule 14a-12 under the Exchange Act (17 CFR 240.14a-12)</w:t>
        <w:br/>
        <w:br/>
      </w:r>
      <w:r>
        <w:rPr>
          <w:rFonts w:ascii="Wingdings" w:hAnsi="Wingdings"/>
          <w:sz w:val="17"/>
        </w:rPr>
        <w:t>o</w:t>
      </w:r>
      <w:r>
        <w:rPr>
          <w:rFonts w:ascii="Times New Roman;Times;serif" w:hAnsi="Times New Roman;Times;serif"/>
          <w:sz w:val="17"/>
        </w:rPr>
        <w:t xml:space="preserve"> Pre-commencement communications pursuant to Rule 14d-2(b) under the Exchange Act (17 CFR 240.14d-2(b))</w:t>
        <w:br/>
        <w:br/>
      </w:r>
      <w:r>
        <w:rPr>
          <w:rFonts w:ascii="Wingdings" w:hAnsi="Wingdings"/>
          <w:sz w:val="17"/>
        </w:rPr>
        <w:t>o</w:t>
      </w:r>
      <w:r>
        <w:rPr>
          <w:rFonts w:ascii="Times New Roman;Times;serif" w:hAnsi="Times New Roman;Times;serif"/>
          <w:sz w:val="17"/>
        </w:rPr>
        <w:t xml:space="preserve"> Pre-commencement communications pursuant to Rule 13e-4(c) under the Exchange Act (17 CFR 240.13e-4(c))</w:t>
      </w:r>
    </w:p>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ind w:left="360" w:right="0" w:hanging="0"/>
        <w:jc w:val="center"/>
        <w:rPr/>
      </w:pPr>
      <w:r>
        <w:rPr/>
        <w:t xml:space="preserve">  </w:t>
      </w:r>
    </w:p>
    <w:p>
      <w:pPr>
        <w:pStyle w:val="TextBody"/>
        <w:ind w:left="360" w:right="0" w:hanging="0"/>
        <w:jc w:val="center"/>
        <w:rPr>
          <w:rFonts w:ascii="Times New Roman;Times;serif" w:hAnsi="Times New Roman;Times;serif"/>
          <w:sz w:val="17"/>
        </w:rPr>
      </w:pPr>
      <w:r>
        <w:rPr>
          <w:rFonts w:ascii="Times New Roman;Times;serif" w:hAnsi="Times New Roman;Times;serif"/>
          <w:sz w:val="17"/>
        </w:rPr>
        <w:t xml:space="preserve">1 </w:t>
      </w:r>
    </w:p>
    <w:p>
      <w:pPr>
        <w:pStyle w:val="HorizontalLine"/>
        <w:pBdr>
          <w:bottom w:val="single" w:sz="20" w:space="0" w:color="808080"/>
        </w:pBdr>
        <w:rPr/>
      </w:pPr>
      <w:r>
        <w:rPr/>
      </w:r>
      <w:r>
        <w:br w:type="page"/>
      </w:r>
    </w:p>
    <w:p>
      <w:pPr>
        <w:pStyle w:val="Heading5"/>
        <w:jc w:val="left"/>
        <w:rPr/>
      </w:pPr>
      <w:r>
        <w:rPr/>
        <w:t> </w:t>
      </w:r>
    </w:p>
    <w:p>
      <w:pPr>
        <w:pStyle w:val="TextBody"/>
        <w:ind w:left="360" w:right="0" w:hanging="0"/>
        <w:jc w:val="both"/>
        <w:rPr>
          <w:rFonts w:ascii="Times New Roman;Times;serif" w:hAnsi="Times New Roman;Times;serif"/>
          <w:sz w:val="17"/>
        </w:rPr>
      </w:pPr>
      <w:r>
        <w:rPr>
          <w:rFonts w:ascii="Times New Roman;Times;serif" w:hAnsi="Times New Roman;Times;serif"/>
          <w:b/>
          <w:sz w:val="17"/>
        </w:rPr>
        <w:t>Item 8.01. Other Events</w:t>
      </w:r>
      <w:r>
        <w:rPr>
          <w:rFonts w:ascii="Times New Roman;Times;serif" w:hAnsi="Times New Roman;Times;serif"/>
          <w:sz w:val="17"/>
        </w:rPr>
        <w:t xml:space="preserve"> </w:t>
      </w:r>
    </w:p>
    <w:p>
      <w:pPr>
        <w:pStyle w:val="TextBody"/>
        <w:ind w:left="360" w:right="0" w:hanging="0"/>
        <w:jc w:val="both"/>
        <w:rPr>
          <w:rFonts w:ascii="Times New Roman;Times;serif" w:hAnsi="Times New Roman;Times;serif"/>
          <w:sz w:val="17"/>
        </w:rPr>
      </w:pPr>
      <w:r>
        <w:rPr>
          <w:rFonts w:ascii="Times New Roman;Times;serif" w:hAnsi="Times New Roman;Times;serif"/>
          <w:sz w:val="17"/>
        </w:rPr>
        <w:t>As noted in the Form 8-K filed by Transdel Pharmaceuticals, Inc. (the “Company”) on June 27, 2011, in connection with the Chapter 11 filing, the Company, as seller, and Cardium Healthcare, Inc., a wholly-owned subsidiary of Cardium Therapeutics, Inc. (NYSE Amex: CXM), as purchaser (the “</w:t>
      </w:r>
      <w:r>
        <w:rPr>
          <w:rFonts w:ascii="Times New Roman;Times;serif" w:hAnsi="Times New Roman;Times;serif"/>
          <w:sz w:val="17"/>
          <w:u w:val="single"/>
        </w:rPr>
        <w:t>Purchaser</w:t>
      </w:r>
      <w:r>
        <w:rPr>
          <w:rFonts w:ascii="Times New Roman;Times;serif" w:hAnsi="Times New Roman;Times;serif"/>
          <w:sz w:val="17"/>
        </w:rPr>
        <w:t>”) entered into an Asset Purchase Agreement dated June 26, 2011 (the “</w:t>
      </w:r>
      <w:r>
        <w:rPr>
          <w:rFonts w:ascii="Times New Roman;Times;serif" w:hAnsi="Times New Roman;Times;serif"/>
          <w:sz w:val="17"/>
          <w:u w:val="single"/>
        </w:rPr>
        <w:t>Asset Purchase Agreement</w:t>
      </w:r>
      <w:r>
        <w:rPr>
          <w:rFonts w:ascii="Times New Roman;Times;serif" w:hAnsi="Times New Roman;Times;serif"/>
          <w:sz w:val="17"/>
        </w:rPr>
        <w:t xml:space="preserve">”) pursuant to which the Company had agreed to sell substantially all of the assets of the Company (“Acquired Assets”) to the Purchaser pursuant to Sections 105, 363 and 365 of the Bankruptcy Code, subject to court approval and the satisfaction of certain conditions set forth in the Asset Purchase Agreement. </w:t>
        <w:br/>
        <w:t xml:space="preserve">  </w:t>
        <w:br/>
        <w:t xml:space="preserve">Consummation of the sale to the Purchaser was subject to obtaining an order of approval from the Bankruptcy Court for which the Company submitted a motion on June 29, 2011 requesting such approval. On July 26, 2011, the Bankruptcy court denied the Company’s motion to approve the Asset Purchase Agreement. An order will be entered to that effect forthwith. </w:t>
      </w:r>
    </w:p>
    <w:p>
      <w:pPr>
        <w:pStyle w:val="TextBody"/>
        <w:ind w:left="360" w:right="0" w:hanging="0"/>
        <w:jc w:val="both"/>
        <w:rPr>
          <w:rFonts w:ascii="Times New Roman;Times;serif" w:hAnsi="Times New Roman;Times;serif"/>
          <w:sz w:val="17"/>
        </w:rPr>
      </w:pPr>
      <w:r>
        <w:rPr>
          <w:rFonts w:ascii="Times New Roman;Times;serif" w:hAnsi="Times New Roman;Times;serif"/>
          <w:sz w:val="17"/>
        </w:rPr>
        <w:t xml:space="preserve">Given the Bankruptcy Court’s decision, the Company is now evaluating its options and will continue to seek alternatives to liquidation of its assets in a chapter 7 case. There can be no assurance that the exploration of alternatives will result in any agreements or transactions, or that, if completed, any agreements or transactions will be successful or on attractive terms. Any potential agreement will be subject to approval by the Bankruptcy Court. </w:t>
      </w:r>
    </w:p>
    <w:p>
      <w:pPr>
        <w:pStyle w:val="TextBody"/>
        <w:ind w:left="360" w:right="0" w:hanging="0"/>
        <w:jc w:val="center"/>
        <w:rPr/>
      </w:pPr>
      <w:r>
        <w:rPr/>
        <w:t xml:space="preserve">  </w:t>
      </w:r>
    </w:p>
    <w:p>
      <w:pPr>
        <w:pStyle w:val="TextBody"/>
        <w:ind w:left="360" w:right="0" w:hanging="0"/>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r>
        <w:rPr/>
        <w:t> </w:t>
      </w:r>
    </w:p>
    <w:p>
      <w:pPr>
        <w:pStyle w:val="TextBody"/>
        <w:ind w:left="360" w:right="0" w:hanging="0"/>
        <w:jc w:val="center"/>
        <w:rPr>
          <w:rFonts w:ascii="Times New Roman;Times;serif" w:hAnsi="Times New Roman;Times;serif"/>
          <w:sz w:val="17"/>
        </w:rPr>
      </w:pPr>
      <w:r>
        <w:rPr>
          <w:rFonts w:ascii="Times New Roman;Times;serif" w:hAnsi="Times New Roman;Times;serif"/>
          <w:b/>
          <w:sz w:val="17"/>
        </w:rPr>
        <w:t>SIGNATURES</w:t>
      </w:r>
      <w:r>
        <w:rPr>
          <w:rFonts w:ascii="Times New Roman;Times;serif" w:hAnsi="Times New Roman;Times;serif"/>
          <w:sz w:val="17"/>
        </w:rPr>
        <w:t xml:space="preserve"> </w:t>
      </w:r>
    </w:p>
    <w:p>
      <w:pPr>
        <w:pStyle w:val="TextBody"/>
        <w:ind w:left="360" w:right="0" w:hanging="0"/>
        <w:jc w:val="both"/>
        <w:rPr>
          <w:rFonts w:ascii="Times New Roman;Times;serif" w:hAnsi="Times New Roman;Times;serif"/>
          <w:sz w:val="17"/>
        </w:rPr>
      </w:pPr>
      <w:r>
        <w:rPr>
          <w:rFonts w:ascii="Times New Roman;Times;serif" w:hAnsi="Times New Roman;Times;serif"/>
          <w:sz w:val="17"/>
        </w:rPr>
        <w:t xml:space="preserve">Pursuant to the requirements of the Securities Exchange Act of 1934, the Registrant has duly caused this report to be signed on its behalf by the undersigned thereunto duly authorized. </w:t>
      </w:r>
    </w:p>
    <w:p>
      <w:pPr>
        <w:pStyle w:val="TextBody"/>
        <w:ind w:left="360" w:right="0" w:hanging="0"/>
        <w:jc w:val="both"/>
        <w:rPr>
          <w:rFonts w:ascii="Times New Roman;Times;serif" w:hAnsi="Times New Roman;Times;serif"/>
          <w:sz w:val="17"/>
        </w:rPr>
      </w:pPr>
      <w:r>
        <w:rPr>
          <w:rFonts w:ascii="Times New Roman;Times;serif" w:hAnsi="Times New Roman;Times;serif"/>
          <w:b/>
          <w:sz w:val="17"/>
        </w:rPr>
        <w:t>Transdel Pharmaceuticals, Inc.</w:t>
      </w:r>
      <w:r>
        <w:rPr>
          <w:rFonts w:ascii="Times New Roman;Times;serif" w:hAnsi="Times New Roman;Times;serif"/>
          <w:sz w:val="17"/>
        </w:rPr>
        <w:t xml:space="preserve"> </w:t>
      </w:r>
    </w:p>
    <w:tbl>
      <w:tblPr>
        <w:tblW w:w="5000" w:type="pct"/>
        <w:jc w:val="left"/>
        <w:tblInd w:w="36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jc w:val="both"/>
              <w:rPr/>
            </w:pPr>
            <w:r>
              <w:rPr/>
              <w:t>Date: August 1, 2011</w:t>
            </w:r>
          </w:p>
        </w:tc>
      </w:tr>
    </w:tbl>
    <w:p>
      <w:pPr>
        <w:pStyle w:val="TextBody"/>
        <w:spacing w:before="0" w:after="283"/>
        <w:ind w:left="360" w:right="0" w:hanging="0"/>
        <w:jc w:val="both"/>
        <w:rPr>
          <w:rFonts w:ascii="Times New Roman;Times;serif" w:hAnsi="Times New Roman;Times;serif"/>
          <w:sz w:val="17"/>
        </w:rPr>
      </w:pPr>
      <w:r>
        <w:rPr>
          <w:rFonts w:ascii="Times New Roman;Times;serif" w:hAnsi="Times New Roman;Times;serif"/>
          <w:sz w:val="17"/>
        </w:rPr>
        <w:t>By</w:t>
      </w:r>
      <w:r>
        <w:rPr>
          <w:rFonts w:ascii="Times New Roman;Times;serif" w:hAnsi="Times New Roman;Times;serif"/>
          <w:sz w:val="17"/>
          <w:u w:val="single"/>
        </w:rPr>
        <w:t>: /s/ John Lomoro                                                   </w:t>
      </w:r>
      <w:r>
        <w:rPr>
          <w:rFonts w:ascii="Times New Roman;Times;serif" w:hAnsi="Times New Roman;Times;serif"/>
          <w:sz w:val="17"/>
        </w:rPr>
        <w:br/>
        <w:t>John T. Lomoro</w:t>
        <w:br/>
        <w:t>Chief Financial Officer and Principal Executive</w:t>
        <w:br/>
        <w:t xml:space="preserve">Officer </w:t>
      </w:r>
    </w:p>
    <w:p>
      <w:pPr>
        <w:pStyle w:val="TextBody"/>
        <w:ind w:left="360" w:right="0" w:hanging="0"/>
        <w:jc w:val="center"/>
        <w:rPr/>
      </w:pPr>
      <w:r>
        <w:rPr/>
        <w:t xml:space="preserve">  </w:t>
      </w:r>
    </w:p>
    <w:p>
      <w:pPr>
        <w:pStyle w:val="TextBody"/>
        <w:spacing w:before="0" w:after="0"/>
        <w:ind w:left="360" w:right="0" w:hanging="0"/>
        <w:jc w:val="center"/>
        <w:rPr>
          <w:rFonts w:ascii="Times New Roman;Times;serif" w:hAnsi="Times New Roman;Times;serif"/>
          <w:sz w:val="17"/>
        </w:rPr>
      </w:pPr>
      <w:r>
        <w:rPr>
          <w:rFonts w:ascii="Times New Roman;Times;serif" w:hAnsi="Times New Roman;Times;serif"/>
          <w:sz w:val="17"/>
        </w:rPr>
        <w:t xml:space="preserve">3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491</Words>
  <CharactersWithSpaces>3253</CharactersWithSpaces>
  <Paragraphs>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e8vk</dc:title>
</cp:coreProperties>
</file>