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v131189_8k.htm"/>
      <w:bookmarkStart w:id="1" w:name="ksv131189_8k"/>
      <w:bookmarkStart w:id="2" w:name="v131189_8k.htm"/>
      <w:bookmarkStart w:id="3" w:name="ksv131189_8k"/>
      <w:bookmarkEnd w:id="2"/>
      <w:bookmarkEnd w:id="3"/>
    </w:p>
    <w:p>
      <w:pPr>
        <w:pStyle w:val="TextBody"/>
        <w:spacing w:lineRule="auto" w:line="300" w:before="0" w:after="0"/>
        <w:ind w:left="0" w:right="0" w:hanging="0"/>
        <w:jc w:val="center"/>
        <w:rPr/>
      </w:pPr>
      <w:r>
        <w:rPr>
          <w:rStyle w:val="StrongEmphasis"/>
          <w:rFonts w:ascii="Times New Roman" w:hAnsi="Times New Roman"/>
          <w:sz w:val="20"/>
        </w:rPr>
        <w:t>UNITED</w:t>
      </w:r>
      <w:r>
        <w:rPr>
          <w:rStyle w:val="StrongEmphasis"/>
        </w:rPr>
        <w:t xml:space="preserve"> </w:t>
      </w:r>
      <w:r>
        <w:rPr>
          <w:rStyle w:val="StrongEmphasis"/>
          <w:rFonts w:ascii="Times New Roman" w:hAnsi="Times New Roman"/>
          <w:sz w:val="20"/>
        </w:rPr>
        <w:t>STATES</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pPr>
      <w:r>
        <w:rPr>
          <w:rStyle w:val="StrongEmphasis"/>
          <w:rFonts w:ascii="Times New Roman" w:hAnsi="Times New Roman"/>
          <w:sz w:val="20"/>
        </w:rPr>
        <w:t>SECURITIES AND EXCHANGE COMMISSION</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pPr>
      <w:r>
        <w:rPr>
          <w:rStyle w:val="StrongEmphasis"/>
          <w:rFonts w:ascii="Times New Roman" w:hAnsi="Times New Roman"/>
          <w:sz w:val="20"/>
        </w:rPr>
        <w:t>Washington, D.C. 20549</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____________________________________________________________</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pPr>
      <w:r>
        <w:rPr>
          <w:rStyle w:val="StrongEmphasis"/>
          <w:rFonts w:ascii="Times New Roman" w:hAnsi="Times New Roman"/>
          <w:sz w:val="24"/>
        </w:rPr>
        <w:t>FORM 8-K</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pPr>
      <w:r>
        <w:rPr>
          <w:rStyle w:val="StrongEmphasis"/>
          <w:rFonts w:ascii="Times New Roman" w:hAnsi="Times New Roman"/>
          <w:sz w:val="20"/>
        </w:rPr>
        <w:t>CURRENT REPORT</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Pursuant to Section 13 or 15(d) of the Securities Exchange Act of 1934</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___________________________________________________________________</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pPr>
      <w:r>
        <w:rPr>
          <w:rFonts w:ascii="Times New Roman" w:hAnsi="Times New Roman"/>
          <w:sz w:val="20"/>
        </w:rPr>
        <w:t xml:space="preserve">Date of Report (Date of earliest event reported): </w:t>
      </w:r>
      <w:r>
        <w:rPr>
          <w:rFonts w:ascii="Times New Roman" w:hAnsi="Times New Roman"/>
          <w:sz w:val="20"/>
          <w:u w:val="single"/>
        </w:rPr>
        <w:t>November 3, 2008</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401"/>
        <w:gridCol w:w="3402"/>
        <w:gridCol w:w="3402"/>
      </w:tblGrid>
      <w:tr>
        <w:trPr/>
        <w:tc>
          <w:tcPr>
            <w:tcW w:w="10205" w:type="dxa"/>
            <w:gridSpan w:val="3"/>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36"/>
              </w:rPr>
              <w:t>Transdel Pharmaceuticals, Inc.</w:t>
            </w:r>
          </w:p>
        </w:tc>
      </w:tr>
      <w:tr>
        <w:trPr/>
        <w:tc>
          <w:tcPr>
            <w:tcW w:w="10205" w:type="dxa"/>
            <w:gridSpan w:val="3"/>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c>
      </w:tr>
      <w:tr>
        <w:trPr/>
        <w:tc>
          <w:tcPr>
            <w:tcW w:w="3401" w:type="dxa"/>
            <w:tcBorders/>
            <w:shd w:fill="auto" w:val="clear"/>
            <w:tcMar>
              <w:bottom w:w="0" w:type="dxa"/>
            </w:tcMar>
          </w:tcPr>
          <w:p>
            <w:pPr>
              <w:pStyle w:val="TableContents"/>
              <w:spacing w:before="0" w:after="283"/>
              <w:jc w:val="left"/>
              <w:rPr/>
            </w:pPr>
            <w:r>
              <w:rPr/>
              <w:t> </w:t>
            </w:r>
          </w:p>
        </w:tc>
        <w:tc>
          <w:tcPr>
            <w:tcW w:w="3402" w:type="dxa"/>
            <w:tcBorders/>
            <w:shd w:fill="auto" w:val="clear"/>
            <w:tcMar>
              <w:bottom w:w="0" w:type="dxa"/>
            </w:tcMar>
          </w:tcPr>
          <w:p>
            <w:pPr>
              <w:pStyle w:val="TableContents"/>
              <w:spacing w:before="0" w:after="283"/>
              <w:jc w:val="left"/>
              <w:rPr/>
            </w:pPr>
            <w:r>
              <w:rPr/>
              <w:t> </w:t>
            </w:r>
          </w:p>
        </w:tc>
        <w:tc>
          <w:tcPr>
            <w:tcW w:w="3402" w:type="dxa"/>
            <w:tcBorders/>
            <w:shd w:fill="auto" w:val="clear"/>
            <w:tcMar>
              <w:bottom w:w="0" w:type="dxa"/>
            </w:tcMar>
          </w:tcPr>
          <w:p>
            <w:pPr>
              <w:pStyle w:val="TableContents"/>
              <w:spacing w:before="0" w:after="283"/>
              <w:jc w:val="left"/>
              <w:rPr/>
            </w:pPr>
            <w:r>
              <w:rPr/>
              <w:t> </w:t>
            </w:r>
          </w:p>
        </w:tc>
      </w:tr>
      <w:tr>
        <w:trPr/>
        <w:tc>
          <w:tcPr>
            <w:tcW w:w="3401" w:type="dxa"/>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Delaware</w:t>
            </w:r>
          </w:p>
        </w:tc>
        <w:tc>
          <w:tcPr>
            <w:tcW w:w="3402" w:type="dxa"/>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000-52998</w:t>
            </w:r>
          </w:p>
        </w:tc>
        <w:tc>
          <w:tcPr>
            <w:tcW w:w="3402" w:type="dxa"/>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45-0567010</w:t>
            </w:r>
          </w:p>
        </w:tc>
      </w:tr>
      <w:tr>
        <w:trPr/>
        <w:tc>
          <w:tcPr>
            <w:tcW w:w="3401" w:type="dxa"/>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(State or other jurisdiction</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of incorporation)</w:t>
            </w:r>
          </w:p>
        </w:tc>
        <w:tc>
          <w:tcPr>
            <w:tcW w:w="3402" w:type="dxa"/>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(Commission</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File Number)</w:t>
            </w:r>
          </w:p>
        </w:tc>
        <w:tc>
          <w:tcPr>
            <w:tcW w:w="3402" w:type="dxa"/>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(IRS Employer</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Identification No.)</w:t>
            </w:r>
          </w:p>
        </w:tc>
      </w:tr>
      <w:tr>
        <w:trPr/>
        <w:tc>
          <w:tcPr>
            <w:tcW w:w="3401" w:type="dxa"/>
            <w:tcBorders/>
            <w:shd w:fill="auto" w:val="clear"/>
            <w:tcMar>
              <w:bottom w:w="0" w:type="dxa"/>
            </w:tcMar>
          </w:tcPr>
          <w:p>
            <w:pPr>
              <w:pStyle w:val="TableContents"/>
              <w:spacing w:before="0" w:after="283"/>
              <w:jc w:val="left"/>
              <w:rPr/>
            </w:pPr>
            <w:r>
              <w:rPr/>
              <w:t> </w:t>
            </w:r>
          </w:p>
        </w:tc>
        <w:tc>
          <w:tcPr>
            <w:tcW w:w="3402" w:type="dxa"/>
            <w:tcBorders/>
            <w:shd w:fill="auto" w:val="clear"/>
            <w:tcMar>
              <w:bottom w:w="0" w:type="dxa"/>
            </w:tcMar>
          </w:tcPr>
          <w:p>
            <w:pPr>
              <w:pStyle w:val="TableContents"/>
              <w:spacing w:before="0" w:after="283"/>
              <w:jc w:val="left"/>
              <w:rPr/>
            </w:pPr>
            <w:r>
              <w:rPr/>
              <w:t> </w:t>
            </w:r>
          </w:p>
        </w:tc>
        <w:tc>
          <w:tcPr>
            <w:tcW w:w="3402" w:type="dxa"/>
            <w:tcBorders/>
            <w:shd w:fill="auto" w:val="clear"/>
            <w:tcMar>
              <w:bottom w:w="0" w:type="dxa"/>
            </w:tcMar>
          </w:tcPr>
          <w:p>
            <w:pPr>
              <w:pStyle w:val="TableContents"/>
              <w:spacing w:before="0" w:after="283"/>
              <w:jc w:val="left"/>
              <w:rPr/>
            </w:pPr>
            <w:r>
              <w:rPr/>
              <w:t> </w:t>
            </w:r>
          </w:p>
        </w:tc>
      </w:tr>
      <w:tr>
        <w:trPr/>
        <w:tc>
          <w:tcPr>
            <w:tcW w:w="6803"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4225 Executive Square, Suite 485</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La Jolla, CA</w:t>
            </w:r>
          </w:p>
        </w:tc>
        <w:tc>
          <w:tcPr>
            <w:tcW w:w="3402" w:type="dxa"/>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92037</w:t>
            </w:r>
          </w:p>
        </w:tc>
      </w:tr>
      <w:tr>
        <w:trPr/>
        <w:tc>
          <w:tcPr>
            <w:tcW w:w="6803" w:type="dxa"/>
            <w:gridSpan w:val="2"/>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3402" w:type="dxa"/>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(Zip Code)</w:t>
            </w:r>
          </w:p>
        </w:tc>
      </w:tr>
      <w:tr>
        <w:trPr/>
        <w:tc>
          <w:tcPr>
            <w:tcW w:w="6803" w:type="dxa"/>
            <w:gridSpan w:val="2"/>
            <w:tcBorders/>
            <w:shd w:fill="auto" w:val="clear"/>
            <w:tcMar>
              <w:bottom w:w="0" w:type="dxa"/>
            </w:tcMar>
          </w:tcPr>
          <w:p>
            <w:pPr>
              <w:pStyle w:val="TableContents"/>
              <w:spacing w:before="0" w:after="283"/>
              <w:rPr/>
            </w:pPr>
            <w:r>
              <w:rPr/>
              <w:t> </w:t>
            </w:r>
          </w:p>
        </w:tc>
        <w:tc>
          <w:tcPr>
            <w:tcW w:w="3402" w:type="dxa"/>
            <w:tcBorders/>
            <w:shd w:fill="auto" w:val="clear"/>
            <w:tcMar>
              <w:bottom w:w="0" w:type="dxa"/>
            </w:tcMar>
            <w:vAlign w:val="bottom"/>
          </w:tcPr>
          <w:p>
            <w:pPr>
              <w:pStyle w:val="TableContents"/>
              <w:spacing w:before="0" w:after="283"/>
              <w:rPr/>
            </w:pPr>
            <w:r>
              <w:rPr/>
              <w:t> </w:t>
            </w:r>
          </w:p>
        </w:tc>
      </w:tr>
      <w:tr>
        <w:trPr/>
        <w:tc>
          <w:tcPr>
            <w:tcW w:w="10205" w:type="dxa"/>
            <w:gridSpan w:val="3"/>
            <w:tcBorders>
              <w:bottom w:val="single" w:sz="2" w:space="0" w:color="000000"/>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Registrant’s telephone number, including area code: (858) 457-5300</w:t>
            </w:r>
          </w:p>
        </w:tc>
      </w:tr>
      <w:tr>
        <w:trPr/>
        <w:tc>
          <w:tcPr>
            <w:tcW w:w="6803" w:type="dxa"/>
            <w:gridSpan w:val="2"/>
            <w:tcBorders/>
            <w:shd w:fill="auto" w:val="clear"/>
            <w:tcMar>
              <w:bottom w:w="0" w:type="dxa"/>
            </w:tcMar>
          </w:tcPr>
          <w:p>
            <w:pPr>
              <w:pStyle w:val="TableContents"/>
              <w:spacing w:before="0" w:after="283"/>
              <w:rPr/>
            </w:pPr>
            <w:r>
              <w:rPr/>
              <w:t> </w:t>
            </w:r>
          </w:p>
        </w:tc>
        <w:tc>
          <w:tcPr>
            <w:tcW w:w="3402" w:type="dxa"/>
            <w:tcBorders/>
            <w:shd w:fill="auto" w:val="clear"/>
            <w:tcMar>
              <w:bottom w:w="0" w:type="dxa"/>
            </w:tcMar>
            <w:vAlign w:val="bottom"/>
          </w:tcPr>
          <w:p>
            <w:pPr>
              <w:pStyle w:val="TableContents"/>
              <w:spacing w:before="0" w:after="283"/>
              <w:rPr/>
            </w:pPr>
            <w:r>
              <w:rPr/>
              <w:t> </w:t>
            </w:r>
          </w:p>
        </w:tc>
      </w:tr>
      <w:tr>
        <w:trPr/>
        <w:tc>
          <w:tcPr>
            <w:tcW w:w="10205" w:type="dxa"/>
            <w:gridSpan w:val="3"/>
            <w:tcBorders>
              <w:bottom w:val="single" w:sz="2" w:space="0" w:color="000000"/>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N/A</w:t>
            </w:r>
          </w:p>
        </w:tc>
      </w:tr>
      <w:tr>
        <w:trPr/>
        <w:tc>
          <w:tcPr>
            <w:tcW w:w="10205" w:type="dxa"/>
            <w:gridSpan w:val="3"/>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t> </w:t>
      </w:r>
    </w:p>
    <w:p>
      <w:pPr>
        <w:pStyle w:val="TextBody"/>
        <w:spacing w:lineRule="auto" w:line="300" w:before="0" w:after="0"/>
        <w:ind w:left="540" w:right="0" w:hanging="0"/>
        <w:jc w:val="left"/>
        <w:rPr>
          <w:rFonts w:ascii="Times New Roman" w:hAnsi="Times New Roman"/>
          <w:sz w:val="20"/>
        </w:rPr>
      </w:pPr>
      <w:bookmarkStart w:id="4" w:name="TAB1"/>
      <w:bookmarkEnd w:id="4"/>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 w:name="hangingindent"/>
      <w:bookmarkStart w:id="6" w:name="hangingindent"/>
      <w:bookmarkEnd w:id="6"/>
    </w:p>
    <w:tbl>
      <w:tblPr>
        <w:tblW w:w="5000" w:type="pct"/>
        <w:jc w:val="center"/>
        <w:tblInd w:w="0" w:type="dxa"/>
        <w:tblCellMar>
          <w:top w:w="0" w:type="dxa"/>
          <w:left w:w="0" w:type="dxa"/>
          <w:bottom w:w="0" w:type="dxa"/>
          <w:right w:w="0" w:type="dxa"/>
        </w:tblCellMar>
      </w:tblPr>
      <w:tblGrid>
        <w:gridCol w:w="192"/>
        <w:gridCol w:w="10013"/>
      </w:tblGrid>
      <w:tr>
        <w:trPr/>
        <w:tc>
          <w:tcPr>
            <w:tcW w:w="192"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1001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7" w:name="hangingindent1"/>
      <w:bookmarkStart w:id="8" w:name="hangingindent1"/>
      <w:bookmarkEnd w:id="8"/>
    </w:p>
    <w:tbl>
      <w:tblPr>
        <w:tblW w:w="5000" w:type="pct"/>
        <w:jc w:val="center"/>
        <w:tblInd w:w="0" w:type="dxa"/>
        <w:tblCellMar>
          <w:top w:w="0" w:type="dxa"/>
          <w:left w:w="0" w:type="dxa"/>
          <w:bottom w:w="0" w:type="dxa"/>
          <w:right w:w="0" w:type="dxa"/>
        </w:tblCellMar>
      </w:tblPr>
      <w:tblGrid>
        <w:gridCol w:w="191"/>
        <w:gridCol w:w="10014"/>
      </w:tblGrid>
      <w:tr>
        <w:trPr/>
        <w:tc>
          <w:tcPr>
            <w:tcW w:w="191"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1001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9" w:name="hangingindent2"/>
      <w:bookmarkStart w:id="10" w:name="hangingindent2"/>
      <w:bookmarkEnd w:id="10"/>
    </w:p>
    <w:tbl>
      <w:tblPr>
        <w:tblW w:w="5000" w:type="pct"/>
        <w:jc w:val="center"/>
        <w:tblInd w:w="0" w:type="dxa"/>
        <w:tblCellMar>
          <w:top w:w="0" w:type="dxa"/>
          <w:left w:w="0" w:type="dxa"/>
          <w:bottom w:w="0" w:type="dxa"/>
          <w:right w:w="0" w:type="dxa"/>
        </w:tblCellMar>
      </w:tblPr>
      <w:tblGrid>
        <w:gridCol w:w="155"/>
        <w:gridCol w:w="10050"/>
      </w:tblGrid>
      <w:tr>
        <w:trPr/>
        <w:tc>
          <w:tcPr>
            <w:tcW w:w="155"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1005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 w:name="hangingindent3"/>
      <w:bookmarkStart w:id="12" w:name="hangingindent3"/>
      <w:bookmarkEnd w:id="12"/>
    </w:p>
    <w:tbl>
      <w:tblPr>
        <w:tblW w:w="5000" w:type="pct"/>
        <w:jc w:val="center"/>
        <w:tblInd w:w="0" w:type="dxa"/>
        <w:tblCellMar>
          <w:top w:w="0" w:type="dxa"/>
          <w:left w:w="0" w:type="dxa"/>
          <w:bottom w:w="0" w:type="dxa"/>
          <w:right w:w="0" w:type="dxa"/>
        </w:tblCellMar>
      </w:tblPr>
      <w:tblGrid>
        <w:gridCol w:w="156"/>
        <w:gridCol w:w="10049"/>
      </w:tblGrid>
      <w:tr>
        <w:trPr/>
        <w:tc>
          <w:tcPr>
            <w:tcW w:w="156"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1004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lineRule="auto" w:line="300" w:before="0" w:after="0"/>
        <w:ind w:left="0" w:right="0" w:hanging="0"/>
        <w:jc w:val="both"/>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Item 5.02</w:t>
      </w:r>
      <w:bookmarkStart w:id="13" w:name="TAB2"/>
      <w:bookmarkEnd w:id="13"/>
      <w:r>
        <w:rPr>
          <w:color w:val="000000"/>
          <w:spacing w:val="540"/>
        </w:rPr>
        <w:t> </w:t>
      </w:r>
      <w:r>
        <w:rPr>
          <w:rStyle w:val="StrongEmphasis"/>
          <w:rFonts w:ascii="Times New Roman" w:hAnsi="Times New Roman"/>
          <w:sz w:val="20"/>
        </w:rPr>
        <w:t>Departure of Directors or Certain Officers; Election of Directors; Appointment of Certain Officers; Compensatory Arrangements of Certain Officers.</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In September 2008, Transdel Pharmaceuticals, Inc. (the “Company”) announced that the first patient had been enrolled in its Phase 3 clinical trial for Ketotransdel™. The clinical trial is well underway and is being executed by Cato Research Ltd. With the Company’s Phase 3 clinical trial moving from the planning and development stage to the execution stage, the Company and Paul Finnegan, M.D., M.B.A., F.R.C.P.C., have agreed that Dr. Finnegan will transition from the Company’s Chief Medical Officer and Chief Operating Officer to a consultant of the Company. The effective date of Dr. Finnegan’s transition will be November 17, 2008. Dr. Finnegan’s transition from a full time employee and officer of the Company to a consultant did not result from any disagreement between Dr. Finnegan and the Company or its Board of Directors. The Company and Dr. Finnegan are currently negotiating the terms of his consulting agreement with the Company.</w:t>
      </w:r>
    </w:p>
    <w:p>
      <w:pPr>
        <w:pStyle w:val="TextBody"/>
        <w:spacing w:lineRule="auto" w:line="300" w:before="0" w:after="0"/>
        <w:ind w:left="0" w:right="0" w:firstLine="720"/>
        <w:jc w:val="left"/>
        <w:rPr/>
      </w:pPr>
      <w:r>
        <w:rPr/>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pPr>
      <w:r>
        <w:rPr>
          <w:rStyle w:val="StrongEmphasis"/>
          <w:rFonts w:ascii="Times New Roman" w:hAnsi="Times New Roman"/>
          <w:sz w:val="20"/>
        </w:rPr>
        <w:t>SIGNATURES</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left"/>
        <w:rPr/>
      </w:pPr>
      <w:r>
        <w:rPr/>
      </w:r>
    </w:p>
    <w:tbl>
      <w:tblPr>
        <w:tblW w:w="5000" w:type="pct"/>
        <w:jc w:val="center"/>
        <w:tblInd w:w="0" w:type="dxa"/>
        <w:shd w:fill="FFFFFF" w:val="clear"/>
        <w:tblCellMar>
          <w:top w:w="0" w:type="dxa"/>
          <w:left w:w="0" w:type="dxa"/>
          <w:bottom w:w="0" w:type="dxa"/>
          <w:right w:w="0" w:type="dxa"/>
        </w:tblCellMar>
      </w:tblPr>
      <w:tblGrid>
        <w:gridCol w:w="4675"/>
        <w:gridCol w:w="423"/>
        <w:gridCol w:w="5107"/>
      </w:tblGrid>
      <w:tr>
        <w:trPr/>
        <w:tc>
          <w:tcPr>
            <w:tcW w:w="4675" w:type="dxa"/>
            <w:tcBorders/>
            <w:shd w:fill="FFFFFF" w:val="clear"/>
          </w:tcPr>
          <w:p>
            <w:pPr>
              <w:pStyle w:val="TableContents"/>
              <w:spacing w:before="0" w:after="283"/>
              <w:rPr/>
            </w:pPr>
            <w:r>
              <w:rPr/>
              <w:t> </w:t>
            </w:r>
          </w:p>
        </w:tc>
        <w:tc>
          <w:tcPr>
            <w:tcW w:w="423" w:type="dxa"/>
            <w:tcBorders/>
            <w:shd w:fill="FFFFFF" w:val="clear"/>
          </w:tcPr>
          <w:p>
            <w:pPr>
              <w:pStyle w:val="TableContents"/>
              <w:spacing w:before="0" w:after="283"/>
              <w:rPr/>
            </w:pPr>
            <w:r>
              <w:rPr/>
              <w:t> </w:t>
            </w:r>
          </w:p>
        </w:tc>
        <w:tc>
          <w:tcPr>
            <w:tcW w:w="5107" w:type="dxa"/>
            <w:tcBorders/>
            <w:shd w:fill="FFFFFF" w:val="clear"/>
          </w:tcPr>
          <w:p>
            <w:pPr>
              <w:pStyle w:val="TableContents"/>
              <w:spacing w:before="0" w:after="283"/>
              <w:rPr/>
            </w:pPr>
            <w:r>
              <w:rPr/>
              <w:t> </w:t>
            </w:r>
          </w:p>
        </w:tc>
      </w:tr>
      <w:tr>
        <w:trPr/>
        <w:tc>
          <w:tcPr>
            <w:tcW w:w="4675" w:type="dxa"/>
            <w:tcBorders/>
            <w:shd w:fill="FFFFFF" w:val="clear"/>
          </w:tcPr>
          <w:p>
            <w:pPr>
              <w:pStyle w:val="TableContents"/>
              <w:spacing w:before="0" w:after="283"/>
              <w:rPr/>
            </w:pPr>
            <w:r>
              <w:rPr/>
              <w:t> </w:t>
            </w:r>
          </w:p>
        </w:tc>
        <w:tc>
          <w:tcPr>
            <w:tcW w:w="5530" w:type="dxa"/>
            <w:gridSpan w:val="2"/>
            <w:tcBorders/>
            <w:shd w:fill="FFFFFF" w:val="clear"/>
          </w:tcPr>
          <w:p>
            <w:pPr>
              <w:pStyle w:val="TableContents"/>
              <w:spacing w:lineRule="auto" w:line="300" w:before="0" w:after="0"/>
              <w:ind w:left="0" w:right="0" w:hanging="0"/>
              <w:jc w:val="left"/>
              <w:rPr/>
            </w:pPr>
            <w:r>
              <w:rPr>
                <w:rStyle w:val="StrongEmphasis"/>
                <w:rFonts w:ascii="Times New Roman" w:hAnsi="Times New Roman"/>
                <w:sz w:val="20"/>
              </w:rPr>
              <w:t xml:space="preserve">Transdel Pharmaceuticals, Inc. </w:t>
            </w:r>
          </w:p>
        </w:tc>
      </w:tr>
      <w:tr>
        <w:trPr/>
        <w:tc>
          <w:tcPr>
            <w:tcW w:w="4675" w:type="dxa"/>
            <w:tcBorders/>
            <w:shd w:fill="FFFFFF" w:val="clear"/>
          </w:tcPr>
          <w:p>
            <w:pPr>
              <w:pStyle w:val="TableContents"/>
              <w:spacing w:before="0" w:after="283"/>
              <w:rPr/>
            </w:pPr>
            <w:r>
              <w:rPr/>
              <w:t> </w:t>
            </w:r>
            <w:r>
              <w:rPr>
                <w:sz w:val="20"/>
              </w:rPr>
              <w:br/>
              <w:t> </w:t>
            </w:r>
          </w:p>
        </w:tc>
        <w:tc>
          <w:tcPr>
            <w:tcW w:w="423" w:type="dxa"/>
            <w:tcBorders/>
            <w:shd w:fill="FFFFFF" w:val="clear"/>
          </w:tcPr>
          <w:p>
            <w:pPr>
              <w:pStyle w:val="TableContents"/>
              <w:spacing w:before="0" w:after="283"/>
              <w:rPr/>
            </w:pPr>
            <w:r>
              <w:rPr/>
              <w:t> </w:t>
            </w:r>
            <w:r>
              <w:rPr>
                <w:sz w:val="20"/>
              </w:rPr>
              <w:br/>
              <w:t> </w:t>
            </w:r>
          </w:p>
        </w:tc>
        <w:tc>
          <w:tcPr>
            <w:tcW w:w="5107" w:type="dxa"/>
            <w:tcBorders/>
            <w:shd w:fill="FFFFFF" w:val="clear"/>
          </w:tcPr>
          <w:p>
            <w:pPr>
              <w:pStyle w:val="TableContents"/>
              <w:spacing w:before="0" w:after="283"/>
              <w:rPr/>
            </w:pPr>
            <w:r>
              <w:rPr/>
              <w:t> </w:t>
            </w:r>
            <w:r>
              <w:rPr>
                <w:sz w:val="20"/>
              </w:rPr>
              <w:br/>
              <w:t> </w:t>
            </w:r>
          </w:p>
        </w:tc>
      </w:tr>
      <w:tr>
        <w:trPr/>
        <w:tc>
          <w:tcPr>
            <w:tcW w:w="4675" w:type="dxa"/>
            <w:tcBorders/>
            <w:shd w:fill="FFFF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Date: November 7, 2008</w:t>
            </w:r>
          </w:p>
        </w:tc>
        <w:tc>
          <w:tcPr>
            <w:tcW w:w="423" w:type="dxa"/>
            <w:tcBorders/>
            <w:shd w:fill="FFFFFF" w:val="clear"/>
          </w:tcPr>
          <w:p>
            <w:pPr>
              <w:pStyle w:val="TableContents"/>
              <w:spacing w:before="0" w:after="283"/>
              <w:rPr>
                <w:sz w:val="20"/>
              </w:rPr>
            </w:pPr>
            <w:r>
              <w:rPr>
                <w:sz w:val="20"/>
              </w:rPr>
              <w:t>By:  </w:t>
            </w:r>
          </w:p>
        </w:tc>
        <w:tc>
          <w:tcPr>
            <w:tcW w:w="5107" w:type="dxa"/>
            <w:tcBorders/>
            <w:shd w:fill="FFFFFF" w:val="clear"/>
          </w:tcPr>
          <w:p>
            <w:pPr>
              <w:pStyle w:val="TableContents"/>
              <w:spacing w:before="0" w:after="283"/>
              <w:rPr>
                <w:sz w:val="20"/>
              </w:rPr>
            </w:pPr>
            <w:r>
              <w:rPr>
                <w:sz w:val="20"/>
              </w:rPr>
              <w:t>/s/ </w:t>
            </w:r>
            <w:r>
              <w:rPr>
                <w:rFonts w:ascii="Times New Roman" w:hAnsi="Times New Roman"/>
                <w:sz w:val="20"/>
              </w:rPr>
              <w:t xml:space="preserve">John T. Lomoro </w:t>
            </w:r>
          </w:p>
        </w:tc>
      </w:tr>
      <w:tr>
        <w:trPr/>
        <w:tc>
          <w:tcPr>
            <w:tcW w:w="5098" w:type="dxa"/>
            <w:gridSpan w:val="2"/>
            <w:tcBorders/>
            <w:shd w:fill="FFFFFF" w:val="clear"/>
          </w:tcPr>
          <w:p>
            <w:pPr>
              <w:pStyle w:val="TableContents"/>
              <w:spacing w:before="0" w:after="283"/>
              <w:rPr/>
            </w:pPr>
            <w:r>
              <w:rPr/>
              <w:t> </w:t>
            </w:r>
          </w:p>
        </w:tc>
        <w:tc>
          <w:tcPr>
            <w:tcW w:w="5107" w:type="dxa"/>
            <w:tcBorders/>
            <w:shd w:fill="FFFFFF" w:val="clear"/>
          </w:tcPr>
          <w:p>
            <w:pPr>
              <w:pStyle w:val="HorizontalLine"/>
              <w:pBdr>
                <w:bottom w:val="single" w:sz="12" w:space="0" w:color="808080"/>
              </w:pBdr>
              <w:jc w:val="left"/>
              <w:rPr/>
            </w:pPr>
            <w:r>
              <w:rPr/>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 xml:space="preserve">John T. Lomoro </w:t>
            </w:r>
          </w:p>
        </w:tc>
      </w:tr>
      <w:tr>
        <w:trPr/>
        <w:tc>
          <w:tcPr>
            <w:tcW w:w="5098" w:type="dxa"/>
            <w:gridSpan w:val="2"/>
            <w:tcBorders/>
            <w:shd w:fill="FFFFFF" w:val="clear"/>
          </w:tcPr>
          <w:p>
            <w:pPr>
              <w:pStyle w:val="TableContents"/>
              <w:spacing w:before="0" w:after="283"/>
              <w:rPr/>
            </w:pPr>
            <w:r>
              <w:rPr/>
              <w:t> </w:t>
            </w:r>
          </w:p>
        </w:tc>
        <w:tc>
          <w:tcPr>
            <w:tcW w:w="5107" w:type="dxa"/>
            <w:tcBorders/>
            <w:shd w:fill="FFFF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Chief Financial Officer</w:t>
            </w:r>
          </w:p>
        </w:tc>
      </w:tr>
    </w:tbl>
    <w:p>
      <w:pPr>
        <w:pStyle w:val="TextBody"/>
        <w:spacing w:lineRule="auto" w:line="300" w:before="0" w:after="0"/>
        <w:ind w:left="0" w:right="0" w:hanging="0"/>
        <w:jc w:val="both"/>
        <w:rPr/>
      </w:pPr>
      <w:r>
        <w:rPr/>
      </w:r>
    </w:p>
    <w:p>
      <w:pPr>
        <w:pStyle w:val="TextBody"/>
        <w:spacing w:lineRule="auto" w:line="300" w:before="0" w:after="0"/>
        <w:ind w:left="0" w:right="1440" w:hanging="0"/>
        <w:jc w:val="both"/>
        <w:rPr/>
      </w:pPr>
      <w:r>
        <w:rPr/>
        <w:t> </w:t>
      </w:r>
    </w:p>
    <w:p>
      <w:pPr>
        <w:pStyle w:val="TextBody"/>
        <w:spacing w:lineRule="auto" w:line="300" w:before="0" w:after="0"/>
        <w:ind w:left="0" w:right="0" w:hanging="0"/>
        <w:jc w:val="both"/>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403</Words>
  <CharactersWithSpaces>2804</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