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305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May 11,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3"/>
      <w:bookmarkEnd w:id="4"/>
      <w:r>
        <w:rPr>
          <w:rFonts w:ascii="Times New Roman;Times;Serif" w:hAnsi="Times New Roman;Times;Serif"/>
          <w:b/>
          <w:i w:val="false"/>
          <w:caps w:val="false"/>
          <w:smallCaps w:val="false"/>
          <w:sz w:val="36"/>
        </w:rPr>
        <w:t>HARROW HEALTH,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2_edei--EntityFileNumber_c20230511"/>
            <w:bookmarkEnd w:id="6"/>
            <w:r>
              <w:rPr>
                <w:rFonts w:ascii="Times New Roman;Times;Serif" w:hAnsi="Times New Roman;Times;Serif"/>
                <w:b/>
                <w:i w:val="false"/>
                <w:caps w:val="false"/>
                <w:smallCaps w:val="false"/>
                <w:sz w:val="20"/>
              </w:rPr>
              <w:t>001-35814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8_edei--EntityTaxIdentificationNum"/>
            <w:bookmarkEnd w:id="7"/>
            <w:r>
              <w:rPr>
                <w:rFonts w:ascii="Times New Roman;Times;Serif" w:hAnsi="Times New Roman;Times;Serif"/>
                <w:b/>
                <w:i w:val="false"/>
                <w:caps w:val="false"/>
                <w:smallCaps w:val="false"/>
                <w:sz w:val="20"/>
              </w:rPr>
              <w:t>45-0567010</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102 Woodmont Blvd., </w:t>
            </w:r>
            <w:bookmarkStart w:id="9" w:name="xdx_90D_edei--EntityAddressAddressLine2_"/>
            <w:bookmarkEnd w:id="9"/>
            <w:r>
              <w:rPr>
                <w:rFonts w:ascii="Times New Roman;Times;Serif" w:hAnsi="Times New Roman;Times;Serif"/>
                <w:b/>
                <w:i w:val="false"/>
                <w:caps w:val="false"/>
                <w:smallCaps w:val="false"/>
                <w:sz w:val="20"/>
              </w:rPr>
              <w:t>Suite 610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Nashville, </w:t>
            </w:r>
            <w:bookmarkStart w:id="11" w:name="xdx_90F_edei--EntityAddressStateOrProvin"/>
            <w:bookmarkEnd w:id="11"/>
            <w:r>
              <w:rPr>
                <w:rFonts w:ascii="Times New Roman;Times;Serif" w:hAnsi="Times New Roman;Times;Serif"/>
                <w:b/>
                <w:i w:val="false"/>
                <w:caps w:val="false"/>
                <w:smallCaps w:val="false"/>
                <w:sz w:val="20"/>
              </w:rPr>
              <w:t xml:space="preserve">Tennessee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C_edei--EntityAddressPostalZipCode"/>
            <w:bookmarkEnd w:id="12"/>
            <w:r>
              <w:rPr>
                <w:rFonts w:ascii="Times New Roman;Times;Serif" w:hAnsi="Times New Roman;Times;Serif"/>
                <w:b/>
                <w:i w:val="false"/>
                <w:caps w:val="false"/>
                <w:smallCaps w:val="false"/>
                <w:sz w:val="20"/>
              </w:rPr>
              <w:t>37205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4_edei--CityAreaCode_c20230511__20"/>
      <w:bookmarkEnd w:id="13"/>
      <w:r>
        <w:rPr>
          <w:rFonts w:ascii="Times New Roman;Times;Serif" w:hAnsi="Times New Roman;Times;Serif"/>
          <w:b/>
          <w:i w:val="false"/>
          <w:caps w:val="false"/>
          <w:smallCaps w:val="false"/>
          <w:sz w:val="20"/>
        </w:rPr>
        <w:t xml:space="preserve">(615) </w:t>
      </w:r>
      <w:bookmarkStart w:id="14" w:name="xdx_90C_edei--LocalPhoneNumber_c20230511"/>
      <w:bookmarkEnd w:id="14"/>
      <w:r>
        <w:rPr>
          <w:rFonts w:ascii="Times New Roman;Times;Serif" w:hAnsi="Times New Roman;Times;Serif"/>
          <w:b/>
          <w:i w:val="false"/>
          <w:caps w:val="false"/>
          <w:smallCaps w:val="false"/>
          <w:sz w:val="20"/>
        </w:rPr>
        <w:t>733-4730</w:t>
      </w:r>
    </w:p>
    <w:p>
      <w:pPr>
        <w:pStyle w:val="TextBody"/>
        <w:bidi w:val="0"/>
        <w:spacing w:before="0" w:after="0"/>
        <w:ind w:left="0" w:right="0" w:hanging="0"/>
        <w:jc w:val="center"/>
        <w:rPr>
          <w:caps w:val="false"/>
          <w:smallCaps w:val="false"/>
        </w:rPr>
      </w:pPr>
      <w:r>
        <w:rPr>
          <w:caps w:val="false"/>
          <w:smallCaps w:val="false"/>
        </w:rPr>
        <w:t> </w:t>
      </w:r>
    </w:p>
    <w:tbl>
      <w:tblPr>
        <w:tblW w:w="5330" w:type="dxa"/>
        <w:jc w:val="left"/>
        <w:tblInd w:w="0" w:type="dxa"/>
        <w:tblLayout w:type="fixed"/>
        <w:tblCellMar>
          <w:top w:w="0" w:type="dxa"/>
          <w:left w:w="0" w:type="dxa"/>
          <w:bottom w:w="0" w:type="dxa"/>
          <w:right w:w="0" w:type="dxa"/>
        </w:tblCellMar>
      </w:tblPr>
      <w:tblGrid>
        <w:gridCol w:w="60"/>
        <w:gridCol w:w="5210"/>
        <w:gridCol w:w="6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2_edei--EntityInformationFormerLeg"/>
            <w:bookmarkEnd w:id="15"/>
            <w:r>
              <w:rPr>
                <w:rFonts w:ascii="Times New Roman;Times;Serif" w:hAnsi="Times New Roman;Times;Serif"/>
                <w:b/>
                <w:i w:val="false"/>
                <w:caps w:val="false"/>
                <w:smallCaps w:val="false"/>
                <w:sz w:val="20"/>
              </w:rPr>
              <w:t>Not Applicable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3515"/>
        <w:gridCol w:w="60"/>
        <w:gridCol w:w="1535"/>
        <w:gridCol w:w="60"/>
        <w:gridCol w:w="3215"/>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on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C_edei--Security12bTitle_c20230511"/>
            <w:bookmarkEnd w:id="16"/>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A_edei--TradingSymbol_c20230511__2"/>
            <w:bookmarkEnd w:id="17"/>
            <w:r>
              <w:rPr>
                <w:rFonts w:ascii="Times New Roman;Times;Serif" w:hAnsi="Times New Roman;Times;Serif"/>
                <w:b w:val="false"/>
                <w:i w:val="false"/>
                <w:caps w:val="false"/>
                <w:smallCaps w:val="false"/>
                <w:sz w:val="20"/>
              </w:rPr>
              <w:t>HROW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4_edei--SecurityExchangeName_c2023"/>
            <w:bookmarkEnd w:id="18"/>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Security12bTitle_c20230511"/>
            <w:bookmarkEnd w:id="19"/>
            <w:r>
              <w:rPr>
                <w:rFonts w:ascii="Times New Roman;Times;Serif" w:hAnsi="Times New Roman;Times;Serif"/>
                <w:b w:val="false"/>
                <w:i w:val="false"/>
                <w:caps w:val="false"/>
                <w:smallCaps w:val="false"/>
                <w:sz w:val="20"/>
              </w:rPr>
              <w:t>8.625% Senior Notes due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TradingSymbol_c20230511__2"/>
            <w:bookmarkEnd w:id="20"/>
            <w:r>
              <w:rPr>
                <w:rFonts w:ascii="Times New Roman;Times;Serif" w:hAnsi="Times New Roman;Times;Serif"/>
                <w:b w:val="false"/>
                <w:i w:val="false"/>
                <w:caps w:val="false"/>
                <w:smallCaps w:val="false"/>
                <w:sz w:val="20"/>
              </w:rPr>
              <w:t>HROWL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8_edei--SecurityExchangeName_c2023"/>
            <w:bookmarkEnd w:id="21"/>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8_edei--Security12bTitle_c20230511"/>
            <w:bookmarkEnd w:id="22"/>
            <w:r>
              <w:rPr>
                <w:rFonts w:ascii="Times New Roman;Times;Serif" w:hAnsi="Times New Roman;Times;Serif"/>
                <w:b w:val="false"/>
                <w:i w:val="false"/>
                <w:caps w:val="false"/>
                <w:smallCaps w:val="false"/>
                <w:sz w:val="20"/>
              </w:rPr>
              <w:t>11.875% Senior Notes due 2027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A_edei--TradingSymbol_c20230511__2"/>
            <w:bookmarkEnd w:id="23"/>
            <w:r>
              <w:rPr>
                <w:rFonts w:ascii="Times New Roman;Times;Serif" w:hAnsi="Times New Roman;Times;Serif"/>
                <w:b w:val="false"/>
                <w:i w:val="false"/>
                <w:caps w:val="false"/>
                <w:smallCaps w:val="false"/>
                <w:sz w:val="20"/>
              </w:rPr>
              <w:t>HROWM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3_edei--SecurityExchangeName_c2023"/>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25" w:name="xdx_900_edei--WrittenCommunications_c202"/>
            <w:bookmarkEnd w:id="2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6" w:name="xdx_903_edei--SolicitingMaterial_c202305"/>
            <w:bookmarkEnd w:id="2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7" w:name="xdx_906_edei--PreCommencementTenderOffer"/>
            <w:bookmarkEnd w:id="2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8" w:name="xdx_901_edei--PreCommencementIssuerTende"/>
            <w:bookmarkEnd w:id="2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or Rule 12b-2 of the Securities Act of 1934: Emerging growth company </w:t>
      </w:r>
      <w:bookmarkStart w:id="29" w:name="xdx_908_edei--EntityEmergingGrowthCompan"/>
      <w:bookmarkEnd w:id="29"/>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Harrow Health, Inc. (the “Company”) issued a press release and a letter to stockholders announcing its financial results for the period ended March 31, 2023 and an update on recent corporate events. The press release and letter to stockholders are being furnished as Exhibits 99.1 and 99.2, respectively,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99.3 to this Item 7.01 is a presentation of the Company, that is being used by the management of the Company at investor conferences and at meetings describing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Items 2.02 and 7.01 of this Current Report on Form 8-K, including Exhibits 99.1, 99.2 and 99.3, shall not be deemed to be “filed” for the purposes of Section 18 of the Securities Exchange Act of 1934, as amended (the “Exchange Act”), or otherwise subject to the liabilities of that Section. The information in Items 2.02 and 7.01, including Exhibits 99.1, 99.2 and 99.3, shall not be deemed incorporated by reference into any filing under the Securities Act of 1933, as amended, or the Exchange Act, except to the extent it is specifically incorporated by reference but regardless of any general incorporation language in such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Items 2.02 and 7.01 of this Current Report on Form 8-K, including Exhibits 99.1, 99.2 and 99.3,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395"/>
        <w:gridCol w:w="60"/>
        <w:gridCol w:w="648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issued by Harrow Health, Inc. on May 11, 2023</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2.htm">
              <w:r>
                <w:rPr>
                  <w:rStyle w:val="InternetLink"/>
                  <w:rFonts w:ascii="Times New Roman;Times;Serif" w:hAnsi="Times New Roman;Times;Serif"/>
                  <w:b w:val="false"/>
                  <w:i w:val="false"/>
                  <w:caps w:val="false"/>
                  <w:smallCaps w:val="false"/>
                  <w:sz w:val="20"/>
                </w:rPr>
                <w:t>Letter to Stockholders by Harrow Health, Inc. dated May 11, 2023</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3.htm">
              <w:r>
                <w:rPr>
                  <w:rStyle w:val="InternetLink"/>
                  <w:rFonts w:ascii="Times New Roman;Times;Serif" w:hAnsi="Times New Roman;Times;Serif"/>
                  <w:b w:val="false"/>
                  <w:i w:val="false"/>
                  <w:caps w:val="false"/>
                  <w:smallCaps w:val="false"/>
                  <w:sz w:val="20"/>
                </w:rPr>
                <w:t>Harrow Health Corporate Presentation dated May 2023</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7"/>
        <w:jc w:val="both"/>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1760"/>
        <w:gridCol w:w="545"/>
        <w:gridCol w:w="189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HEALTH,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11, 2023</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firstLine="367"/>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bookmarkStart w:id="30" w:name="ex99-1.htm"/>
      <w:bookmarkStart w:id="31" w:name="ksex991"/>
      <w:bookmarkEnd w:id="30"/>
      <w:bookmarkEnd w:id="3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716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7239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Announces First Quarter 2023 Financial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 2023 and Recent Selected Highlights: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revenues of $26.1 million, up 18% over $22.1 million for the prior-year quarter and 28% over sequential quarter revenues of $20.3 million.</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transfer of New Drug Applications (NDAs) for ILEVRO®, NEVANAC®, and MAXIDEX®.</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an agreement with a large health insurance carrier to provide ImprimisRx’s atropine.com and Klarity-C compounded formulations on a cash-pay basis to its national vision care network.</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launched FDA-approved IHEEZO™ at the American Society of Cataract and Refractive Surgery (“ASCRS”) annual meeting held between May 5-8, 2023.</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NASHVILLE, Tenn., May 11, 2023 – Harrow (Nasdaq: HROW), a leading U.S. eyecare pharmaceutical company, today announced results for the first quarter ended March 31, 2023. The Company also posted its first quarter </w:t>
      </w:r>
      <w:r>
        <w:rPr>
          <w:rFonts w:ascii="Times New Roman;Times;Serif" w:hAnsi="Times New Roman;Times;Serif"/>
          <w:b w:val="false"/>
          <w:i w:val="false"/>
          <w:caps w:val="false"/>
          <w:smallCaps w:val="false"/>
          <w:sz w:val="20"/>
          <w:u w:val="single"/>
        </w:rPr>
        <w:t>Letter to Stockholders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corporate presentation</w:t>
      </w:r>
      <w:r>
        <w:rPr>
          <w:rFonts w:ascii="Times New Roman;Times;Serif" w:hAnsi="Times New Roman;Times;Serif"/>
          <w:b w:val="false"/>
          <w:i w:val="false"/>
          <w:caps w:val="false"/>
          <w:smallCaps w:val="false"/>
          <w:sz w:val="20"/>
        </w:rPr>
        <w:t xml:space="preserve"> to the “Investors” section of its website,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excited to kick off 2023 with a strong first quarter that demonstrates the continuing successful execution of our strategic plan aimed at elevating Harrow into a leading position among top-tier U.S. eyecare pharmaceutical companies,” said Mark L. Baum, CEO of Harrow. “We are pleased that our Harrow team delivered record revenues of $26.1 million, a 28% increase over the fourth quarter of 2022, but, even more important, we see the first quarter of 2023 marking the beginning of a new revenue paradigm for Harrow. Going forward, we expect revenue growth from our branded pharmaceutical products to meaningfully outpace growth from our compounded pharmaceutical products, with revenue from branded products ultimately driving the lion’s share of our future profitability and topline growth. Based on our results to date, we are reaffirming our 2023 guidance of $135 million to $143 million in net revenues and $44 million to $50 million in 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We believe our successful first quarter is indicative of 2023 being a catalyst-rich year for Harrow, including our recent launch of IHEEZO™ at ASCRS in San Diego. We are very excited about the growth that we are seeing from our innovative new products and formulations that are being added to our product portfolio. For details on Harrow’s growth trajectory and strategic plan, I encourage you to read our quarterly </w:t>
      </w:r>
      <w:r>
        <w:rPr>
          <w:rFonts w:ascii="Times New Roman;Times;Serif" w:hAnsi="Times New Roman;Times;Serif"/>
          <w:b w:val="false"/>
          <w:i w:val="false"/>
          <w:caps w:val="false"/>
          <w:smallCaps w:val="false"/>
          <w:sz w:val="20"/>
          <w:u w:val="single"/>
        </w:rPr>
        <w:t>Letter to Stockholders</w:t>
      </w:r>
      <w:r>
        <w:rPr>
          <w:rFonts w:ascii="Times New Roman;Times;Serif" w:hAnsi="Times New Roman;Times;Serif"/>
          <w:b w:val="false"/>
          <w:i w:val="false"/>
          <w:caps w:val="false"/>
          <w:smallCaps w:val="false"/>
          <w:sz w:val="20"/>
        </w:rPr>
        <w:t xml:space="preserve">, all of which can be found on our website at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 2023 figures of merit: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031" w:type="dxa"/>
        <w:jc w:val="left"/>
        <w:tblInd w:w="0" w:type="dxa"/>
        <w:tblLayout w:type="fixed"/>
        <w:tblCellMar>
          <w:top w:w="0" w:type="dxa"/>
          <w:left w:w="0" w:type="dxa"/>
          <w:bottom w:w="0" w:type="dxa"/>
          <w:right w:w="0" w:type="dxa"/>
        </w:tblCellMar>
      </w:tblPr>
      <w:tblGrid>
        <w:gridCol w:w="4325"/>
        <w:gridCol w:w="60"/>
        <w:gridCol w:w="127"/>
        <w:gridCol w:w="971"/>
        <w:gridCol w:w="189"/>
        <w:gridCol w:w="61"/>
        <w:gridCol w:w="127"/>
        <w:gridCol w:w="971"/>
        <w:gridCol w:w="200"/>
      </w:tblGrid>
      <w:tr>
        <w:trPr/>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6"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0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26,103,000</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22,120,000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1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(6,643,000</w:t>
            </w:r>
          </w:p>
        </w:tc>
        <w:tc>
          <w:tcPr>
            <w:tcW w:w="1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(2,438,000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net (loss) income</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(1,042,000</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713,000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5,342,000</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4,940,000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basic and diluted net (loss) income per share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1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core net (loss) income, core basic and diluted net (loss) income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in the financial tables section.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First Quarter 2023 Financial Results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team will host a conference call and live webcast today at 4:45 p.m. Eastern Time to discuss the first quarter 2023 results and provide a business update. To participate in the call, see details below:</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3965"/>
        <w:gridCol w:w="2585"/>
      </w:tblGrid>
      <w:tr>
        <w:trPr/>
        <w:tc>
          <w:tcPr>
            <w:tcW w:w="39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Details:</w:t>
            </w:r>
          </w:p>
        </w:tc>
        <w:tc>
          <w:tcPr>
            <w:tcW w:w="25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May 11, 2023</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w:t>
            </w:r>
          </w:p>
        </w:tc>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 p.m. Eastern time</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 Dial-in:</w:t>
            </w:r>
          </w:p>
        </w:tc>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1-833-953-2434 (U.S.)</w:t>
              <w:br/>
              <w:t>1-412-317-5763 (International)</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Replay Dial-in (Passcode 3870402):</w:t>
            </w:r>
          </w:p>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(telephonic replay through May 18, 2023)</w:t>
            </w:r>
          </w:p>
        </w:tc>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1-877-344-7529 (U.S.)</w:t>
              <w:br/>
              <w:t>1-412-317-0088 (International)</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Webcast: </w:t>
            </w:r>
            <w:r>
              <w:rPr>
                <w:rFonts w:ascii="Times New Roman;Times;Serif" w:hAnsi="Times New Roman;Times;Serif"/>
                <w:b/>
                <w:i/>
                <w:caps w:val="false"/>
                <w:smallCaps w:val="false"/>
                <w:sz w:val="20"/>
              </w:rPr>
              <w:t>(online replay through May 11, 2024)</w:t>
            </w:r>
          </w:p>
        </w:tc>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harrow.com</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Harrow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(Nasdaq: HROW) is a leading U.S. eyecare pharmaceutical company engaged in the discovery, development, and commercialization of innovative ophthalmic prescription therapies that are accessible and affordable. Harrow owns U.S. commercial rights to ten FDA-approved ophthalmic pharmaceutical products. Harrow also owns and operates ImprimisRx, the leading U.S. ophthalmic-focused pharmaceutical compounding business, which also serves as a mail-order pharmacy licensed to ship prescription medications in all 50 states. Harrow has non-controlling equity positions in </w:t>
      </w:r>
      <w:r>
        <w:rPr>
          <w:rFonts w:ascii="Times New Roman;Times;Serif" w:hAnsi="Times New Roman;Times;Serif"/>
          <w:b w:val="false"/>
          <w:i w:val="false"/>
          <w:caps w:val="false"/>
          <w:smallCaps w:val="false"/>
          <w:sz w:val="20"/>
          <w:u w:val="single"/>
        </w:rPr>
        <w:t>Surface Ophthalmics, Inc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Melt Pharmaceuticals, Inc.</w:t>
      </w:r>
      <w:r>
        <w:rPr>
          <w:rFonts w:ascii="Times New Roman;Times;Serif" w:hAnsi="Times New Roman;Times;Serif"/>
          <w:b w:val="false"/>
          <w:i w:val="false"/>
          <w:caps w:val="false"/>
          <w:smallCaps w:val="false"/>
          <w:sz w:val="20"/>
        </w:rPr>
        <w:t>, companies that began as subsidiaries of Harrow. Harrow also owns royalty rights in four late-stage drug candidates being developed by Surface and Melt.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These and additional risks and uncertainties are more fully described in Harrow’s filings with the Securities and Exchange Commission, including its Annual Report on Form 10-K and its Quarterly Reports on Form 10-Q. Such documents may be read free of charge on the SEC’s web site at </w:t>
      </w:r>
      <w:r>
        <w:rPr>
          <w:rFonts w:ascii="Times New Roman;Times;Serif" w:hAnsi="Times New Roman;Times;Serif"/>
          <w:b w:val="false"/>
          <w:i w:val="false"/>
          <w:caps w:val="false"/>
          <w:smallCaps w:val="false"/>
          <w:sz w:val="20"/>
          <w:u w:val="single"/>
        </w:rPr>
        <w:t>sec.gov</w:t>
      </w:r>
      <w:r>
        <w:rPr>
          <w:rFonts w:ascii="Times New Roman;Times;Serif" w:hAnsi="Times New Roman;Times;Serif"/>
          <w:b w:val="false"/>
          <w:i w:val="false"/>
          <w:caps w:val="false"/>
          <w:smallCaps w:val="false"/>
          <w:sz w:val="20"/>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Jamie Webb, Director of Communications and Investor Relations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jwebb@harrowinc.com</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615-733-4737</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shd w:fill="FFFFFF" w:val="clear"/>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283"/>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First Quarter 2023 Financial Results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2023</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HEALTH,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8674" w:type="dxa"/>
        <w:jc w:val="left"/>
        <w:tblInd w:w="0" w:type="dxa"/>
        <w:tblLayout w:type="fixed"/>
        <w:tblCellMar>
          <w:top w:w="0" w:type="dxa"/>
          <w:left w:w="0" w:type="dxa"/>
          <w:bottom w:w="0" w:type="dxa"/>
          <w:right w:w="0" w:type="dxa"/>
        </w:tblCellMar>
      </w:tblPr>
      <w:tblGrid>
        <w:gridCol w:w="5600"/>
        <w:gridCol w:w="60"/>
        <w:gridCol w:w="125"/>
        <w:gridCol w:w="1055"/>
        <w:gridCol w:w="60"/>
        <w:gridCol w:w="60"/>
        <w:gridCol w:w="173"/>
        <w:gridCol w:w="1466"/>
        <w:gridCol w:w="75"/>
      </w:tblGrid>
      <w:tr>
        <w:trPr/>
        <w:tc>
          <w:tcPr>
            <w:tcW w:w="56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19,248,000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96,270,000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32,439,000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21,990,000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51,687,000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118,260,000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165,811,000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39,118,000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217,498,000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157,378,000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17,708,000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6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18,632,000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payable, net of current portion and unamortized debt discount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104,174,000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7,332,000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195,970,000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130,138,000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21,528,000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27,240,000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217,498,000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157,378,000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HEALTH,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tbl>
      <w:tblPr>
        <w:tblW w:w="8021" w:type="dxa"/>
        <w:jc w:val="left"/>
        <w:tblInd w:w="0" w:type="dxa"/>
        <w:tblLayout w:type="fixed"/>
        <w:tblCellMar>
          <w:top w:w="0" w:type="dxa"/>
          <w:left w:w="0" w:type="dxa"/>
          <w:bottom w:w="0" w:type="dxa"/>
          <w:right w:w="0" w:type="dxa"/>
        </w:tblCellMar>
      </w:tblPr>
      <w:tblGrid>
        <w:gridCol w:w="4505"/>
        <w:gridCol w:w="60"/>
        <w:gridCol w:w="183"/>
        <w:gridCol w:w="1395"/>
        <w:gridCol w:w="117"/>
        <w:gridCol w:w="88"/>
        <w:gridCol w:w="183"/>
        <w:gridCol w:w="1395"/>
        <w:gridCol w:w="95"/>
      </w:tblGrid>
      <w:tr>
        <w:trPr/>
        <w:tc>
          <w:tcPr>
            <w:tcW w:w="45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6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26,103,000</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8,271,000</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5,963,000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17,832,000</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16,157,000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15,888,000</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13,398,000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734,000</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16,622,000</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14,056,000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1,210,000</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2,101,000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(8,141,000</w:t>
            </w:r>
          </w:p>
        </w:tc>
        <w:tc>
          <w:tcPr>
            <w:tcW w:w="1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(4,539,000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288,000</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(6,643,000</w:t>
            </w:r>
          </w:p>
        </w:tc>
        <w:tc>
          <w:tcPr>
            <w:tcW w:w="11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(2,438,000</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 of common stock,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(0.22</w:t>
            </w:r>
          </w:p>
        </w:tc>
        <w:tc>
          <w:tcPr>
            <w:tcW w:w="11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HEALTH,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6950" w:type="dxa"/>
        <w:jc w:val="left"/>
        <w:tblInd w:w="0" w:type="dxa"/>
        <w:tblLayout w:type="fixed"/>
        <w:tblCellMar>
          <w:top w:w="0" w:type="dxa"/>
          <w:left w:w="0" w:type="dxa"/>
          <w:bottom w:w="0" w:type="dxa"/>
          <w:right w:w="0" w:type="dxa"/>
        </w:tblCellMar>
      </w:tblPr>
      <w:tblGrid>
        <w:gridCol w:w="4340"/>
        <w:gridCol w:w="60"/>
        <w:gridCol w:w="125"/>
        <w:gridCol w:w="1115"/>
        <w:gridCol w:w="80"/>
        <w:gridCol w:w="60"/>
        <w:gridCol w:w="125"/>
        <w:gridCol w:w="950"/>
        <w:gridCol w:w="95"/>
      </w:tblGrid>
      <w:tr>
        <w:trPr/>
        <w:tc>
          <w:tcPr>
            <w:tcW w:w="43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(8,214,000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(130,970,000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62,162,000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(77,022,000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beginning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96,270,000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42,167,000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19,248,000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41,948,000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First Quarter 2023 Financial Results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income (loss), excluding the effects of stock-based compensation and expenses, interest, taxes, depreciation, amortization, investment income (loss), net, loss on extinguishment of debt, and, if any and when specified, other non-recurring income or expense items. Management believes that the most directly comparable GAAP financial measure to Adjusted EBITDA is net income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income (loss), for the three months ended March 31,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HEALTH,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TO ADJUSTED EBITDA</w:t>
      </w:r>
    </w:p>
    <w:p>
      <w:pPr>
        <w:pStyle w:val="TextBody"/>
        <w:bidi w:val="0"/>
        <w:spacing w:before="0" w:after="0"/>
        <w:ind w:left="0" w:right="0" w:hanging="0"/>
        <w:jc w:val="left"/>
        <w:rPr>
          <w:caps w:val="false"/>
          <w:smallCaps w:val="false"/>
        </w:rPr>
      </w:pPr>
      <w:r>
        <w:rPr>
          <w:caps w:val="false"/>
          <w:smallCaps w:val="false"/>
        </w:rPr>
        <w:t> </w:t>
      </w:r>
    </w:p>
    <w:tbl>
      <w:tblPr>
        <w:tblW w:w="5981" w:type="dxa"/>
        <w:jc w:val="left"/>
        <w:tblInd w:w="0" w:type="dxa"/>
        <w:tblLayout w:type="fixed"/>
        <w:tblCellMar>
          <w:top w:w="0" w:type="dxa"/>
          <w:left w:w="0" w:type="dxa"/>
          <w:bottom w:w="0" w:type="dxa"/>
          <w:right w:w="0" w:type="dxa"/>
        </w:tblCellMar>
      </w:tblPr>
      <w:tblGrid>
        <w:gridCol w:w="3335"/>
        <w:gridCol w:w="60"/>
        <w:gridCol w:w="132"/>
        <w:gridCol w:w="960"/>
        <w:gridCol w:w="244"/>
        <w:gridCol w:w="63"/>
        <w:gridCol w:w="132"/>
        <w:gridCol w:w="960"/>
        <w:gridCol w:w="95"/>
      </w:tblGrid>
      <w:tr>
        <w:trPr/>
        <w:tc>
          <w:tcPr>
            <w:tcW w:w="33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1"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Three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244"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109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(6,643,000</w:t>
            </w:r>
          </w:p>
        </w:tc>
        <w:tc>
          <w:tcPr>
            <w:tcW w:w="2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(2,438,000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1,633,000</w:t>
            </w:r>
          </w:p>
        </w:tc>
        <w:tc>
          <w:tcPr>
            <w:tcW w:w="2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4,747,000</w:t>
            </w:r>
          </w:p>
        </w:tc>
        <w:tc>
          <w:tcPr>
            <w:tcW w:w="2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1,792,000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(288,000</w:t>
            </w:r>
          </w:p>
        </w:tc>
        <w:tc>
          <w:tcPr>
            <w:tcW w:w="2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292,000</w:t>
            </w:r>
          </w:p>
        </w:tc>
        <w:tc>
          <w:tcPr>
            <w:tcW w:w="2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2,207,000</w:t>
            </w:r>
          </w:p>
        </w:tc>
        <w:tc>
          <w:tcPr>
            <w:tcW w:w="2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(2,042,000</w:t>
            </w:r>
          </w:p>
        </w:tc>
        <w:tc>
          <w:tcPr>
            <w:tcW w:w="2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2,747,000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5,436,000</w:t>
            </w:r>
          </w:p>
        </w:tc>
        <w:tc>
          <w:tcPr>
            <w:tcW w:w="2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5,342,000</w:t>
            </w:r>
          </w:p>
        </w:tc>
        <w:tc>
          <w:tcPr>
            <w:tcW w:w="2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4,940,000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230"/>
        <w:gridCol w:w="4850"/>
      </w:tblGrid>
      <w:tr>
        <w:trPr/>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4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$5,465,000 for the loss on extinguishment of debt.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First Quarter 2023 Financial Results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Core Results, including core gross margin, core net income (loss), core operating income (loss), core basic and diluted income (loss) per share, and core operating margin, exclude all amortization and impairment charges of intangible assets, excluding software development costs, net gains and losses on investments and equity securities, including equity method gains and losses and equity valued at fair value through profit and loss (“FVPL”), preferred stock dividends, and gains/losses on forgiveness of debt. In other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Core Results, a non-GAAP measure, to the most comparable GAAP measure for the three months ended March 31, 2023 and 2022: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63"/>
        <w:gridCol w:w="60"/>
        <w:gridCol w:w="125"/>
        <w:gridCol w:w="950"/>
        <w:gridCol w:w="185"/>
        <w:gridCol w:w="60"/>
        <w:gridCol w:w="283"/>
        <w:gridCol w:w="1922"/>
        <w:gridCol w:w="60"/>
        <w:gridCol w:w="60"/>
        <w:gridCol w:w="125"/>
        <w:gridCol w:w="905"/>
        <w:gridCol w:w="80"/>
        <w:gridCol w:w="60"/>
        <w:gridCol w:w="125"/>
        <w:gridCol w:w="845"/>
        <w:gridCol w:w="60"/>
        <w:gridCol w:w="60"/>
        <w:gridCol w:w="125"/>
        <w:gridCol w:w="950"/>
        <w:gridCol w:w="202"/>
      </w:tblGrid>
      <w:tr>
        <w:trPr/>
        <w:tc>
          <w:tcPr>
            <w:tcW w:w="10205" w:type="dxa"/>
            <w:gridSpan w:val="21"/>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2023</w:t>
            </w:r>
          </w:p>
        </w:tc>
      </w:tr>
      <w:tr>
        <w:trPr/>
        <w:tc>
          <w:tcPr>
            <w:tcW w:w="29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 of Certain Intangible Assets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17,832,000</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2,045,000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19,877,000</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1,210,000</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2,207,000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3,417,000</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taxes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(6,931,000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2,207,000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(2,042,000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5,436,000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(1,330,000</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benefit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288,000</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288,000</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(6,643,000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2,207,000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(2,042,000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5,436,000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(1,042,000</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 per share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 of common stock outstanding: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Basic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30,289,730</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30,289,730</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77"/>
        <w:gridCol w:w="60"/>
        <w:gridCol w:w="125"/>
        <w:gridCol w:w="950"/>
        <w:gridCol w:w="185"/>
        <w:gridCol w:w="60"/>
        <w:gridCol w:w="287"/>
        <w:gridCol w:w="1612"/>
        <w:gridCol w:w="60"/>
        <w:gridCol w:w="60"/>
        <w:gridCol w:w="125"/>
        <w:gridCol w:w="845"/>
        <w:gridCol w:w="60"/>
        <w:gridCol w:w="60"/>
        <w:gridCol w:w="330"/>
        <w:gridCol w:w="211"/>
        <w:gridCol w:w="60"/>
        <w:gridCol w:w="60"/>
        <w:gridCol w:w="125"/>
        <w:gridCol w:w="950"/>
        <w:gridCol w:w="203"/>
      </w:tblGrid>
      <w:tr>
        <w:trPr/>
        <w:tc>
          <w:tcPr>
            <w:tcW w:w="10205" w:type="dxa"/>
            <w:gridSpan w:val="21"/>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2022</w:t>
            </w:r>
          </w:p>
        </w:tc>
      </w:tr>
      <w:tr>
        <w:trPr/>
        <w:tc>
          <w:tcPr>
            <w:tcW w:w="377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br/>
              <w:t>of Certain Intangible Assets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0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16,157,000</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16,498,000</w:t>
            </w:r>
          </w:p>
        </w:tc>
        <w:tc>
          <w:tcPr>
            <w:tcW w:w="2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2,101,000</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2,505,000</w:t>
            </w:r>
          </w:p>
        </w:tc>
        <w:tc>
          <w:tcPr>
            <w:tcW w:w="2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before taxes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(2,438,000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2,747,000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713,000</w:t>
            </w:r>
          </w:p>
        </w:tc>
        <w:tc>
          <w:tcPr>
            <w:tcW w:w="2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(2,438,000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2,747,000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713,000</w:t>
            </w:r>
          </w:p>
        </w:tc>
        <w:tc>
          <w:tcPr>
            <w:tcW w:w="2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earnings per share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2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 earnings per share ($)</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2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 of common stock outstanding: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27,226,819</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27,226,819</w:t>
            </w:r>
          </w:p>
        </w:tc>
        <w:tc>
          <w:tcPr>
            <w:tcW w:w="2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27,226,819</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28,317,740</w:t>
            </w:r>
          </w:p>
        </w:tc>
        <w:tc>
          <w:tcPr>
            <w:tcW w:w="2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basic and diluted (loss) earnings per share is calculated using the weighted-average number of shares of common stock outstanding during the period. Core basic and diluted (loss) earnings per share also contemplates dilutive shares associated with equity-based awards as described in Note 2 and elsewhere in the Condensed Consolidated Financial Statements included in the Company’s Quarterly Report on Form 10-Q for the quarter ended March 31,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2" w:name="ex99-2.htm"/>
      <w:bookmarkStart w:id="33" w:name="ksex992"/>
      <w:bookmarkEnd w:id="32"/>
      <w:bookmarkEnd w:id="3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71600" cy="723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723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to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Harrow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pleased to report that the Harrow team delivered record revenues of $26.1 million for the first quarter of 2023. Even more important than this strong sequential topline growth is that we have now entered a new revenue paradigm for Harrow from which we expect revenue growth from our branded pharmaceutical products (“BPPs”) to meaningfully outpace growth from our compounded pharmaceutical products (“CPPs”), with revenue from branded products ultimately driving the lion’s share of our future profitability and topline growth. Simply put, with the addition of a powerful portfolio of branded and reimbursable products “in our bag,” we are now beginning to experience financial leverage from the many years of hard work invested in building our commercial infrastructure, distribution capabilities, and trusted relationships with thousands of U.S. prescribers and institutional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results to date, we are reaffirming our 2023 guidance of $135 million to $143 million in net revenues and $44 million to $50 million in adjusted EBITDA. Harrow believes that both net revenues and adjusted EBITDA should grow further during 2024 and for at least three to five years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we also have made significant progress elevating Harrow into a leading position among top-tier U.S. eyecare pharmaceutical companies, in large part through the following initiatives: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successful launch of IHEEZO™, following the issuances of a permanent </w:t>
            </w:r>
            <w:r>
              <w:rPr>
                <w:rFonts w:ascii="Times New Roman;Times;Serif" w:hAnsi="Times New Roman;Times;Serif"/>
                <w:b w:val="false"/>
                <w:i w:val="false"/>
                <w:caps w:val="false"/>
                <w:smallCaps w:val="false"/>
                <w:sz w:val="20"/>
                <w:u w:val="single"/>
              </w:rPr>
              <w:t>J-Code</w:t>
            </w:r>
            <w:r>
              <w:rPr>
                <w:rFonts w:ascii="Times New Roman;Times;Serif" w:hAnsi="Times New Roman;Times;Serif"/>
                <w:b w:val="false"/>
                <w:i w:val="false"/>
                <w:caps w:val="false"/>
                <w:smallCaps w:val="false"/>
                <w:sz w:val="20"/>
              </w:rPr>
              <w:t xml:space="preserve"> (J2403) and transitional </w:t>
            </w:r>
            <w:r>
              <w:rPr>
                <w:rFonts w:ascii="Times New Roman;Times;Serif" w:hAnsi="Times New Roman;Times;Serif"/>
                <w:b w:val="false"/>
                <w:i w:val="false"/>
                <w:caps w:val="false"/>
                <w:smallCaps w:val="false"/>
                <w:sz w:val="20"/>
                <w:u w:val="single"/>
              </w:rPr>
              <w:t xml:space="preserve">pass-through </w:t>
            </w:r>
            <w:r>
              <w:rPr>
                <w:rFonts w:ascii="Times New Roman;Times;Serif" w:hAnsi="Times New Roman;Times;Serif"/>
                <w:b w:val="false"/>
                <w:i w:val="false"/>
                <w:caps w:val="false"/>
                <w:smallCaps w:val="false"/>
                <w:sz w:val="20"/>
              </w:rPr>
              <w:t>reimbursement status.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IHEEZO was officially launched at the recent American Society of Cataract and Refractive Surgery (“ASCRS”) Annual Meeting in San Diego, where it was well received by leading eyecare professionals in attendance.</w:t>
            </w:r>
          </w:p>
        </w:tc>
      </w:tr>
    </w:tbl>
    <w:p>
      <w:pPr>
        <w:pStyle w:val="TextBody"/>
        <w:bidi w:val="0"/>
        <w:spacing w:before="0" w:after="0"/>
        <w:ind w:left="108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“Fab Five” acquisition of U.S. commercial rights to ILEVRO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NEVANAC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MAXIDEX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VIGAMOX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TRIESENCE</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(collectively, the “Fab Five Products”).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recently announced the transfer of the new drug applications (“NDAs”) for ILEVRO, NEVANAC, and MAXIDEX, and we expect to transfer the NDAs for VIGAMOX and TRIESENCE later this year.</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close of the first quarter, we </w:t>
            </w:r>
            <w:r>
              <w:rPr>
                <w:rFonts w:ascii="Times New Roman;Times;Serif" w:hAnsi="Times New Roman;Times;Serif"/>
                <w:b w:val="false"/>
                <w:i w:val="false"/>
                <w:caps w:val="false"/>
                <w:smallCaps w:val="false"/>
                <w:sz w:val="20"/>
                <w:u w:val="single"/>
              </w:rPr>
              <w:t>announced</w:t>
            </w:r>
            <w:r>
              <w:rPr>
                <w:rFonts w:ascii="Times New Roman;Times;Serif" w:hAnsi="Times New Roman;Times;Serif"/>
                <w:b w:val="false"/>
                <w:i w:val="false"/>
                <w:caps w:val="false"/>
                <w:smallCaps w:val="false"/>
                <w:sz w:val="20"/>
              </w:rPr>
              <w:t xml:space="preserve"> a new $100 million secured credit facility with Oaktree Capital Management, which was initially used to pay off a secured loan with an affiliate of B. Riley Financial, Inc., and will be further used to support the remaining milestone payment that will be due at the time TRIESENCE becomes commercially available.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recently signed an agreement with a large health insurance carrier, including its national vision care network of patients and providers, to make available several of our chronic care CPPs on a cash-pay basis. </w:t>
            </w:r>
            <w:r>
              <w:rPr>
                <w:rFonts w:ascii="Times New Roman;Times;Serif" w:hAnsi="Times New Roman;Times;Serif"/>
                <w:b w:val="false"/>
                <w:i/>
                <w:caps w:val="false"/>
                <w:smallCaps w:val="false"/>
                <w:sz w:val="20"/>
              </w:rPr>
              <w:t>See Page 4 for additional color on this big potential win.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let’s take a look at the results for the first quarter of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First Quarter 2023 Financial Highlights and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of $26.1 million for the first quarter of 2023 – a return to record revenue growth – represent an 18% increase over the prior-year period revenues of $22.1 million as well as a 28% increase over revenues of $20.3 million in the fourth quarter of 2022.</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120" w:after="283"/>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had previously promised, we achieved these record revenues with no revenues from (a) our non-ophthalmic assets (which we sold in early October 2022) and (b) from sales of, or commissions from, DEXYCU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(as our agreement with EyePoint, the owner of DEXYCU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terminated at the end of 2022). The first quarter of 2023 did include profit transfers for two months (February and March) from sales of ILEVRO, NEVANAC, MAXIDEX, and VIGAMOX. (There is currently no profit transfer from TRIESENCE because it remains out of stock – </w:t>
      </w:r>
      <w:r>
        <w:rPr>
          <w:rFonts w:ascii="Times New Roman;Times;Serif" w:hAnsi="Times New Roman;Times;Serif"/>
          <w:b w:val="false"/>
          <w:i/>
          <w:caps w:val="false"/>
          <w:smallCaps w:val="false"/>
          <w:sz w:val="20"/>
        </w:rPr>
        <w:t>more to say about TRIESENCE on page 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was 76% in the first quarter of 2023 compared with core gross margin of 75% in the first quarter of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(SG&amp;A) expenses for the first quarter of 2023 were $15.9 million compared with $13.4 million during the same period last year and a slight increase compared with the $15.2 million reported in the fourth quarter of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were $734,000 in the first quarter of 2023 compared with $658,000 during the same period last year. As we grow our pharmaceutical presence and footprint with branded products, we expect this line item to grow in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operating income was $1.2 million for the first quarter of 2023, compared with a GAAP operating income of $2.1 million during the same period last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was $5.3 million for the first quarter of 2023 compared with Adjusted EBITDA of $4.9 million during the same period last year. Core net loss was ($1.0) million for the first quarter of 2023 compared with core net income of $713,000 for the first quarter of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diluted net loss per share for the first quarter of 2023 was ($0.03) compared with core diluted net income per share of $0.03 during the same period last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$19.2 million of cash and cash equivalents at the end of the first quarter, and we expect our cash balance to increase going forward. First quarter cash flows used in operations were negatively impacted due to the timing differences from recognition of revenue related to the profit transfer for the Fab Five products and their eventual cash receipts combined with an increase in our inventory levels as we caught up from third and fourth quarter stockouts.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all non-GAAP financial measures in this letter begins on page 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highlights regarding GAAP operating results for the three months ended March 31, 2023 and 2022 are as follows:</w:t>
      </w:r>
    </w:p>
    <w:p>
      <w:pPr>
        <w:pStyle w:val="TextBody"/>
        <w:bidi w:val="0"/>
        <w:spacing w:before="0" w:after="0"/>
        <w:ind w:left="0" w:right="0" w:firstLine="720"/>
        <w:jc w:val="both"/>
        <w:rPr>
          <w:caps w:val="false"/>
          <w:smallCaps w:val="false"/>
        </w:rPr>
      </w:pPr>
      <w:r>
        <w:rPr>
          <w:caps w:val="false"/>
          <w:smallCaps w:val="false"/>
        </w:rPr>
        <w:t> </w:t>
      </w:r>
    </w:p>
    <w:tbl>
      <w:tblPr>
        <w:tblW w:w="7198" w:type="dxa"/>
        <w:jc w:val="left"/>
        <w:tblInd w:w="0" w:type="dxa"/>
        <w:tblLayout w:type="fixed"/>
        <w:tblCellMar>
          <w:top w:w="0" w:type="dxa"/>
          <w:left w:w="0" w:type="dxa"/>
          <w:bottom w:w="0" w:type="dxa"/>
          <w:right w:w="0" w:type="dxa"/>
        </w:tblCellMar>
      </w:tblPr>
      <w:tblGrid>
        <w:gridCol w:w="4505"/>
        <w:gridCol w:w="60"/>
        <w:gridCol w:w="138"/>
        <w:gridCol w:w="1054"/>
        <w:gridCol w:w="88"/>
        <w:gridCol w:w="66"/>
        <w:gridCol w:w="138"/>
        <w:gridCol w:w="1054"/>
        <w:gridCol w:w="95"/>
      </w:tblGrid>
      <w:tr>
        <w:trPr/>
        <w:tc>
          <w:tcPr>
            <w:tcW w:w="45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8" w:type="dxa"/>
            <w:gridSpan w:val="6"/>
            <w:tcBorders>
              <w:bottom w:val="single" w:sz="12" w:space="0" w:color="000000"/>
            </w:tcBorders>
            <w:tcMar>
              <w:bottom w:w="28" w:type="dxa"/>
            </w:tcMar>
            <w:vAlign w:val="center"/>
          </w:tcPr>
          <w:p>
            <w:pPr>
              <w:pStyle w:val="TableContents"/>
              <w:bidi w:val="0"/>
              <w:spacing w:before="0" w:after="0"/>
              <w:ind w:left="93" w:right="9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93" w:right="9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19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26,103,000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8,271,000</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5,963,000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17,832,000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16,157,000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15,888,000</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13,398,000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734,000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16,622,000</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14,056,000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1,210,000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2,101,000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8,141,000</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4,539,000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288,000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ind w:left="0" w:right="0" w:hanging="270"/>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(6,643,000</w:t>
            </w:r>
          </w:p>
        </w:tc>
        <w:tc>
          <w:tcPr>
            <w:tcW w:w="8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(2,438,000</w:t>
            </w:r>
          </w:p>
        </w:tc>
        <w:tc>
          <w:tcPr>
            <w:tcW w:w="95" w:type="dxa"/>
            <w:tcBorders/>
            <w:shd w:fill="FFFFFF" w:val="clear"/>
            <w:vAlign w:val="center"/>
          </w:tcPr>
          <w:p>
            <w:pPr>
              <w:pStyle w:val="TableContents"/>
              <w:bidi w:val="0"/>
              <w:spacing w:before="0" w:after="283"/>
              <w:ind w:left="0" w:right="0" w:hanging="27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0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 of common stock,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(0.22</w:t>
            </w:r>
          </w:p>
        </w:tc>
        <w:tc>
          <w:tcPr>
            <w:tcW w:w="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2022, we began providing additional non-GAAP financial metrics – </w:t>
      </w:r>
      <w:r>
        <w:rPr>
          <w:rFonts w:ascii="Times New Roman;Times;Serif" w:hAnsi="Times New Roman;Times;Serif"/>
          <w:b w:val="false"/>
          <w:i/>
          <w:caps w:val="false"/>
          <w:smallCaps w:val="false"/>
          <w:sz w:val="20"/>
        </w:rPr>
        <w:t>Core Results</w:t>
      </w:r>
      <w:r>
        <w:rPr>
          <w:rFonts w:ascii="Times New Roman;Times;Serif" w:hAnsi="Times New Roman;Times;Serif"/>
          <w:b w:val="false"/>
          <w:i w:val="false"/>
          <w:caps w:val="false"/>
          <w:smallCaps w:val="false"/>
          <w:sz w:val="20"/>
        </w:rPr>
        <w:t>, which we define as the after-tax earnings and other operational and financial metrics generated from our principal business.</w:t>
      </w:r>
    </w:p>
    <w:p>
      <w:pPr>
        <w:pStyle w:val="TextBody"/>
        <w:bidi w:val="0"/>
        <w:spacing w:before="0" w:after="0"/>
        <w:ind w:left="0" w:right="0" w:firstLine="720"/>
        <w:jc w:val="both"/>
        <w:rPr>
          <w:caps w:val="false"/>
          <w:smallCaps w:val="false"/>
        </w:rPr>
      </w:pPr>
      <w:r>
        <w:rPr>
          <w:caps w:val="false"/>
          <w:smallCaps w:val="false"/>
        </w:rPr>
        <w:t> </w:t>
      </w:r>
    </w:p>
    <w:tbl>
      <w:tblPr>
        <w:tblW w:w="7031" w:type="dxa"/>
        <w:jc w:val="left"/>
        <w:tblInd w:w="0" w:type="dxa"/>
        <w:tblLayout w:type="fixed"/>
        <w:tblCellMar>
          <w:top w:w="0" w:type="dxa"/>
          <w:left w:w="0" w:type="dxa"/>
          <w:bottom w:w="0" w:type="dxa"/>
          <w:right w:w="0" w:type="dxa"/>
        </w:tblCellMar>
      </w:tblPr>
      <w:tblGrid>
        <w:gridCol w:w="4325"/>
        <w:gridCol w:w="60"/>
        <w:gridCol w:w="127"/>
        <w:gridCol w:w="971"/>
        <w:gridCol w:w="189"/>
        <w:gridCol w:w="61"/>
        <w:gridCol w:w="127"/>
        <w:gridCol w:w="971"/>
        <w:gridCol w:w="200"/>
      </w:tblGrid>
      <w:tr>
        <w:trPr/>
        <w:tc>
          <w:tcPr>
            <w:tcW w:w="432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6"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0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26,103,000</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22,120,000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1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(6,643,000</w:t>
            </w:r>
          </w:p>
        </w:tc>
        <w:tc>
          <w:tcPr>
            <w:tcW w:w="1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(2,438,000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net (loss) income</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(1,042,000</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713,000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5,342,000</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4,940,000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basic and diluted net (loss) income per share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1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Core gross margin, core net (loss) income, core basic and diluted net (loss) income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w:t>
            </w:r>
            <w:r>
              <w:rPr>
                <w:rFonts w:ascii="Times New Roman;Times;Serif" w:hAnsi="Times New Roman;Times;Serif"/>
                <w:b w:val="false"/>
                <w:i w:val="false"/>
                <w:caps w:val="false"/>
                <w:smallCaps w:val="false"/>
                <w:sz w:val="20"/>
                <w:u w:val="single"/>
              </w:rPr>
              <w:t>at the end</w:t>
            </w:r>
            <w:r>
              <w:rPr>
                <w:rFonts w:ascii="Times New Roman;Times;Serif" w:hAnsi="Times New Roman;Times;Serif"/>
                <w:b w:val="false"/>
                <w:i w:val="false"/>
                <w:caps w:val="false"/>
                <w:smallCaps w:val="false"/>
                <w:sz w:val="20"/>
              </w:rPr>
              <w:t xml:space="preserve"> of this Letter to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IHEEZO, ASCRS 2023, and More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IHEEZO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year’s ASCRS Meeting included the formal launch of IHEEZO. In my experience, the most important factor in the success of an ophthalmic product launch is whether the product performs for the patient, the surgeon, and the surgical staff. If a product doesn’t provide unique and meaningful value for every one of these constituencies, roadblocks to adoption will exist, growth will flag, and once launched, it’s hard to recover.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 is what we know so far about IHEEZO:</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from IHEEZO customers to date have described clinical outcomes that mirror those that were reported in the clinical studies that supported IHEEZO’s NDA.</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Surgeons and ophthalmic anesthesia providers who use IHEEZO are realizing what we learned when we did our market research years ago – that the idiosyncratic use of different anesthetic products, numerous instillation processes during various time intervals, and other related protocols to anesthetize the eye, create practice inefficiencies, and that there is a compelling need for a single agent to reliably anesthetize the eye – to “unify” the ophthalmic anesthetic protocol.</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Early adopters, and their staff, appreciate the ease of IHEEZO’s use in the clinic and surgical suite – the way it seamlessly fits into their workflow.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single dose of IHEEZO (minimally, three drops) – </w:t>
            </w:r>
            <w:r>
              <w:rPr>
                <w:rFonts w:ascii="Times New Roman;Times;Serif" w:hAnsi="Times New Roman;Times;Serif"/>
                <w:b w:val="false"/>
                <w:i/>
                <w:caps w:val="false"/>
                <w:smallCaps w:val="false"/>
                <w:sz w:val="20"/>
              </w:rPr>
              <w:t>and IHEEZO alone</w:t>
            </w:r>
            <w:r>
              <w:rPr>
                <w:rFonts w:ascii="Times New Roman;Times;Serif" w:hAnsi="Times New Roman;Times;Serif"/>
                <w:b w:val="false"/>
                <w:i w:val="false"/>
                <w:caps w:val="false"/>
                <w:smallCaps w:val="false"/>
                <w:sz w:val="20"/>
              </w:rPr>
              <w:t xml:space="preserve"> – has been reported to be sufficient, for example, to provide ocular surface anesthesia for cataract surgeries and intravitreal injections – once again, simplifying their anesthesia protocol and workflow.</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 believed IHEEZO would be used primarily for cataract surgery and intravitreal injection anesthesia, several ophthalmologists I spoke to have other potential uses for IHEEZO, including anesthesia for other surgical and in-office interventions (e.g., photorefractive keratectomy (“PRK”), glaucoma surgeries, and laser procedures such as the yttrium aluminum garnet capsulotomy (or “YAG”).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am sure Harrow stockholders want to know how IHEEZO sales are looking. In fact, we are now recording sales of IHEEZO, and so far, we are confident that we remain on track to meet or exceed current revenue expectations for the year. I want to say more, but we are very early in the launch, and we still have market access work to do to optimize the potential for IHEEZO. Just know that, </w:t>
      </w:r>
      <w:r>
        <w:rPr>
          <w:rFonts w:ascii="Times New Roman;Times;Serif" w:hAnsi="Times New Roman;Times;Serif"/>
          <w:b w:val="false"/>
          <w:i/>
          <w:caps w:val="false"/>
          <w:smallCaps w:val="false"/>
          <w:sz w:val="20"/>
        </w:rPr>
        <w:t>so far</w:t>
      </w:r>
      <w:r>
        <w:rPr>
          <w:rFonts w:ascii="Times New Roman;Times;Serif" w:hAnsi="Times New Roman;Times;Serif"/>
          <w:b w:val="false"/>
          <w:i w:val="false"/>
          <w:caps w:val="false"/>
          <w:smallCaps w:val="false"/>
          <w:sz w:val="20"/>
        </w:rPr>
        <w:t>, we appear to be in good shape.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The Fab Five Products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transferring the NDAs ahead of schedule for ILEVRO, NEVANAC, and MAXIDEX, we were able to begin marketing and selling efforts for those products at the ASCRS meeting. Customers we met with at ASCRS were pleased to see us support these important products and revitalize them under the Harrow name.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still have a few additional pieces of the Fab Five transaction puzzle to implement. As an example, we believe the VIGAMOX NDA should transfer sometime this summer, and once this occurs, we will reveal more information about our VIGAMOX strategy – which our commercial team is excited about. We also continue to believe that TRIESENCE should be back in stock through our distributor partners later this year and that soon thereafter, the TRIESENCE NDA will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 takeaway from customer feedback at ASCRS aligned with our internal market research for all of the Fab Five products, especially TRIESENCE, reinforcing our belief that we purchased the right products, paid the right price, and that the Fab Five products will beautifully complement our ophthalmic pharmaceutical portfolio, expand our customer base, and drive further revenue and profit growth for many years to 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ImprimisRx (CPPs or Compounded Pharmaceutical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remain highly enthusiastic about our ImprimisRx CPP business. As many of you know, we have historically seen double-digit year-over-year revenue growth in our ophthalmic CPP business. We expect that growth trend to continue and that ImprimisRx will remain the dominant player in the U.S. ophthalmic CPP business. My enthusiasm is based, in part, on our strong innovation culture, exemplified in the development of CPPs such as the </w:t>
      </w:r>
      <w:r>
        <w:rPr>
          <w:rFonts w:ascii="Times New Roman;Times;Serif" w:hAnsi="Times New Roman;Times;Serif"/>
          <w:b w:val="false"/>
          <w:i w:val="false"/>
          <w:caps w:val="false"/>
          <w:smallCaps w:val="false"/>
          <w:sz w:val="20"/>
          <w:u w:val="single"/>
        </w:rPr>
        <w:t>Fortisite</w:t>
      </w:r>
      <w:r>
        <w:rPr>
          <w:rFonts w:ascii="Times New Roman;Times;Serif" w:hAnsi="Times New Roman;Times;Serif"/>
          <w:b w:val="false"/>
          <w:i w:val="false"/>
          <w:caps w:val="false"/>
          <w:smallCaps w:val="false"/>
          <w:sz w:val="20"/>
        </w:rPr>
        <w:t xml:space="preserve">™ and our proprietary compounded atropine formulations (available at </w:t>
      </w:r>
      <w:r>
        <w:rPr>
          <w:rFonts w:ascii="Times New Roman;Times;Serif" w:hAnsi="Times New Roman;Times;Serif"/>
          <w:b w:val="false"/>
          <w:i w:val="false"/>
          <w:caps w:val="false"/>
          <w:smallCaps w:val="false"/>
          <w:sz w:val="20"/>
          <w:u w:val="single"/>
        </w:rPr>
        <w:t>atropine.com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Innovative product development alone is insufficient to fuel my enthusiasm. I want to see positive market reception such as what occurred at ASCRS when Dr. Neel Desai presented two case studies citing his success using Fortisite compounded formulations, including the benefit of having fortified antibiotics available in his office for patients in need of this potentially sight-saving treatment. In addition to the potential for delays in filling custom prescriptions from local compounding pharmacies, there is no guarantee that such custom prescriptions will have undergone many or any of the strict battery of analytical chemistry tests that Fortisite formulations do (e.g., color, clarity, potency, sterility, fill size, pH, preservatives, and particulate matter, to name a few). I am making Dr. Desai’s talk </w:t>
      </w:r>
      <w:r>
        <w:rPr>
          <w:rFonts w:ascii="Times New Roman;Times;Serif" w:hAnsi="Times New Roman;Times;Serif"/>
          <w:b w:val="false"/>
          <w:i w:val="false"/>
          <w:caps w:val="false"/>
          <w:smallCaps w:val="false"/>
          <w:sz w:val="20"/>
          <w:u w:val="single"/>
        </w:rPr>
        <w:t xml:space="preserve">available </w:t>
      </w:r>
      <w:r>
        <w:rPr>
          <w:rFonts w:ascii="Times New Roman;Times;Serif" w:hAnsi="Times New Roman;Times;Serif"/>
          <w:b w:val="false"/>
          <w:i w:val="false"/>
          <w:caps w:val="false"/>
          <w:smallCaps w:val="false"/>
          <w:sz w:val="20"/>
        </w:rPr>
        <w:t>if you are interested because he explains his experience with Fortisite much better than I can. (</w:t>
      </w:r>
      <w:r>
        <w:rPr>
          <w:rFonts w:ascii="Times New Roman;Times;Serif" w:hAnsi="Times New Roman;Times;Serif"/>
          <w:b w:val="false"/>
          <w:i/>
          <w:caps w:val="false"/>
          <w:smallCaps w:val="false"/>
          <w:sz w:val="20"/>
        </w:rPr>
        <w:t>Full disclosure … Dr. Desai was compensated a bit less than $1,000 for his time giving this talk</w:t>
      </w:r>
      <w:r>
        <w:rPr>
          <w:rFonts w:ascii="Times New Roman;Times;Serif" w:hAnsi="Times New Roman;Times;Serif"/>
          <w:b w:val="false"/>
          <w:i w:val="false"/>
          <w:caps w:val="false"/>
          <w:smallCaps w:val="false"/>
          <w:sz w:val="20"/>
        </w:rPr>
        <w:t xml:space="preserve">). We also spoke to a large academic institution that requires patients to be admitted to the hospital for them to have access to the in-patient pharmacy so that fortified antibiotics can be made during normal business hours. Given the practical impact we anecdotally see, and the potential savings to our healthcare system, </w:t>
      </w:r>
      <w:r>
        <w:rPr>
          <w:rFonts w:ascii="Times New Roman;Times;Serif" w:hAnsi="Times New Roman;Times;Serif"/>
          <w:b w:val="false"/>
          <w:i/>
          <w:caps w:val="false"/>
          <w:smallCaps w:val="false"/>
          <w:sz w:val="20"/>
        </w:rPr>
        <w:t>wouldn’t it be great to develop Fortisite as an FDA-approved product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justification for my enthusiasm for our ImprimisRx CPP business is this: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trend of increasing patient out-of-pocket costs for many medicines, we have been working hard for many years to partner with insurance carriers to make our cash-pay CPPs available to their prescriber networks and patients. Breaking into the insurance market with cash-pay CPPs has been tough for many reasons I won’t expound on, but our drought with major insurance players is now over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recently signed a vendor contract with a very large health insurer, which includes one of the nation’s largest vision care networks. Under this agreement, which kicks off on June 1 of this year, ImprimisRx will provide its next-generation preservative-free and boric acid-free compounded atropine formulations (0.01%, 0.025%, and 0.05% concentrations) and its innovative Total Tears ophthalmic formulations, including Klarity-C 0.1% cyclosporine, to members of its vision care network. Our partner’s national vision plan, which covers over nine million U.S. members, includes approximately 36,000 private practice eyecare professionals (“ECPs”), local optical stores, and national retail stores (including well-known national brand names). We are looking forward to building our relationship with this new partner, serving its ECPs and its patients, and making this new agreement a great success for everyone.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120" w:after="283"/>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Investments and Royalties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has non-controlling equity positions in three companies that were founded as Harrow subsidiaries before being deconsolidated into independent and separately managed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largest interest is in </w:t>
      </w:r>
      <w:r>
        <w:rPr>
          <w:rFonts w:ascii="Times New Roman;Times;Serif" w:hAnsi="Times New Roman;Times;Serif"/>
          <w:b w:val="false"/>
          <w:i w:val="false"/>
          <w:caps w:val="false"/>
          <w:smallCaps w:val="false"/>
          <w:sz w:val="20"/>
          <w:u w:val="single"/>
        </w:rPr>
        <w:t>Melt Pharmaceuticals</w:t>
      </w:r>
      <w:r>
        <w:rPr>
          <w:rFonts w:ascii="Times New Roman;Times;Serif" w:hAnsi="Times New Roman;Times;Serif"/>
          <w:b w:val="false"/>
          <w:i w:val="false"/>
          <w:caps w:val="false"/>
          <w:smallCaps w:val="false"/>
          <w:sz w:val="20"/>
        </w:rPr>
        <w:t>, with Harrow owning 46% of its equity interests, a $13.5 million principal amount secured note receivable, and a 5% royalty interest in its lead drug candidate, MELT-300. Following the December 2022 release of robust results and topline data from Melt’s Phase 2 efficacy and safety study of MELT-300, Melt scheduled a meeting with the FDA for May 16 to discuss the Phase 3 pathway for MELT-300. Because of Harrow’s conservative approach to positioning itself in the Melt capital structure, Harrow should be able to capitalize on the value of Melt Pharmaceuticals regardless of the outcome of this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continue to remain excited about being a large shareholder of both </w:t>
      </w:r>
      <w:r>
        <w:rPr>
          <w:rFonts w:ascii="Times New Roman;Times;Serif" w:hAnsi="Times New Roman;Times;Serif"/>
          <w:b w:val="false"/>
          <w:i w:val="false"/>
          <w:caps w:val="false"/>
          <w:smallCaps w:val="false"/>
          <w:sz w:val="20"/>
          <w:u w:val="single"/>
        </w:rPr>
        <w:t>Eton Pharmaceuticals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Surface Ophthalmics</w:t>
      </w:r>
      <w:r>
        <w:rPr>
          <w:rFonts w:ascii="Times New Roman;Times;Serif" w:hAnsi="Times New Roman;Times;Serif"/>
          <w:b w:val="false"/>
          <w:i w:val="false"/>
          <w:caps w:val="false"/>
          <w:smallCaps w:val="false"/>
          <w:sz w:val="20"/>
        </w:rPr>
        <w:t>. We are big believers in the missions and potential of these companies and can’t wait to hear more about their achievements in 2023 as they continue to execute their strategic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Fulfilling our 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my last Letter to Stockholders, I explained how your support of Harrow also supports our corporate mission of </w:t>
      </w:r>
      <w:r>
        <w:rPr>
          <w:rFonts w:ascii="Times New Roman;Times;Serif" w:hAnsi="Times New Roman;Times;Serif"/>
          <w:b w:val="false"/>
          <w:i/>
          <w:caps w:val="false"/>
          <w:smallCaps w:val="false"/>
          <w:sz w:val="20"/>
        </w:rPr>
        <w:t>helping patients manage the preservation of their sight by providing access to innovative and affordable medicine and services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wanted to give you a quick update as we recently received e-mails from two separate physicians about mission trips to Guatemala. One group had historically made their mission trip annually and had just made their first trip after a nearly four-year COVID hiatus. Combined, the two teams were able to provide care to over 1,500 patients and provide cataract and other ophthalmic surgeries to nearly 100 patients. It was very heart-warming to learn how our donations to these mission trips helped these beautiful souls, especially a 10-year-old girl who had surgery on a tumor on one of her eyes that had prevented her from being able to completely close the eye for several years. Although it was not medically feasible to completely remove the tumor, these heroic ophthalmologists were able to flatten it and allow her to “once again close that eye.” These are the types of blessed wonders that Harrow, </w:t>
      </w:r>
      <w:r>
        <w:rPr>
          <w:rFonts w:ascii="Times New Roman;Times;Serif" w:hAnsi="Times New Roman;Times;Serif"/>
          <w:b w:val="false"/>
          <w:i/>
          <w:caps w:val="false"/>
          <w:smallCaps w:val="false"/>
          <w:sz w:val="20"/>
        </w:rPr>
        <w:t xml:space="preserve">and you </w:t>
      </w:r>
      <w:r>
        <w:rPr>
          <w:rFonts w:ascii="Times New Roman;Times;Serif" w:hAnsi="Times New Roman;Times;Serif"/>
          <w:b w:val="false"/>
          <w:i w:val="false"/>
          <w:caps w:val="false"/>
          <w:smallCaps w:val="false"/>
          <w:sz w:val="20"/>
        </w:rPr>
        <w:t>(through your stockholdings), make possible. I am confident you are as honored to participate in these mission trips as we 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Senior Executive Equity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Harrow is dependent on the “above-and-beyond” efforts of many folks, including Andrew Boll, Dennis Saadeh, and John Saharek. Andrew and I have worked together for over 15 years, and he was with me at Harrow from Day 1, when our office comprised a grand total of 250 or so square feet. Dennis, whom I began to work with in the Fall of 2014, is responsible for building nearly all of our compounded formulations. His brilliant pharmaceutical design creativity has been a backbone to help build our business. John has been at the tip of the Harrow commercial spear, driving every single dollar of revenue we have produced from April 1, 2014 (the day we began to generate revenue) to the present. These men are exceptional, and I am grateful to have them as partners.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Traditionally, Compensation Committees of public company Boards of Directors provide senior executives with equity compensation, on an annual basis, that vests over time, in the form of stock options or restricted stock units (RSUs) – </w:t>
      </w:r>
      <w:r>
        <w:rPr>
          <w:rFonts w:ascii="Times New Roman;Times;Serif" w:hAnsi="Times New Roman;Times;Serif"/>
          <w:b w:val="false"/>
          <w:i/>
          <w:caps w:val="false"/>
          <w:smallCaps w:val="false"/>
          <w:sz w:val="20"/>
        </w:rPr>
        <w:t>as a retention tool</w:t>
      </w:r>
      <w:r>
        <w:rPr>
          <w:rFonts w:ascii="Times New Roman;Times;Serif" w:hAnsi="Times New Roman;Times;Serif"/>
          <w:b w:val="false"/>
          <w:i w:val="false"/>
          <w:caps w:val="false"/>
          <w:smallCaps w:val="false"/>
          <w:sz w:val="20"/>
        </w:rPr>
        <w:t xml:space="preserve">. For many years, we received stock options and, occasionally, RSUs with these time-based vesting criteria. A few years ago, I approached the Harrow Board of Directors and said that Andrew, Dennis, John, and I wanted to forego future annual grants of both stock options and RSUs (which are essentially shares of stock), and instead we wanted to totally align ourselves with our stockholders. In order to accomplish this, I proposed that we receive an escalating number of shares of Harrow stock that would only vest if the price of our stock rose meaningfully and maintained that certain level for a reasonable period of time (i.e., we didn’t want the stock to spike up, cause a vesting, and thus a windfall). Additionally, under the policy, we had to maintain our employment with Harrow for at least two years in order to receive any shares that vested. This meant that Harrow stock achieving the lowest target level would cause the vesting of a fraction of the number of shares that would vest had the stock achieved the highest target level. The bottom line is that when our stockholders “won,” – we would win. And the more our fellow stockholders won, the more we would win – </w:t>
      </w:r>
      <w:r>
        <w:rPr>
          <w:rFonts w:ascii="Times New Roman;Times;Serif" w:hAnsi="Times New Roman;Times;Serif"/>
          <w:b w:val="false"/>
          <w:i/>
          <w:caps w:val="false"/>
          <w:smallCaps w:val="false"/>
          <w:sz w:val="20"/>
        </w:rPr>
        <w:t>in other words, management and shareholder alignment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liked this idea, and after working with our compensation consultant, this program was formally started in the summer of 2021, when our stock price was around $7 to $8 per share. The initial Harrow stock price targets were a 50% increase, a 100% increase, a 150% increase, and, lastly, a 175% increase. Recently, we achieved the 175% price target ($21.45 price target), which will cause all of the shares in this program to vest. We are set to receive these shares this summer on the two-year anniversary of the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success of this program, earlier this year, we again requested that our Board adopt a new similar program, consisting of Harrow stock price targets of $25 per share, $35 per share, $45 per share, and $50 per share. This is all described in more detail in our SEC filings, but I wanted to call attention to this “eat what you kill” structure because, while it will have a non-cash impact to our operating expenses, I believe (1) it provides a great incentive for the team to create long-term and sustainable stockholder value, and (2) all Harrow stockholders should know that we as a management team are focused on value-creating initiatives that have the potential to create significantly more shareholder value than what is currently reflected in the market value of Harrow.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Transparency and Credibility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many of you know, I am a big fan of Warren Buffett and Charlie Munger, and the Harrow Stockholder Letters are 100% inspired by Mr. Buffett’s Annual Letter to Shareholders. (As an aside, I had planned to make the pilgrimage to Omaha to participate in the so-called “Woodstock for Capitalists.” However, my loyalty is always to Harrow, and ASCRS was the same weekend as the Berkshire Annual Meeting – so I decided to work the booth at ASCRS, talk to customers, and sing the praises of the wonderful products we make, sell, and distribute. As for the Berkshire Annual Meeting – I hope to be there next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wrote our first Letter to Stockholders for the third quarter of 2019 – and I’ve made the investment in writing these letters every quarter since because I believe they’re a valuable tool that allows me to discuss with stockholders our strategic plan, our goals, our successes, and of course, our failures. They also allow you to hold me and the rest of the Harrow team accountable for the long-term value we are charged with and incentivized to create. In these letters, I do my best to offer transparency, knowing that credibility is crucial to a long-term relationship between Harrow and its stockholders. The value of increasing one’s credibility to stockholders is exponential – on the positive side as it grows, but in turn, it’s incredibly hard to regain credibility and can be increasingly exponentially negative as it is lost.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spirit of transparency and preserving and hopefully growing this management team’s credibility with our fellow stockholders, after my signature line below, I am providing an index linked to all previous Letters to Stockholders.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Reflecting on how we got to where we are today, I am proud that Harrow has what Steve Jobs once called a “cohesive vision.” We built our business from the bottom up, based on the needs and desired experiences of our customers. We have always been commercially focused, and only until we had confidence that we truly understood the market needs for ophthalmic pharmaceuticals, did we go about building and developing our product portfolio and taking it to the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Getting to where we are today has not been a linear process, and as I have stated many times before, it has certainly been painful at times, as we failed repeatedly and over many years. But as Ray Dalio once said, “Pain + Reflection = Progress,” and our progress is abundantly reflected in this Stockholder Letter. For many years to come, I believe the process we underwent to get to this place, especially the pain, will serve us well and be further reflected in the ongoing growth of Harrow into a leading U.S. ophthalmic pharmaceutical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Lastly, even though we are proud of where we are today, we are just beginning to realize our potential. I believe we are well on our way to achieving the core objective of our most recent Five-Year Plan (“FYP”), which is to develop Harrow into one of the largest (if not the largest) pure-play U.S. ophthalmic pharmaceutical companies. I believe this can happen by maximizing the potential of our current product portfolio and by remaining on the hunt for new accretive and strategic deals that fit well with our dedicated and 100% focus on the U.S. ophthalmic pharmaceuticals market. </w:t>
      </w:r>
      <w:r>
        <w:rPr>
          <w:rFonts w:ascii="Times New Roman;Times;Serif" w:hAnsi="Times New Roman;Times;Serif"/>
          <w:b w:val="false"/>
          <w:i/>
          <w:caps w:val="false"/>
          <w:smallCaps w:val="false"/>
          <w:sz w:val="20"/>
        </w:rPr>
        <w:t>Onward and upward.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look forward to updating you on our accomplishments and progress in my next Letter to Stockholders in August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Chairman of the Board, and Chief Executive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Previous Letters to Stockholders</w:t>
      </w:r>
    </w:p>
    <w:p>
      <w:pPr>
        <w:pStyle w:val="TextBody"/>
        <w:bidi w:val="0"/>
        <w:spacing w:before="0" w:after="0"/>
        <w:ind w:left="0" w:right="0" w:hanging="0"/>
        <w:jc w:val="both"/>
        <w:rPr>
          <w:caps w:val="false"/>
          <w:smallCaps w:val="false"/>
        </w:rPr>
      </w:pPr>
      <w:r>
        <w:rPr>
          <w:caps w:val="false"/>
          <w:smallCaps w:val="false"/>
        </w:rPr>
        <w:t> </w:t>
      </w:r>
    </w:p>
    <w:tbl>
      <w:tblPr>
        <w:tblW w:w="3110" w:type="dxa"/>
        <w:jc w:val="left"/>
        <w:tblInd w:w="0" w:type="dxa"/>
        <w:tblLayout w:type="fixed"/>
        <w:tblCellMar>
          <w:top w:w="0" w:type="dxa"/>
          <w:left w:w="0" w:type="dxa"/>
          <w:bottom w:w="28" w:type="dxa"/>
          <w:right w:w="0" w:type="dxa"/>
        </w:tblCellMar>
      </w:tblPr>
      <w:tblGrid>
        <w:gridCol w:w="740"/>
        <w:gridCol w:w="60"/>
        <w:gridCol w:w="725"/>
        <w:gridCol w:w="60"/>
        <w:gridCol w:w="725"/>
        <w:gridCol w:w="60"/>
        <w:gridCol w:w="740"/>
      </w:tblGrid>
      <w:tr>
        <w:trPr/>
        <w:tc>
          <w:tcPr>
            <w:tcW w:w="74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r>
      <w:tr>
        <w:trPr/>
        <w:tc>
          <w:tcPr>
            <w:tcW w:w="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4Q 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4Q 2021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4Q 2020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4Q 2019</w:t>
            </w:r>
          </w:p>
        </w:tc>
      </w:tr>
      <w:tr>
        <w:trPr/>
        <w:tc>
          <w:tcPr>
            <w:tcW w:w="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3Q 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3Q 2021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3Q 2020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3Q 2019</w:t>
            </w:r>
          </w:p>
        </w:tc>
      </w:tr>
      <w:tr>
        <w:trPr/>
        <w:tc>
          <w:tcPr>
            <w:tcW w:w="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2Q 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2Q 2021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2Q 2020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1Q 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1Q 2021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1Q 2020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remarks in this stockholder letter include forward-looking statements within the meaning of federal securities laws. Forward-looking statements are subject to numerous risks and uncertainties, many of which are beyond Harrow’s control, including risks and uncertainties described from time to time in its SEC filings, such as the risks and uncertainties related to the Company’s ability to make commercially available its FDA-approved products and compounded formulations and technologies, and FDA approval of certain drug candidates in a timely manner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list and description of those risks and uncertainties, please see the “Risk Factors” section of the Company’s Annual Report on Form 10-K, Quarterly Reports on Form 10-Q, and other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Harrow refers to non-GAAP financial measures, specifically Adjusted EBITDA, adjusted earnings, core gross margin, core net income(loss), and core diluted net income (loss) per share. A reconciliation of non-GAAP measures with the most directly comparable GAAP measures is included in this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compounded formulation is FDA-approved. All compounded formulations are customizable. Other than drugs compounded at a registered outsourcing facility, all compounded formulations require a prescription for an individually identified patient consistent with federal and state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All trademarks, service marks, and trade names included or referenced in this publication are the property of their respective owners. </w:t>
      </w:r>
    </w:p>
    <w:p>
      <w:pPr>
        <w:pStyle w:val="TextBody"/>
        <w:bidi w:val="0"/>
        <w:spacing w:before="0" w:after="0"/>
        <w:ind w:left="0" w:right="0" w:firstLine="719"/>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income (loss), excluding the effects of stock-based compensation and expenses, interest, taxes, depreciation, amortization, investment income (loss), net, loss on extinguishment of debt, and, if any and when specified, other non-recurring income or expense items. Management believes that the most directly comparable GAAP financial measure to Adjusted EBITDA is net income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income (loss), for the three months ended March 31, 2023 and 2022:</w:t>
      </w:r>
    </w:p>
    <w:p>
      <w:pPr>
        <w:pStyle w:val="TextBody"/>
        <w:bidi w:val="0"/>
        <w:spacing w:before="0" w:after="0"/>
        <w:ind w:left="0" w:right="0" w:firstLine="719"/>
        <w:jc w:val="both"/>
        <w:rPr>
          <w:caps w:val="false"/>
          <w:smallCaps w:val="false"/>
        </w:rPr>
      </w:pPr>
      <w:r>
        <w:rPr>
          <w:caps w:val="false"/>
          <w:smallCaps w:val="false"/>
        </w:rPr>
        <w:t> </w:t>
      </w:r>
    </w:p>
    <w:tbl>
      <w:tblPr>
        <w:tblW w:w="5937" w:type="dxa"/>
        <w:jc w:val="left"/>
        <w:tblInd w:w="0" w:type="dxa"/>
        <w:tblLayout w:type="fixed"/>
        <w:tblCellMar>
          <w:top w:w="0" w:type="dxa"/>
          <w:left w:w="0" w:type="dxa"/>
          <w:bottom w:w="0" w:type="dxa"/>
          <w:right w:w="0" w:type="dxa"/>
        </w:tblCellMar>
      </w:tblPr>
      <w:tblGrid>
        <w:gridCol w:w="3335"/>
        <w:gridCol w:w="60"/>
        <w:gridCol w:w="130"/>
        <w:gridCol w:w="943"/>
        <w:gridCol w:w="239"/>
        <w:gridCol w:w="62"/>
        <w:gridCol w:w="130"/>
        <w:gridCol w:w="943"/>
        <w:gridCol w:w="95"/>
      </w:tblGrid>
      <w:tr>
        <w:trPr/>
        <w:tc>
          <w:tcPr>
            <w:tcW w:w="33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7"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239"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07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(6,643,000</w:t>
            </w:r>
          </w:p>
        </w:tc>
        <w:tc>
          <w:tcPr>
            <w:tcW w:w="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(2,438,000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1,633,000</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4,747,000</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1,792,000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(288,000</w:t>
            </w:r>
          </w:p>
        </w:tc>
        <w:tc>
          <w:tcPr>
            <w:tcW w:w="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292,000</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2,207,000</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(2,042,000</w:t>
            </w:r>
          </w:p>
        </w:tc>
        <w:tc>
          <w:tcPr>
            <w:tcW w:w="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2,747,000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5,436,000</w:t>
            </w:r>
          </w:p>
        </w:tc>
        <w:tc>
          <w:tcPr>
            <w:tcW w:w="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5,342,000</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4,940,000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270" w:right="0" w:hanging="270"/>
        <w:jc w:val="left"/>
        <w:rPr>
          <w:caps w:val="false"/>
          <w:smallCaps w:val="false"/>
          <w:position w:val="8"/>
          <w:sz w:val="19"/>
        </w:rPr>
      </w:pPr>
      <w:r>
        <w:rPr>
          <w:caps w:val="false"/>
          <w:smallCaps w:val="false"/>
          <w:position w:val="8"/>
          <w:sz w:val="19"/>
        </w:rPr>
        <w:t> </w:t>
      </w:r>
    </w:p>
    <w:tbl>
      <w:tblPr>
        <w:tblW w:w="5110" w:type="dxa"/>
        <w:jc w:val="left"/>
        <w:tblInd w:w="0" w:type="dxa"/>
        <w:tblLayout w:type="fixed"/>
        <w:tblCellMar>
          <w:top w:w="0" w:type="dxa"/>
          <w:left w:w="0" w:type="dxa"/>
          <w:bottom w:w="0" w:type="dxa"/>
          <w:right w:w="0" w:type="dxa"/>
        </w:tblCellMar>
      </w:tblPr>
      <w:tblGrid>
        <w:gridCol w:w="245"/>
        <w:gridCol w:w="486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$5,465,000 for the loss on extinguishment of debt.</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Core Results, including core gross margin, core net income (loss), core operating income (loss), core basic and diluted income (loss) per share, and core operating margin, exclude all amortization and impairment charges of intangible assets, excluding software development costs, net gains and losses on investments and equity securities, including equity method gains and losses and equity valued at fair value through profit and loss (“FVPL”), preferred stock dividends, and gains/losses on forgiveness of debt. In other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Core Results, a non-GAAP measure, to the most comparable GAAP measure for the three months ended March 31, 2023 and 2022: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63"/>
        <w:gridCol w:w="60"/>
        <w:gridCol w:w="125"/>
        <w:gridCol w:w="950"/>
        <w:gridCol w:w="185"/>
        <w:gridCol w:w="60"/>
        <w:gridCol w:w="283"/>
        <w:gridCol w:w="1922"/>
        <w:gridCol w:w="60"/>
        <w:gridCol w:w="60"/>
        <w:gridCol w:w="125"/>
        <w:gridCol w:w="905"/>
        <w:gridCol w:w="80"/>
        <w:gridCol w:w="60"/>
        <w:gridCol w:w="125"/>
        <w:gridCol w:w="845"/>
        <w:gridCol w:w="60"/>
        <w:gridCol w:w="60"/>
        <w:gridCol w:w="125"/>
        <w:gridCol w:w="950"/>
        <w:gridCol w:w="202"/>
      </w:tblGrid>
      <w:tr>
        <w:trPr/>
        <w:tc>
          <w:tcPr>
            <w:tcW w:w="10205" w:type="dxa"/>
            <w:gridSpan w:val="21"/>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2023</w:t>
            </w:r>
          </w:p>
        </w:tc>
      </w:tr>
      <w:tr>
        <w:trPr/>
        <w:tc>
          <w:tcPr>
            <w:tcW w:w="29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 of Certain Intangible Assets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Gains</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Items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17,832,000</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2,045,000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19,877,000</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1,210,000</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2,207,000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3,417,000</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taxes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(6,931,000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2,207,000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(2,042,000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5,436,000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(1,330,000</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benefit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288,000</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288,000</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(6,643,000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2,207,000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(2,042,000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5,436,000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(1,042,000</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 per share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 of common stock outstanding: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Basic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30,289,730</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30,289,730</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77"/>
        <w:gridCol w:w="60"/>
        <w:gridCol w:w="125"/>
        <w:gridCol w:w="950"/>
        <w:gridCol w:w="185"/>
        <w:gridCol w:w="60"/>
        <w:gridCol w:w="287"/>
        <w:gridCol w:w="1612"/>
        <w:gridCol w:w="60"/>
        <w:gridCol w:w="60"/>
        <w:gridCol w:w="125"/>
        <w:gridCol w:w="845"/>
        <w:gridCol w:w="60"/>
        <w:gridCol w:w="60"/>
        <w:gridCol w:w="330"/>
        <w:gridCol w:w="211"/>
        <w:gridCol w:w="60"/>
        <w:gridCol w:w="60"/>
        <w:gridCol w:w="125"/>
        <w:gridCol w:w="950"/>
        <w:gridCol w:w="203"/>
      </w:tblGrid>
      <w:tr>
        <w:trPr/>
        <w:tc>
          <w:tcPr>
            <w:tcW w:w="10205" w:type="dxa"/>
            <w:gridSpan w:val="21"/>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2022</w:t>
            </w:r>
          </w:p>
        </w:tc>
      </w:tr>
      <w:tr>
        <w:trPr/>
        <w:tc>
          <w:tcPr>
            <w:tcW w:w="377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br/>
              <w:t>of Certain Intangible Assets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Losses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Items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0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16,157,000</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16,498,000</w:t>
            </w:r>
          </w:p>
        </w:tc>
        <w:tc>
          <w:tcPr>
            <w:tcW w:w="2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2,101,000</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2,505,000</w:t>
            </w:r>
          </w:p>
        </w:tc>
        <w:tc>
          <w:tcPr>
            <w:tcW w:w="2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before taxes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(2,438,000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2,747,000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713,000</w:t>
            </w:r>
          </w:p>
        </w:tc>
        <w:tc>
          <w:tcPr>
            <w:tcW w:w="2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(2,438,000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2,747,000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713,000</w:t>
            </w:r>
          </w:p>
        </w:tc>
        <w:tc>
          <w:tcPr>
            <w:tcW w:w="2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earnings per share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2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 earnings per share ($)</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2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 of common stock outstanding: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27,226,819</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27,226,819</w:t>
            </w:r>
          </w:p>
        </w:tc>
        <w:tc>
          <w:tcPr>
            <w:tcW w:w="2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27,226,819</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28,317,740</w:t>
            </w:r>
          </w:p>
        </w:tc>
        <w:tc>
          <w:tcPr>
            <w:tcW w:w="2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basic and diluted (loss) earnings per share is calculated using the weighted-average number of shares of common stock outstanding during the period. Core basic and diluted (loss) earnings per share also contemplates dilutive shares associated with equity-based awards as described in Note 2 and elsewhere in the Condensed Consolidated Financial Statements included in the Company’s Quarterly Report on Form 10-Q for the quarter ended March 31, 2023.</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Portfolio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(includes Non-GAAP Values)</w:t>
      </w:r>
    </w:p>
    <w:p>
      <w:pPr>
        <w:pStyle w:val="TextBody"/>
        <w:bidi w:val="0"/>
        <w:spacing w:before="0" w:after="0"/>
        <w:ind w:left="0" w:right="0" w:hanging="0"/>
        <w:jc w:val="both"/>
        <w:rPr>
          <w:caps w:val="false"/>
          <w:smallCaps w:val="false"/>
        </w:rPr>
      </w:pPr>
      <w:r>
        <w:rPr>
          <w:caps w:val="false"/>
          <w:smallCaps w:val="false"/>
        </w:rPr>
        <w:t> </w:t>
      </w:r>
    </w:p>
    <w:tbl>
      <w:tblPr>
        <w:tblW w:w="8226" w:type="dxa"/>
        <w:jc w:val="left"/>
        <w:tblInd w:w="0" w:type="dxa"/>
        <w:tblLayout w:type="fixed"/>
        <w:tblCellMar>
          <w:top w:w="0" w:type="dxa"/>
          <w:left w:w="0" w:type="dxa"/>
          <w:bottom w:w="0" w:type="dxa"/>
          <w:right w:w="0" w:type="dxa"/>
        </w:tblCellMar>
      </w:tblPr>
      <w:tblGrid>
        <w:gridCol w:w="3590"/>
        <w:gridCol w:w="60"/>
        <w:gridCol w:w="204"/>
        <w:gridCol w:w="2875"/>
        <w:gridCol w:w="60"/>
        <w:gridCol w:w="60"/>
        <w:gridCol w:w="131"/>
        <w:gridCol w:w="1001"/>
        <w:gridCol w:w="245"/>
      </w:tblGrid>
      <w:tr>
        <w:trPr/>
        <w:tc>
          <w:tcPr>
            <w:tcW w:w="3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3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March 31, 2023</w:t>
            </w:r>
          </w:p>
        </w:tc>
        <w:tc>
          <w:tcPr>
            <w:tcW w:w="245" w:type="dxa"/>
            <w:tcBorders/>
            <w:vAlign w:val="center"/>
          </w:tcPr>
          <w:p>
            <w:pPr>
              <w:pStyle w:val="TableContents"/>
              <w:bidi w:val="0"/>
              <w:spacing w:before="0" w:after="283"/>
              <w:jc w:val="left"/>
              <w:rPr>
                <w:caps w:val="false"/>
                <w:smallCaps w:val="false"/>
                <w:position w:val="8"/>
                <w:sz w:val="19"/>
              </w:rPr>
            </w:pPr>
            <w:r>
              <w:rPr>
                <w:caps w:val="false"/>
                <w:smallCaps w:val="false"/>
                <w:position w:val="8"/>
                <w:sz w:val="19"/>
              </w:rPr>
              <w:t> </w:t>
            </w:r>
          </w:p>
        </w:tc>
      </w:tr>
      <w:tr>
        <w:trPr/>
        <w:tc>
          <w:tcPr>
            <w:tcW w:w="35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2" w:type="dxa"/>
            <w:gridSpan w:val="2"/>
            <w:tcBorders>
              <w:bottom w:val="single" w:sz="12" w:space="0" w:color="000000"/>
            </w:tcBorders>
            <w:tcMar>
              <w:bottom w:w="28" w:type="dxa"/>
            </w:tcMar>
            <w:vAlign w:val="center"/>
          </w:tcPr>
          <w:p>
            <w:pPr>
              <w:pStyle w:val="TableContents"/>
              <w:bidi w:val="0"/>
              <w:spacing w:before="0" w:after="0"/>
              <w:ind w:left="0" w:right="0" w:firstLine="2"/>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Management</w:t>
            </w:r>
          </w:p>
          <w:p>
            <w:pPr>
              <w:pStyle w:val="TableContents"/>
              <w:bidi w:val="0"/>
              <w:spacing w:before="0" w:after="0"/>
              <w:ind w:left="0" w:right="0" w:firstLine="2"/>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Estimated</w:t>
            </w:r>
          </w:p>
          <w:p>
            <w:pPr>
              <w:pStyle w:val="TableContents"/>
              <w:bidi w:val="0"/>
              <w:spacing w:before="0" w:after="0"/>
              <w:ind w:left="0" w:right="0" w:firstLine="2"/>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Value</w:t>
            </w:r>
          </w:p>
        </w:tc>
        <w:tc>
          <w:tcPr>
            <w:tcW w:w="245" w:type="dxa"/>
            <w:tcBorders/>
            <w:vAlign w:val="center"/>
          </w:tcPr>
          <w:p>
            <w:pPr>
              <w:pStyle w:val="TableContents"/>
              <w:bidi w:val="0"/>
              <w:spacing w:before="0" w:after="283"/>
              <w:jc w:val="left"/>
              <w:rPr>
                <w:caps w:val="false"/>
                <w:smallCaps w:val="false"/>
                <w:position w:val="8"/>
                <w:sz w:val="19"/>
              </w:rPr>
            </w:pPr>
            <w:r>
              <w:rPr>
                <w:caps w:val="false"/>
                <w:smallCaps w:val="false"/>
                <w:position w:val="8"/>
                <w:sz w:val="19"/>
              </w:rPr>
              <w:t> </w:t>
            </w:r>
          </w:p>
        </w:tc>
      </w:tr>
      <w:tr>
        <w:trPr/>
        <w:tc>
          <w:tcPr>
            <w:tcW w:w="35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Eton Pharmaceuticals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7,630,700</w:t>
            </w:r>
          </w:p>
        </w:tc>
        <w:tc>
          <w:tcPr>
            <w:tcW w:w="245" w:type="dxa"/>
            <w:tcBorders/>
            <w:shd w:fill="CCEEFF" w:val="clear"/>
            <w:vAlign w:val="center"/>
          </w:tcPr>
          <w:p>
            <w:pPr>
              <w:pStyle w:val="TableContents"/>
              <w:bidi w:val="0"/>
              <w:spacing w:before="0" w:after="283"/>
              <w:jc w:val="left"/>
              <w:rPr>
                <w:caps w:val="false"/>
                <w:smallCaps w:val="false"/>
                <w:position w:val="8"/>
                <w:sz w:val="19"/>
              </w:rPr>
            </w:pPr>
            <w:r>
              <w:rPr>
                <w:caps w:val="false"/>
                <w:smallCaps w:val="false"/>
                <w:position w:val="8"/>
                <w:sz w:val="19"/>
              </w:rPr>
              <w:t> </w:t>
            </w:r>
          </w:p>
        </w:tc>
      </w:tr>
      <w:tr>
        <w:trPr/>
        <w:tc>
          <w:tcPr>
            <w:tcW w:w="35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Surface Ophthalmics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15,750,000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r>
      <w:tr>
        <w:trPr/>
        <w:tc>
          <w:tcPr>
            <w:tcW w:w="35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Melt Pharmaceuticals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17,500,000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r>
      <w:tr>
        <w:trPr/>
        <w:tc>
          <w:tcPr>
            <w:tcW w:w="35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Melt Pharmaceuticals – Secured Loan + PIK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8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16,501,000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r>
      <w:tr>
        <w:trPr/>
        <w:tc>
          <w:tcPr>
            <w:tcW w:w="359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Total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8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57,381,700</w:t>
            </w:r>
          </w:p>
        </w:tc>
        <w:tc>
          <w:tcPr>
            <w:tcW w:w="245" w:type="dxa"/>
            <w:tcBorders/>
            <w:shd w:fill="CCEEFF" w:val="clear"/>
            <w:vAlign w:val="center"/>
          </w:tcPr>
          <w:p>
            <w:pPr>
              <w:pStyle w:val="TableContents"/>
              <w:bidi w:val="0"/>
              <w:spacing w:before="0" w:after="283"/>
              <w:jc w:val="left"/>
              <w:rPr>
                <w:caps w:val="false"/>
                <w:smallCaps w:val="false"/>
                <w:position w:val="8"/>
                <w:sz w:val="19"/>
              </w:rPr>
            </w:pPr>
            <w:r>
              <w:rPr>
                <w:caps w:val="false"/>
                <w:smallCaps w:val="false"/>
                <w:position w:val="8"/>
                <w:sz w:val="19"/>
              </w:rPr>
              <w:t> </w:t>
            </w:r>
          </w:p>
        </w:tc>
      </w:tr>
    </w:tbl>
    <w:p>
      <w:pPr>
        <w:pStyle w:val="TextBody"/>
        <w:bidi w:val="0"/>
        <w:spacing w:before="0" w:after="0"/>
        <w:ind w:left="270" w:right="0" w:hanging="27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 non-GAAP value, calculated as the purchase and conversion price ($4.50) of the Series A-1 Preferred Stock (the most recent equity offering) multiplied by the number of common shares owned by Harrow at March 31, 2023.</w:t>
            </w:r>
          </w:p>
        </w:tc>
      </w:tr>
    </w:tbl>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 non-GAAP value, calculated as the purchase and conversion price ($5.00) of the Series A Preferred Stock (the most recent equity offering) multiplied by the number of common shares owned by Harrow at March 31, 2023.</w:t>
            </w:r>
          </w:p>
        </w:tc>
      </w:tr>
    </w:tbl>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principal balance owed under the loan agreement, including interest paid in kind (or PIK). In accordance with ASC 323, Harrow’s presentation of this loan receivable on its consolidated balance sheet is presented at its carry value less reductions in the carrying value related to Harrow’s share of Melt equity losses.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34" w:name="ex99-3.htm"/>
      <w:bookmarkStart w:id="35" w:name="ksex993"/>
      <w:bookmarkEnd w:id="34"/>
      <w:bookmarkEnd w:id="35"/>
      <w:r>
        <w:rPr/>
        <w:t> </w:t>
      </w:r>
      <w:r>
        <w:br w:type="page"/>
      </w:r>
    </w:p>
    <w:p>
      <w:pPr>
        <w:pStyle w:val="TextBody"/>
        <w:bidi w:val="0"/>
        <w:jc w:val="right"/>
        <w:rPr>
          <w:b/>
        </w:rPr>
      </w:pPr>
      <w:r>
        <w:rPr>
          <w:b/>
        </w:rPr>
        <w:t>Exhibit 99.3</w:t>
      </w:r>
    </w:p>
    <w:p>
      <w:pPr>
        <w:pStyle w:val="TextBody"/>
        <w:bidi w:val="0"/>
        <w:jc w:val="center"/>
        <w:rPr/>
      </w:pPr>
      <w:r>
        <w:rPr/>
        <w:t> </w:t>
      </w:r>
      <w:r>
        <w:rPr/>
        <w:drawing>
          <wp:inline distT="0" distB="0" distL="0" distR="0">
            <wp:extent cx="10477500" cy="5895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pPr>
      <w:r>
        <w:rPr/>
        <w:t> </w:t>
      </w:r>
      <w:r>
        <w:rPr/>
        <w:drawing>
          <wp:inline distT="0" distB="0" distL="0" distR="0">
            <wp:extent cx="10477500" cy="5895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pPr>
      <w:r>
        <w:rPr/>
        <w:t> </w:t>
      </w:r>
      <w:r>
        <w:rPr/>
        <w:drawing>
          <wp:inline distT="0" distB="0" distL="0" distR="0">
            <wp:extent cx="10477500" cy="5895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pPr>
      <w:r>
        <w:rPr/>
        <w:t> </w:t>
      </w:r>
      <w:r>
        <w:rPr/>
        <w:drawing>
          <wp:inline distT="0" distB="0" distL="0" distR="0">
            <wp:extent cx="10477500" cy="5895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pPr>
      <w:r>
        <w:rPr/>
        <w:t> </w:t>
      </w:r>
      <w:r>
        <w:rPr/>
        <w:drawing>
          <wp:inline distT="0" distB="0" distL="0" distR="0">
            <wp:extent cx="10477500" cy="5895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pPr>
      <w:r>
        <w:rPr/>
        <w:t> </w:t>
      </w:r>
      <w:r>
        <w:rPr/>
        <w:drawing>
          <wp:inline distT="0" distB="0" distL="0" distR="0">
            <wp:extent cx="10477500" cy="5895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pPr>
      <w:r>
        <w:rPr/>
        <w:t> </w:t>
      </w:r>
      <w:r>
        <w:rPr/>
        <w:drawing>
          <wp:inline distT="0" distB="0" distL="0" distR="0">
            <wp:extent cx="10477500" cy="5895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pPr>
      <w:r>
        <w:rPr/>
        <w:t> </w:t>
      </w:r>
      <w:r>
        <w:rPr/>
        <w:drawing>
          <wp:inline distT="0" distB="0" distL="0" distR="0">
            <wp:extent cx="10477500" cy="58959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pPr>
      <w:r>
        <w:rPr/>
        <w:t> </w:t>
      </w:r>
      <w:r>
        <w:rPr/>
        <w:drawing>
          <wp:inline distT="0" distB="0" distL="0" distR="0">
            <wp:extent cx="10477500" cy="5895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pPr>
      <w:r>
        <w:rPr/>
        <w:t> </w:t>
      </w:r>
      <w:r>
        <w:rPr/>
        <w:drawing>
          <wp:inline distT="0" distB="0" distL="0" distR="0">
            <wp:extent cx="10477500" cy="58959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pPr>
      <w:r>
        <w:rPr/>
        <w:t> </w:t>
      </w:r>
      <w:r>
        <w:rPr/>
        <w:drawing>
          <wp:inline distT="0" distB="0" distL="0" distR="0">
            <wp:extent cx="10477500" cy="58959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pPr>
      <w:r>
        <w:rPr/>
        <w:t> </w:t>
      </w:r>
      <w:r>
        <w:rPr/>
        <w:drawing>
          <wp:inline distT="0" distB="0" distL="0" distR="0">
            <wp:extent cx="10477500" cy="58959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pPr>
      <w:r>
        <w:rPr/>
        <w:t> </w:t>
      </w:r>
      <w:r>
        <w:rPr/>
        <w:drawing>
          <wp:inline distT="0" distB="0" distL="0" distR="0">
            <wp:extent cx="10477500" cy="58959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pPr>
      <w:r>
        <w:rPr/>
        <w:t> </w:t>
      </w:r>
      <w:r>
        <w:rPr/>
        <w:drawing>
          <wp:inline distT="0" distB="0" distL="0" distR="0">
            <wp:extent cx="10477500" cy="58959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pPr>
      <w:r>
        <w:rPr/>
        <w:t> </w:t>
      </w:r>
      <w:r>
        <w:rPr/>
        <w:drawing>
          <wp:inline distT="0" distB="0" distL="0" distR="0">
            <wp:extent cx="10477500" cy="58959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8339</Words>
  <Characters>45402</Characters>
  <CharactersWithSpaces>54358</CharactersWithSpaces>
  <Paragraphs>2426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