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85000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05/20/2020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vMerge w:val="restart"/>
          </w:tcPr>
          <w:p>
            <w:pPr>
              <w:jc w:val="center"/>
              <w:ind w:left="47"/>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4.47</w:t>
            </w:r>
            <w:r>
              <w:rPr>
                <w:rFonts w:ascii="Arial" w:cs="Arial" w:eastAsia="Arial" w:hAnsi="Arial"/>
                <w:sz w:val="22"/>
                <w:szCs w:val="22"/>
                <w:color w:val="008000"/>
                <w:w w:val="89"/>
                <w:vertAlign w:val="superscript"/>
              </w:rPr>
              <w:t>(1)</w:t>
            </w: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2,480,800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05/20/2020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1,200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vMerge w:val="restart"/>
          </w:tcPr>
          <w:p>
            <w:pPr>
              <w:jc w:val="center"/>
              <w:ind w:left="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4.4981</w:t>
            </w: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119,800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05/21/2020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10,396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4.6555</w:t>
            </w:r>
            <w:r>
              <w:rPr>
                <w:rFonts w:ascii="Arial" w:cs="Arial" w:eastAsia="Arial" w:hAnsi="Arial"/>
                <w:sz w:val="22"/>
                <w:szCs w:val="22"/>
                <w:color w:val="008000"/>
                <w:w w:val="88"/>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2,491,196</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05/21/2020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vMerge w:val="restart"/>
          </w:tcPr>
          <w:p>
            <w:pPr>
              <w:jc w:val="center"/>
              <w:ind w:left="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4.6981</w:t>
            </w: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8,804</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5.0527</w:t>
            </w:r>
            <w:r>
              <w:rPr>
                <w:rFonts w:ascii="Arial" w:cs="Arial" w:eastAsia="Arial" w:hAnsi="Arial"/>
                <w:sz w:val="22"/>
                <w:szCs w:val="22"/>
                <w:color w:val="008000"/>
                <w:w w:val="88"/>
                <w:vertAlign w:val="superscript"/>
              </w:rPr>
              <w:t>(5)</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2,500,000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05/22/2020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5.021</w:t>
            </w:r>
            <w:r>
              <w:rPr>
                <w:rFonts w:ascii="Arial" w:cs="Arial" w:eastAsia="Arial" w:hAnsi="Arial"/>
                <w:sz w:val="22"/>
                <w:szCs w:val="22"/>
                <w:color w:val="008000"/>
                <w:w w:val="88"/>
                <w:vertAlign w:val="superscript"/>
              </w:rPr>
              <w:t>(6)</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$4.47. The range of purchase prices on the transaction date was $4.40 to $4.505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$4.6555. The range of purchase prices on the transaction date was $4.605 to $4.747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$5.0527. The range of purchase prices on the transaction date was $4.72 to $5.34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$5.021. The range of purchase prices on the transaction date was $4.70 to $5.20 per share. The reporting person undertakes to provide, upon request by the SEC staff, the issuer, or a security holder of the issuer, full information regarding the number of shares purchased at each price.</w:t>
      </w:r>
    </w:p>
    <w:p>
      <w:pPr>
        <w:sectPr>
          <w:pgSz w:w="11900" w:h="16838" w:orient="portrait"/>
          <w:cols w:equalWidth="0" w:num="1">
            <w:col w:w="11080"/>
          </w:cols>
          <w:pgMar w:left="460" w:top="225" w:right="35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Opaleye Management Inc.,</w:t>
      </w:r>
      <w:r>
        <w:rPr>
          <w:sz w:val="20"/>
          <w:szCs w:val="20"/>
          <w:color w:val="auto"/>
        </w:rPr>
        <w:tab/>
      </w:r>
      <w:r>
        <w:rPr>
          <w:rFonts w:ascii="Arial" w:cs="Arial" w:eastAsia="Arial" w:hAnsi="Arial"/>
          <w:sz w:val="15"/>
          <w:szCs w:val="15"/>
          <w:color w:val="0000FF"/>
        </w:rPr>
        <w:t>05/22/2020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By: /s/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2020-05-22T18:23:53Z</dcterms:created>
  <dcterms:modified xsi:type="dcterms:W3CDTF">2020-05-22T18:23:53Z</dcterms:modified>
</cp:coreProperties>
</file>