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22, 2012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IMPRIMIS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920" w:type="dxa"/>
        <w:tblCellMar>
          <w:top w:w="0" w:type="dxa"/>
          <w:left w:w="0" w:type="dxa"/>
          <w:bottom w:w="0" w:type="dxa"/>
          <w:right w:w="0" w:type="dxa"/>
        </w:tblCellMar>
      </w:tblPr>
      <w:tr>
        <w:trPr>
          <w:trHeight w:val="220"/>
        </w:trPr>
        <w:tc>
          <w:tcPr>
            <w:tcW w:w="400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45-0567010</w:t>
            </w:r>
          </w:p>
        </w:tc>
      </w:tr>
      <w:tr>
        <w:trPr>
          <w:trHeight w:val="216"/>
        </w:trPr>
        <w:tc>
          <w:tcPr>
            <w:tcW w:w="4000" w:type="dxa"/>
            <w:vAlign w:val="bottom"/>
          </w:tcPr>
          <w:p>
            <w:pPr>
              <w:jc w:val="center"/>
              <w:ind w:right="1750"/>
              <w:spacing w:after="0"/>
              <w:rPr>
                <w:sz w:val="20"/>
                <w:szCs w:val="20"/>
                <w:color w:val="auto"/>
              </w:rPr>
            </w:pPr>
            <w:r>
              <w:rPr>
                <w:rFonts w:ascii="Arial" w:cs="Arial" w:eastAsia="Arial" w:hAnsi="Arial"/>
                <w:sz w:val="18"/>
                <w:szCs w:val="18"/>
                <w:color w:val="auto"/>
                <w:w w:val="92"/>
              </w:rPr>
              <w:t>(State or other jurisdiction of</w:t>
            </w:r>
          </w:p>
        </w:tc>
        <w:tc>
          <w:tcPr>
            <w:tcW w:w="3160" w:type="dxa"/>
            <w:vAlign w:val="bottom"/>
          </w:tcPr>
          <w:p>
            <w:pPr>
              <w:jc w:val="center"/>
              <w:ind w:left="1750"/>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jc w:val="center"/>
              <w:ind w:right="1750"/>
              <w:spacing w:after="0"/>
              <w:rPr>
                <w:sz w:val="20"/>
                <w:szCs w:val="20"/>
                <w:color w:val="auto"/>
              </w:rPr>
            </w:pPr>
            <w:r>
              <w:rPr>
                <w:rFonts w:ascii="Arial" w:cs="Arial" w:eastAsia="Arial" w:hAnsi="Arial"/>
                <w:sz w:val="18"/>
                <w:szCs w:val="18"/>
                <w:color w:val="auto"/>
                <w:w w:val="91"/>
              </w:rPr>
              <w:t>Incorporation or organization)</w:t>
            </w:r>
          </w:p>
        </w:tc>
        <w:tc>
          <w:tcPr>
            <w:tcW w:w="3160" w:type="dxa"/>
            <w:vAlign w:val="bottom"/>
          </w:tcPr>
          <w:p>
            <w:pPr>
              <w:jc w:val="center"/>
              <w:ind w:left="173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437 South Highway 101, Suite 209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Solana Beach, CA 92075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2007 Incentive Stock and Awards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Stand-Alone Restricted Stock Unit Awards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_______________________________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437 South Highway 101, Suite 209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Solana Beach, CA 92075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433-2800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G. Rowles,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Jeannette V. Filippone,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Morrison &amp; Foerster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12531 High Bluff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720-5100</w:t>
      </w:r>
    </w:p>
    <w:p>
      <w:pPr>
        <w:spacing w:after="0" w:line="238"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5360" w:type="dxa"/>
            <w:vAlign w:val="bottom"/>
          </w:tcPr>
          <w:p>
            <w:pPr>
              <w:jc w:val="right"/>
              <w:ind w:right="5010"/>
              <w:spacing w:after="0" w:line="181" w:lineRule="exact"/>
              <w:rPr>
                <w:sz w:val="20"/>
                <w:szCs w:val="20"/>
                <w:color w:val="auto"/>
              </w:rPr>
            </w:pPr>
            <w:r>
              <w:rPr>
                <w:rFonts w:ascii="MS PGothic" w:cs="MS PGothic" w:eastAsia="MS PGothic" w:hAnsi="MS PGothic"/>
                <w:sz w:val="18"/>
                <w:szCs w:val="18"/>
                <w:color w:val="auto"/>
              </w:rPr>
              <w:t>☐</w:t>
            </w:r>
          </w:p>
        </w:tc>
        <w:tc>
          <w:tcPr>
            <w:tcW w:w="44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5"/>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5360" w:type="dxa"/>
            <w:vAlign w:val="bottom"/>
          </w:tcPr>
          <w:p>
            <w:pPr>
              <w:jc w:val="right"/>
              <w:ind w:right="171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(Do not check if a smaller reporting company)</w:t>
            </w:r>
          </w:p>
        </w:tc>
        <w:tc>
          <w:tcPr>
            <w:tcW w:w="44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34"/>
        </w:trPr>
        <w:tc>
          <w:tcPr>
            <w:tcW w:w="1620" w:type="dxa"/>
            <w:vAlign w:val="bottom"/>
          </w:tcPr>
          <w:p>
            <w:pPr>
              <w:spacing w:after="0"/>
              <w:rPr>
                <w:sz w:val="20"/>
                <w:szCs w:val="20"/>
                <w:color w:val="auto"/>
              </w:rPr>
            </w:pPr>
          </w:p>
        </w:tc>
        <w:tc>
          <w:tcPr>
            <w:tcW w:w="5360" w:type="dxa"/>
            <w:vAlign w:val="bottom"/>
          </w:tcPr>
          <w:p>
            <w:pPr>
              <w:jc w:val="right"/>
              <w:spacing w:after="0"/>
              <w:rPr>
                <w:sz w:val="20"/>
                <w:szCs w:val="20"/>
                <w:color w:val="auto"/>
              </w:rPr>
            </w:pPr>
            <w:r>
              <w:rPr>
                <w:rFonts w:ascii="Arial" w:cs="Arial" w:eastAsia="Arial" w:hAnsi="Arial"/>
                <w:sz w:val="18"/>
                <w:szCs w:val="18"/>
                <w:b w:val="1"/>
                <w:bCs w:val="1"/>
                <w:color w:val="auto"/>
              </w:rPr>
              <w:t>____________________________</w:t>
            </w:r>
          </w:p>
        </w:tc>
        <w:tc>
          <w:tcPr>
            <w:tcW w:w="4440" w:type="dxa"/>
            <w:vAlign w:val="bottom"/>
          </w:tcPr>
          <w:p>
            <w:pPr>
              <w:spacing w:after="0"/>
              <w:rPr>
                <w:sz w:val="20"/>
                <w:szCs w:val="20"/>
                <w:color w:val="auto"/>
              </w:rPr>
            </w:pPr>
          </w:p>
        </w:tc>
      </w:tr>
      <w:tr>
        <w:trPr>
          <w:trHeight w:val="875"/>
        </w:trPr>
        <w:tc>
          <w:tcPr>
            <w:tcW w:w="1620" w:type="dxa"/>
            <w:vAlign w:val="bottom"/>
            <w:tcBorders>
              <w:bottom w:val="single" w:sz="8" w:color="808080"/>
            </w:tcBorders>
          </w:tcPr>
          <w:p>
            <w:pPr>
              <w:spacing w:after="0"/>
              <w:rPr>
                <w:sz w:val="24"/>
                <w:szCs w:val="24"/>
                <w:color w:val="auto"/>
              </w:rPr>
            </w:pPr>
          </w:p>
        </w:tc>
        <w:tc>
          <w:tcPr>
            <w:tcW w:w="53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r>
      <w:tr>
        <w:trPr>
          <w:trHeight w:val="178"/>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9"/>
              </w:rPr>
              <w:t>Proposed maximum</w:t>
            </w:r>
          </w:p>
        </w:tc>
        <w:tc>
          <w:tcPr>
            <w:tcW w:w="222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9"/>
              </w:rPr>
              <w:t>Proposed maximum</w:t>
            </w:r>
          </w:p>
        </w:tc>
        <w:tc>
          <w:tcPr>
            <w:tcW w:w="1660" w:type="dxa"/>
            <w:vAlign w:val="bottom"/>
          </w:tcPr>
          <w:p>
            <w:pPr>
              <w:jc w:val="center"/>
              <w:ind w:left="70"/>
              <w:spacing w:after="0" w:line="178" w:lineRule="exact"/>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9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Amount to</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66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registration fee</w:t>
            </w:r>
          </w:p>
        </w:tc>
      </w:tr>
      <w:tr>
        <w:trPr>
          <w:trHeight w:val="241"/>
        </w:trPr>
        <w:tc>
          <w:tcPr>
            <w:tcW w:w="20" w:type="dxa"/>
            <w:vAlign w:val="bottom"/>
          </w:tcPr>
          <w:p>
            <w:pPr>
              <w:spacing w:after="0"/>
              <w:rPr>
                <w:sz w:val="20"/>
                <w:szCs w:val="20"/>
                <w:color w:val="auto"/>
              </w:rPr>
            </w:pPr>
          </w:p>
        </w:tc>
        <w:tc>
          <w:tcPr>
            <w:tcW w:w="34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Title of Securities to be Registered</w:t>
            </w:r>
          </w:p>
        </w:tc>
        <w:tc>
          <w:tcPr>
            <w:tcW w:w="19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be registered (1)</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 (4)</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price (4)</w:t>
            </w:r>
          </w:p>
        </w:tc>
        <w:tc>
          <w:tcPr>
            <w:tcW w:w="1660" w:type="dxa"/>
            <w:vAlign w:val="bottom"/>
            <w:tcBorders>
              <w:bottom w:val="single" w:sz="8" w:color="auto"/>
            </w:tcBorders>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Common Stock, par value $0.001 per share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11,625,000 (2)</w:t>
            </w:r>
          </w:p>
        </w:tc>
        <w:tc>
          <w:tcPr>
            <w:tcW w:w="2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$0.65</w:t>
            </w:r>
          </w:p>
        </w:tc>
        <w:tc>
          <w:tcPr>
            <w:tcW w:w="22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$7,556,250</w:t>
            </w:r>
          </w:p>
        </w:tc>
        <w:tc>
          <w:tcPr>
            <w:tcW w:w="16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$866</w:t>
            </w:r>
          </w:p>
        </w:tc>
      </w:tr>
      <w:tr>
        <w:trPr>
          <w:trHeight w:val="223"/>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Common Stock, par value $0.001 per share</w:t>
            </w:r>
          </w:p>
        </w:tc>
        <w:tc>
          <w:tcPr>
            <w:tcW w:w="19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1,000,000 (3)</w:t>
            </w:r>
          </w:p>
        </w:tc>
        <w:tc>
          <w:tcPr>
            <w:tcW w:w="2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$0.65</w:t>
            </w:r>
          </w:p>
        </w:tc>
        <w:tc>
          <w:tcPr>
            <w:tcW w:w="22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$650,000</w:t>
            </w:r>
          </w:p>
        </w:tc>
        <w:tc>
          <w:tcPr>
            <w:tcW w:w="16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86"/>
              </w:rPr>
              <w:t>$74</w:t>
            </w:r>
          </w:p>
        </w:tc>
      </w:tr>
      <w:tr>
        <w:trPr>
          <w:trHeight w:val="223"/>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9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8"/>
              </w:rPr>
              <w:t>12,625,000</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0"/>
              </w:rPr>
              <w:t>$8,206,250</w:t>
            </w:r>
          </w:p>
        </w:tc>
        <w:tc>
          <w:tcPr>
            <w:tcW w:w="16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$940</w:t>
            </w:r>
          </w:p>
        </w:tc>
      </w:tr>
    </w:tbl>
    <w:p>
      <w:pPr>
        <w:spacing w:after="0" w:line="229" w:lineRule="exact"/>
        <w:rPr>
          <w:sz w:val="20"/>
          <w:szCs w:val="20"/>
          <w:color w:val="auto"/>
        </w:rPr>
      </w:pPr>
    </w:p>
    <w:p>
      <w:pPr>
        <w:ind w:left="340" w:right="28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shall also cover any additional securities that may be offered or issued in connection with any stock dividend, stock split, recapitalization or other similar transaction.</w:t>
      </w:r>
    </w:p>
    <w:p>
      <w:pPr>
        <w:spacing w:after="0" w:line="173"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additional shares to be registered under the Imprimis Pharmaceuticals, Inc. 2007 Incentive Stock and Awards Plan.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underlying restricted stock unit agreements entered into with Mark L. Baum and Dr. Robert J. Kammer on July 18, 2012.</w:t>
      </w:r>
    </w:p>
    <w:p>
      <w:pPr>
        <w:spacing w:after="0" w:line="263" w:lineRule="exact"/>
        <w:rPr>
          <w:rFonts w:ascii="Arial" w:cs="Arial" w:eastAsia="Arial" w:hAnsi="Arial"/>
          <w:sz w:val="17"/>
          <w:szCs w:val="17"/>
          <w:color w:val="auto"/>
        </w:rPr>
      </w:pPr>
    </w:p>
    <w:p>
      <w:pPr>
        <w:ind w:left="340" w:right="10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457(c) and Rule 457(h) under the Securities Act, the proposed maximum offering price per share and the proposed maximum aggregate offering price have been determined on the basis of the average of the high and low prices of the registrant’s common stock reported on the OTC Markets Group, Inc.’s OTCQB tier on August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registration statement on Form S-8 registers (i) an additional 11,625,000 shares of common stock, par value $0.001 per share (“Common Stock”), of Imprimis Pharmaceuticals, Inc. (formerly known as Transdel Pharmaceuticals, Inc., the “Company”), that may be offered and sold under the Imprimis Pharmaceuticals, Inc. 2007 Incentive Stock and Awards Plan, as amended on November 5, 2008, January 25, 2012 and July 18, 2012 (the “Plan”), and (ii) an aggregate of 1,000,000 shares of Common Stock for future issuance upon the satisfaction of certain performance-based vesting criteria under two stand-alone restricted stock unit agreements outside the Plan.</w:t>
      </w:r>
    </w:p>
    <w:p>
      <w:pPr>
        <w:spacing w:after="0" w:line="215"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With respect to the additional shares of Common Stock under the Plan, this registration statement on Form S-8 is filed pursuant to General Instruction E. to Form S-8 to register an additional 11,625,000 shares of Common Stock of the Company that may be offered and sold under the Plan, pursuant to Amendment No. 2 and Amendment No. 3 to the Plan approved by the stockholders of the Company on January 25, 2012 and June 29, 2012, respectively. This registration statement registers additional securities of the same class as other securities for which another registration statement filed on this form relating to the same employee benefit plan is effective. Pursuant to General Instruction E. to Form S-8, the contents of the Company’s previously filed registration statement on Form S-8 relating to the Plan (Registration No. 333-159159), filed with the Securities and Exchange Commission (the “Commission”) on May 12, 2009, is hereby incorporated by reference herein to the extent not otherwise amended or superseded by the contents hereof.</w:t>
      </w:r>
    </w:p>
    <w:p>
      <w:pPr>
        <w:spacing w:after="0" w:line="19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With respect to the Common Stock underlying certain restricted stock unit agreements, this registration statement on Form S-8 is filed to register a total of 1,000,000 shares of Common Stock of the Company for future issuance upon the satisfaction of certain performance-based vesting criteria under two stand-alone restricted stock unit agreements entered into by the Company on July 18, 2012 with each of Mark L. Baum and Dr.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528955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documents containing the information specified in Part I of Form S-8 (plan information and registrant information) will be sent or given to the employees as specified by Rule 428(b)(1). In accordance with the instructions of Part I of Form S-8, such documents will not be filed with the Commission either as part of this registration statement or as prospectuses or prospectus supplements pursuant to Rule 424. These documents and the documents incorporated by reference pursuant to Item 3 of Part II of this registration statement, taken together, constitute the prospectus as required by Section 10(a) of the Securities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the registrant with the Commission are incorporated by reference herein:</w:t>
      </w:r>
    </w:p>
    <w:p>
      <w:pPr>
        <w:spacing w:after="0" w:line="252" w:lineRule="exact"/>
        <w:rPr>
          <w:sz w:val="20"/>
          <w:szCs w:val="20"/>
          <w:color w:val="auto"/>
        </w:rPr>
      </w:pPr>
    </w:p>
    <w:p>
      <w:pPr>
        <w:jc w:val="both"/>
        <w:ind w:left="660" w:firstLine="645"/>
        <w:spacing w:after="0" w:line="264" w:lineRule="auto"/>
        <w:tabs>
          <w:tab w:leader="none" w:pos="19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filed pursuant to Sections 13(a) or 15(d) of the Securities Exchange Act of 1934, as amended (the “Exchange Act”), containing audited financial statements for the Company’s latest fiscal year ended December 31, 2011 and as filed with the Commission on February 23, 2012.</w:t>
      </w:r>
    </w:p>
    <w:p>
      <w:pPr>
        <w:spacing w:after="0" w:line="208" w:lineRule="exact"/>
        <w:rPr>
          <w:rFonts w:ascii="Arial" w:cs="Arial" w:eastAsia="Arial" w:hAnsi="Arial"/>
          <w:sz w:val="18"/>
          <w:szCs w:val="18"/>
          <w:color w:val="auto"/>
        </w:rPr>
      </w:pPr>
    </w:p>
    <w:p>
      <w:pPr>
        <w:ind w:left="660" w:firstLine="645"/>
        <w:spacing w:after="0" w:line="277" w:lineRule="auto"/>
        <w:tabs>
          <w:tab w:leader="none" w:pos="2081"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15(d) of the Exchange Act since the end of the fiscal year covered by the Annual Report on Form 10-K referred to in (a) above.</w:t>
      </w:r>
    </w:p>
    <w:p>
      <w:pPr>
        <w:spacing w:after="0" w:line="197" w:lineRule="exact"/>
        <w:rPr>
          <w:rFonts w:ascii="Arial" w:cs="Arial" w:eastAsia="Arial" w:hAnsi="Arial"/>
          <w:sz w:val="18"/>
          <w:szCs w:val="18"/>
          <w:color w:val="auto"/>
        </w:rPr>
      </w:pPr>
    </w:p>
    <w:p>
      <w:pPr>
        <w:ind w:left="660" w:firstLine="645"/>
        <w:spacing w:after="0" w:line="277" w:lineRule="auto"/>
        <w:tabs>
          <w:tab w:leader="none" w:pos="209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Common Stock contained in the Company’s registration statement on Form 8-A filed on December 27, 2007, and including any other amendment or report filed for the purpose of updating such description.</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documents filed by the Company pursuant to Sections 13(a), 13(c), 14 and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 this registration statement and to be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Under no circumstances will any information filed under current Items 2.02 or 7.01 of Form 8-K be deemed incorporated herein by reference unless such Form 8-K expressly provides to the contrary.</w:t>
      </w:r>
    </w:p>
    <w:p>
      <w:pPr>
        <w:spacing w:after="0" w:line="21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 145 of the Delaware General Corporation Law permits a corporation to include in its charter documents, and in agreements between the corporation and its directors and officers, provisions expanding the scope of indemnification beyond that specifically provided by the current law. The Company’s Amended and Restated Certificate of Incorporation, as amended, provides for the indemnification of directors and officers to the fullest extent permissible under Delaware law. The Company’s Bylaws provide for the indemnification of officers and directors to the fullest extent permissible under Delaware law, except that the Company is only obligated to indemnify any such officer or director in connection with a proceeding initiated by such person if the proceeding was authorized by the Company’s Board of Directors.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entered into indemnification agreements with its directors and certain executive officers, in addition to indemnification provided for in the Company’s charter documents, and the Company intends to enter into indemnification agreements with any new directors and executive officers in the future.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purchased and intends to maintain insurance on its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534035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260"/>
              <w:spacing w:after="0"/>
              <w:rPr>
                <w:sz w:val="20"/>
                <w:szCs w:val="20"/>
                <w:color w:val="auto"/>
              </w:rPr>
            </w:pPr>
            <w:r>
              <w:rPr>
                <w:rFonts w:ascii="Arial" w:cs="Arial" w:eastAsia="Arial" w:hAnsi="Arial"/>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459"/>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1"/>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Amended and Restated Certificate of Incorporation (incorporated herein by reference to Exhibit 3.1 to the Company’s Current Report on Form 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K filed with the Commission September 13,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tcPr>
          <w:p>
            <w:pPr>
              <w:spacing w:after="0" w:line="201"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4"/>
              </w:rPr>
              <w:t>Agreement and Plan of Merger, dated as of September 17, 2007, by and among Transdel Pharmaceuticals, Inc., Transdel Pharmaceuticals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Holdings, Inc. and Trans-Pharma Acquisition Corp. Incorporation (incorporated herein by reference to Exhibit 2.1 to the Company’s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8-K filed with the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Certificate of Designation of Series A Convertible Preferred Stock of Transdel Pharmaceuticals, Inc. (incorporated herein by reference to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3.1 to the Company’s Current Report on Form 8-K filed with the Commission 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tcPr>
          <w:p>
            <w:pPr>
              <w:spacing w:after="0" w:line="201"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3"/>
              </w:rPr>
              <w:t>Certificate of Amendment to Certificate of Incorporation (incorporated by reference to Exhibit 3.1 to the Company’s Quarterly Report on 10-Q</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with the Commission on May 10,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Amended and Restated Bylaws (incorporated herein by reference to Exhibit 3.2 to the Company’s Current Report on Form 8-K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September 13,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tcPr>
          <w:p>
            <w:pPr>
              <w:spacing w:after="0" w:line="201" w:lineRule="exact"/>
              <w:rPr>
                <w:sz w:val="20"/>
                <w:szCs w:val="20"/>
                <w:color w:val="auto"/>
              </w:rPr>
            </w:pPr>
            <w:r>
              <w:rPr>
                <w:rFonts w:ascii="Arial" w:cs="Arial" w:eastAsia="Arial" w:hAnsi="Arial"/>
                <w:sz w:val="18"/>
                <w:szCs w:val="18"/>
                <w:color w:val="auto"/>
              </w:rPr>
              <w:t>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4"/>
              </w:rPr>
              <w:t>Transdel Pharmaceuticals, Inc. 2007 Incentive Stock and Awards Plan (incorporated herein by reference to Exhibit 10.11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Current Report on Form 8-K filed with the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Transdel Pharmaceuticals, Inc. 2007 Incentive Stock and Awards Plan — Amendment No. 1 (incorporated herein by reference to Exhibit A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Company’s Definitive Proxy Statement on Schedule 14A filed with the Commission on October 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1"/>
              </w:rPr>
              <w:t>Amendment No. 2 to Transdel Pharmaceuticals, Inc. 2007 Incentive Stock and Awards Plan (incorporated herein by reference to Annex B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Information Statement on Schedule 14C filed with the Commission on February 6,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Amendment No. 3 to Imprimis Pharmaceuticals, Inc. 2007 Incentive Stock and Awards Plan (incorporated by reference to Exhibit 10.6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Company’s Registration Statement on Form S-1 (File No. 333-182846) filed with the Commission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tcPr>
          <w:p>
            <w:pPr>
              <w:spacing w:after="0" w:line="201" w:lineRule="exact"/>
              <w:rPr>
                <w:sz w:val="20"/>
                <w:szCs w:val="20"/>
                <w:color w:val="auto"/>
              </w:rPr>
            </w:pPr>
            <w:r>
              <w:rPr>
                <w:rFonts w:ascii="Arial" w:cs="Arial" w:eastAsia="Arial" w:hAnsi="Arial"/>
                <w:sz w:val="18"/>
                <w:szCs w:val="18"/>
                <w:color w:val="auto"/>
              </w:rPr>
              <w:t>4.10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1"/>
              </w:rPr>
              <w:t>Stand-alone Restricted Stock Unit Agreement, dated July 18, 2012, granted by Imprimis Pharmaceuticals, Inc. to Mark L. Baum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reference to Exhibit 10.40 to the Company’s Registration Statement on Form S-1 (File No. 333-182846) filed with the Commission on July 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760" w:type="dxa"/>
            <w:vAlign w:val="bottom"/>
            <w:gridSpan w:val="3"/>
          </w:tcPr>
          <w:p>
            <w:pPr>
              <w:ind w:left="26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w w:val="98"/>
              </w:rPr>
              <w:t>(incorporated by reference to Exhibit 10.41 to the Company’s Registration Statement on Form S-1 (File No. 333-182846)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Commission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Opinion of Morrison &amp; Foerster LLP</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Consent of Morrison &amp; Foerster LLP (contained in Exhibit 5.1)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KMJ Corbin &amp; Company LLP</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Power of Attorney (contained on signature page)</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(i) To include any prospectus required by Section 10(a)(3) of the Securities Act of 1933;</w:t>
      </w:r>
    </w:p>
    <w:p>
      <w:pPr>
        <w:spacing w:after="0" w:line="252" w:lineRule="exact"/>
        <w:rPr>
          <w:sz w:val="20"/>
          <w:szCs w:val="20"/>
          <w:color w:val="auto"/>
        </w:rPr>
      </w:pPr>
    </w:p>
    <w:p>
      <w:pPr>
        <w:jc w:val="both"/>
        <w:ind w:firstLine="1305"/>
        <w:spacing w:after="0" w:line="273" w:lineRule="auto"/>
        <w:tabs>
          <w:tab w:leader="none" w:pos="1637"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205" w:lineRule="exact"/>
        <w:rPr>
          <w:rFonts w:ascii="Arial" w:cs="Arial" w:eastAsia="Arial" w:hAnsi="Arial"/>
          <w:sz w:val="17"/>
          <w:szCs w:val="17"/>
          <w:color w:val="auto"/>
        </w:rPr>
      </w:pPr>
    </w:p>
    <w:p>
      <w:pPr>
        <w:ind w:right="20" w:firstLine="1305"/>
        <w:spacing w:after="0" w:line="277" w:lineRule="auto"/>
        <w:tabs>
          <w:tab w:leader="none" w:pos="16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(a)(1)(i) and (a)(1)(ii) do not apply if the registration statement is on Form S-8, and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74" w:lineRule="exact"/>
        <w:rPr>
          <w:sz w:val="20"/>
          <w:szCs w:val="20"/>
          <w:color w:val="auto"/>
        </w:rPr>
      </w:pPr>
    </w:p>
    <w:p>
      <w:pPr>
        <w:jc w:val="both"/>
        <w:ind w:firstLine="1305"/>
        <w:spacing w:after="0" w:line="264" w:lineRule="auto"/>
        <w:tabs>
          <w:tab w:leader="none" w:pos="2067"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8" w:lineRule="exact"/>
        <w:rPr>
          <w:rFonts w:ascii="Arial" w:cs="Arial" w:eastAsia="Arial" w:hAnsi="Arial"/>
          <w:sz w:val="18"/>
          <w:szCs w:val="18"/>
          <w:color w:val="auto"/>
        </w:rPr>
      </w:pPr>
    </w:p>
    <w:p>
      <w:pPr>
        <w:ind w:right="20" w:firstLine="1305"/>
        <w:spacing w:after="0" w:line="277" w:lineRule="auto"/>
        <w:tabs>
          <w:tab w:leader="none" w:pos="20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35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5" w:lineRule="exact"/>
        <w:rPr>
          <w:rFonts w:ascii="Arial" w:cs="Arial" w:eastAsia="Arial" w:hAnsi="Arial"/>
          <w:sz w:val="18"/>
          <w:szCs w:val="18"/>
          <w:color w:val="auto"/>
        </w:rPr>
      </w:pPr>
    </w:p>
    <w:p>
      <w:pPr>
        <w:jc w:val="both"/>
        <w:ind w:firstLine="656"/>
        <w:spacing w:after="0" w:line="254" w:lineRule="auto"/>
        <w:tabs>
          <w:tab w:leader="none" w:pos="1472"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Solana Beach, State of California, on August 22, 2012.</w:t>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48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24784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8405" cy="17145"/>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Mark L. Baum and Andrew R. Boll,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such attorneys-in-fact and agents or any of them, or his or her or their substitute or substitutes, may lawfully do or cause to be done by virtue hereof.</w:t>
      </w:r>
    </w:p>
    <w:p>
      <w:pPr>
        <w:spacing w:after="0" w:line="19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SIGNATURE</w:t>
            </w:r>
          </w:p>
        </w:tc>
        <w:tc>
          <w:tcPr>
            <w:tcW w:w="26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418"/>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4"/>
              </w:rPr>
              <w:t>/s/ Mark L. Baum</w:t>
            </w:r>
          </w:p>
        </w:tc>
        <w:tc>
          <w:tcPr>
            <w:tcW w:w="26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jc w:val="center"/>
              <w:spacing w:after="0" w:line="203"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60" w:type="dxa"/>
            <w:vAlign w:val="bottom"/>
          </w:tcPr>
          <w:p>
            <w:pPr>
              <w:spacing w:after="0"/>
              <w:rPr>
                <w:sz w:val="18"/>
                <w:szCs w:val="18"/>
                <w:color w:val="auto"/>
              </w:rPr>
            </w:pPr>
          </w:p>
        </w:tc>
        <w:tc>
          <w:tcPr>
            <w:tcW w:w="3220" w:type="dxa"/>
            <w:vAlign w:val="bottom"/>
          </w:tcPr>
          <w:p>
            <w:pPr>
              <w:jc w:val="center"/>
              <w:spacing w:after="0" w:line="203" w:lineRule="exact"/>
              <w:rPr>
                <w:sz w:val="20"/>
                <w:szCs w:val="20"/>
                <w:color w:val="auto"/>
              </w:rPr>
            </w:pPr>
            <w:r>
              <w:rPr>
                <w:rFonts w:ascii="Arial" w:cs="Arial" w:eastAsia="Arial" w:hAnsi="Arial"/>
                <w:sz w:val="18"/>
                <w:szCs w:val="18"/>
                <w:color w:val="auto"/>
                <w:w w:val="91"/>
              </w:rPr>
              <w:t>August 22, 2012</w:t>
            </w: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3"/>
              </w:rPr>
              <w:t>Mark L. Baum, Esq.</w:t>
            </w: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5"/>
              </w:rPr>
              <w:t>/s/ Andrew R. Boll</w:t>
            </w:r>
          </w:p>
        </w:tc>
        <w:tc>
          <w:tcPr>
            <w:tcW w:w="26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Vice President of Accounting and Public Reporting</w:t>
            </w:r>
          </w:p>
        </w:tc>
        <w:tc>
          <w:tcPr>
            <w:tcW w:w="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64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4040" w:type="dxa"/>
            <w:vAlign w:val="bottom"/>
          </w:tcPr>
          <w:p>
            <w:pPr>
              <w:jc w:val="center"/>
              <w:spacing w:after="0" w:line="203" w:lineRule="exact"/>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Accounting &amp; Financial Officer</w:t>
            </w:r>
            <w:r>
              <w:rPr>
                <w:rFonts w:ascii="Arial" w:cs="Arial" w:eastAsia="Arial" w:hAnsi="Arial"/>
                <w:sz w:val="18"/>
                <w:szCs w:val="18"/>
                <w:color w:val="auto"/>
                <w:w w:val="96"/>
              </w:rPr>
              <w:t>)</w:t>
            </w:r>
          </w:p>
        </w:tc>
        <w:tc>
          <w:tcPr>
            <w:tcW w:w="260" w:type="dxa"/>
            <w:vAlign w:val="bottom"/>
          </w:tcPr>
          <w:p>
            <w:pPr>
              <w:spacing w:after="0"/>
              <w:rPr>
                <w:sz w:val="18"/>
                <w:szCs w:val="18"/>
                <w:color w:val="auto"/>
              </w:rPr>
            </w:pPr>
          </w:p>
        </w:tc>
        <w:tc>
          <w:tcPr>
            <w:tcW w:w="3220" w:type="dxa"/>
            <w:vAlign w:val="bottom"/>
          </w:tcPr>
          <w:p>
            <w:pPr>
              <w:jc w:val="center"/>
              <w:spacing w:after="0" w:line="203" w:lineRule="exact"/>
              <w:rPr>
                <w:sz w:val="20"/>
                <w:szCs w:val="20"/>
                <w:color w:val="auto"/>
              </w:rPr>
            </w:pPr>
            <w:r>
              <w:rPr>
                <w:rFonts w:ascii="Arial" w:cs="Arial" w:eastAsia="Arial" w:hAnsi="Arial"/>
                <w:sz w:val="18"/>
                <w:szCs w:val="18"/>
                <w:color w:val="auto"/>
                <w:w w:val="91"/>
              </w:rPr>
              <w:t>August 22, 2012</w:t>
            </w: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5"/>
              </w:rPr>
              <w:t>Andrew R. Boll</w:t>
            </w: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Jeffrey J. Abrams</w:t>
            </w:r>
          </w:p>
        </w:tc>
        <w:tc>
          <w:tcPr>
            <w:tcW w:w="26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1"/>
              </w:rPr>
              <w:t>August 22, 2012</w:t>
            </w: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2"/>
              </w:rPr>
              <w:t>Jeffrey J. Abrams, M.D.</w:t>
            </w: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Stephen G. Austin</w:t>
            </w:r>
          </w:p>
        </w:tc>
        <w:tc>
          <w:tcPr>
            <w:tcW w:w="26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1"/>
              </w:rPr>
              <w:t>August 22, 2012</w:t>
            </w: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Stephen Austin</w:t>
            </w: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Paul Finnegan</w:t>
            </w:r>
          </w:p>
        </w:tc>
        <w:tc>
          <w:tcPr>
            <w:tcW w:w="26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1"/>
              </w:rPr>
              <w:t>August 22, 2012</w:t>
            </w: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1"/>
              </w:rPr>
              <w:t>Paul Finnegan, M.D.</w:t>
            </w: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Kammer</w:t>
            </w:r>
          </w:p>
        </w:tc>
        <w:tc>
          <w:tcPr>
            <w:tcW w:w="26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1"/>
              </w:rPr>
              <w:t>August 22, 2012</w:t>
            </w:r>
          </w:p>
        </w:tc>
        <w:tc>
          <w:tcPr>
            <w:tcW w:w="0" w:type="dxa"/>
            <w:vAlign w:val="bottom"/>
          </w:tcPr>
          <w:p>
            <w:pPr>
              <w:spacing w:after="0"/>
              <w:rPr>
                <w:sz w:val="1"/>
                <w:szCs w:val="1"/>
                <w:color w:val="auto"/>
              </w:rPr>
            </w:pPr>
          </w:p>
        </w:tc>
      </w:tr>
      <w:tr>
        <w:trPr>
          <w:trHeight w:val="230"/>
        </w:trPr>
        <w:tc>
          <w:tcPr>
            <w:tcW w:w="3640" w:type="dxa"/>
            <w:vAlign w:val="bottom"/>
          </w:tcPr>
          <w:p>
            <w:pPr>
              <w:jc w:val="center"/>
              <w:spacing w:after="0"/>
              <w:rPr>
                <w:sz w:val="20"/>
                <w:szCs w:val="20"/>
                <w:color w:val="auto"/>
              </w:rPr>
            </w:pPr>
            <w:r>
              <w:rPr>
                <w:rFonts w:ascii="Arial" w:cs="Arial" w:eastAsia="Arial" w:hAnsi="Arial"/>
                <w:sz w:val="18"/>
                <w:szCs w:val="18"/>
                <w:color w:val="auto"/>
                <w:w w:val="90"/>
              </w:rPr>
              <w:t>Robert J. Kammer, D.D.S.</w:t>
            </w:r>
          </w:p>
        </w:tc>
        <w:tc>
          <w:tcPr>
            <w:tcW w:w="2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7"/>
        </w:trPr>
        <w:tc>
          <w:tcPr>
            <w:tcW w:w="3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10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Amended and Restated Certificate of Incorporation (incorporated herein by reference to Exhibit 3.1 to the Company’s Current Report on Form 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K filed with the Commission September 13,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4"/>
              </w:rPr>
              <w:t>Agreement and Plan of Merger, dated as of September 17, 2007, by and among Transdel Pharmaceuticals, Inc., Transdel Pharmaceuticals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4"/>
              </w:rPr>
              <w:t>Holdings, Inc. and Trans-Pharma Acquisition Corp. Incorporation (incorporated herein by reference to Exhibit 2.1 to the Company’s Current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Report on Form 8-K filed with the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Certificate of Designation of Series A Convertible Preferred Stock of Transdel Pharmaceuticals, Inc. (incorporated herein by reference to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3.1 to the Company’s Current Report on Form 8-K filed with the Commission on December 20,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3"/>
              </w:rPr>
              <w:t>Certificate of Amendment to Certificate of Incorporation (incorporated by reference to Exhibit 3.1 to the Company’s Quarterly Report on 10-Q</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filed with the Commission on May 10,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Amended and Restated Bylaws (incorporated herein by reference to Exhibit 3.2 to the Company’s Current Report on Form 8-K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September 13,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4"/>
              </w:rPr>
              <w:t>Transdel Pharmaceuticals, Inc. 2007 Incentive Stock and Awards Plan (incorporated herein by reference to Exhibit 10.11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Current Report on Form 8-K filed with the Commission on September 21,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Transdel Pharmaceuticals, Inc. 2007 Incentive Stock and Awards Plan — Amendment No. 1 (incorporated herein by reference to Exhibit A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Company’s Definitive Proxy Statement on Schedule 14A filed with the Commission on October 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1"/>
              </w:rPr>
              <w:t>Amendment No. 2 to Transdel Pharmaceuticals, Inc. 2007 Incentive Stock and Awards Plan (incorporated herein by reference to Annex B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Company’s Information Statement on Schedule 14C filed with the Commission on February 6,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Amendment No. 3 to Imprimis Pharmaceuticals, Inc. 2007 Incentive Stock and Awards Plan (incorporated by reference to Exhibit 10.6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Company’s Registration Statement on Form S-1 (File No. 333-182846) filed with the Commission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tcPr>
          <w:p>
            <w:pPr>
              <w:spacing w:after="0" w:line="201" w:lineRule="exact"/>
              <w:rPr>
                <w:sz w:val="20"/>
                <w:szCs w:val="20"/>
                <w:color w:val="auto"/>
              </w:rPr>
            </w:pPr>
            <w:r>
              <w:rPr>
                <w:rFonts w:ascii="Arial" w:cs="Arial" w:eastAsia="Arial" w:hAnsi="Arial"/>
                <w:sz w:val="18"/>
                <w:szCs w:val="18"/>
                <w:color w:val="auto"/>
              </w:rPr>
              <w:t>4.10</w:t>
            </w:r>
          </w:p>
        </w:tc>
        <w:tc>
          <w:tcPr>
            <w:tcW w:w="100" w:type="dxa"/>
            <w:vAlign w:val="bottom"/>
          </w:tcPr>
          <w:p>
            <w:pPr>
              <w:spacing w:after="0"/>
              <w:rPr>
                <w:sz w:val="17"/>
                <w:szCs w:val="17"/>
                <w:color w:val="auto"/>
              </w:rPr>
            </w:pPr>
          </w:p>
        </w:tc>
        <w:tc>
          <w:tcPr>
            <w:tcW w:w="10500" w:type="dxa"/>
            <w:vAlign w:val="bottom"/>
          </w:tcPr>
          <w:p>
            <w:pPr>
              <w:spacing w:after="0" w:line="201" w:lineRule="exact"/>
              <w:rPr>
                <w:sz w:val="20"/>
                <w:szCs w:val="20"/>
                <w:color w:val="auto"/>
              </w:rPr>
            </w:pPr>
            <w:r>
              <w:rPr>
                <w:rFonts w:ascii="Arial" w:cs="Arial" w:eastAsia="Arial" w:hAnsi="Arial"/>
                <w:sz w:val="18"/>
                <w:szCs w:val="18"/>
                <w:color w:val="auto"/>
                <w:w w:val="91"/>
              </w:rPr>
              <w:t>Stand-alone Restricted Stock Unit Agreement, dated July 18, 2012, granted by Imprimis Pharmaceuticals, Inc. to Mark L. Baum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reference to Exhibit 10.40 to the Company’s Registration Statement on Form S-1 (File No. 333-182846) filed with the Commission on July 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0" w:type="dxa"/>
            <w:vAlign w:val="bottom"/>
            <w:gridSpan w:val="2"/>
          </w:tcPr>
          <w:p>
            <w:pPr>
              <w:ind w:lef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Stand-alone Restricted Stock Unit Agreement, dated July 18, 2012, granted by Imprimis Pharmaceuticals, Inc. to Robert J. Kammer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w w:val="98"/>
              </w:rPr>
              <w:t>(incorporated by reference to Exhibit 10.41 to the Company’s Registration Statement on Form S-1 (File No. 333-182846) filed with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Commission on July 25,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Opinion of Morrison &amp; Foerster LLP</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Consent of Morrison &amp; Foerster LLP (contained in Exhibit 5.1)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KMJ Corbin &amp; Company LLP</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Power of Attorney (contained on signature page)</w:t>
            </w: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_______________</w:t>
      </w:r>
    </w:p>
    <w:p>
      <w:pPr>
        <w:spacing w:after="0" w:line="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486"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165735</wp:posOffset>
            </wp:positionV>
            <wp:extent cx="6106160" cy="1166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616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August 22,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437 South Highway 101, Suite 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Solana Beach, CA 92075</w:t>
      </w:r>
    </w:p>
    <w:p>
      <w:pPr>
        <w:sectPr>
          <w:pgSz w:w="11900" w:h="16838" w:orient="portrait"/>
          <w:cols w:equalWidth="0" w:num="1">
            <w:col w:w="11420"/>
          </w:cols>
          <w:pgMar w:left="240" w:top="11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740"/>
        <w:spacing w:after="0" w:line="277" w:lineRule="auto"/>
        <w:rPr>
          <w:sz w:val="20"/>
          <w:szCs w:val="20"/>
          <w:color w:val="auto"/>
        </w:rPr>
      </w:pPr>
      <w:r>
        <w:rPr>
          <w:rFonts w:ascii="Arial" w:cs="Arial" w:eastAsia="Arial" w:hAnsi="Arial"/>
          <w:sz w:val="18"/>
          <w:szCs w:val="18"/>
          <w:color w:val="auto"/>
        </w:rPr>
        <w:t>Imprimis Pharmaceuticals, Inc. 2007 Incentive Stock and Awards Plan, as amended Stand-Alone Restricted Stock Unit Agreements</w:t>
      </w:r>
    </w:p>
    <w:p>
      <w:pPr>
        <w:spacing w:after="0" w:line="197" w:lineRule="exact"/>
        <w:rPr>
          <w:sz w:val="20"/>
          <w:szCs w:val="20"/>
          <w:color w:val="auto"/>
        </w:rPr>
      </w:pPr>
    </w:p>
    <w:p>
      <w:pPr>
        <w:sectPr>
          <w:pgSz w:w="11900" w:h="16838" w:orient="portrait"/>
          <w:cols w:equalWidth="0" w:num="2">
            <w:col w:w="260" w:space="400"/>
            <w:col w:w="10760"/>
          </w:cols>
          <w:pgMar w:left="240" w:top="111" w:right="23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your request, we have examined the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Imprimis Pharmaceuticals, Inc.</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Company</w:t>
      </w:r>
      <w:r>
        <w:rPr>
          <w:rFonts w:ascii="Arial" w:cs="Arial" w:eastAsia="Arial" w:hAnsi="Arial"/>
          <w:sz w:val="16"/>
          <w:szCs w:val="16"/>
          <w:color w:val="auto"/>
        </w:rPr>
        <w:t>”) to be filed with the Securities and Exchange Commission in connection with the registration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of (i) an aggregate of 11,625,000 shares of your common stock (the “</w:t>
      </w:r>
      <w:r>
        <w:rPr>
          <w:rFonts w:ascii="Arial" w:cs="Arial" w:eastAsia="Arial" w:hAnsi="Arial"/>
          <w:sz w:val="16"/>
          <w:szCs w:val="16"/>
          <w:u w:val="single" w:color="auto"/>
          <w:color w:val="auto"/>
        </w:rPr>
        <w:t>Plan Shares</w:t>
      </w:r>
      <w:r>
        <w:rPr>
          <w:rFonts w:ascii="Arial" w:cs="Arial" w:eastAsia="Arial" w:hAnsi="Arial"/>
          <w:sz w:val="16"/>
          <w:szCs w:val="16"/>
          <w:color w:val="auto"/>
        </w:rPr>
        <w:t>”) which will be issuable under the Imprimis Pharmaceuticals, Inc. 2007 Incentive Stock and Awards Plan, as amended as of the date hereof (the “</w:t>
      </w:r>
      <w:r>
        <w:rPr>
          <w:rFonts w:ascii="Arial" w:cs="Arial" w:eastAsia="Arial" w:hAnsi="Arial"/>
          <w:sz w:val="16"/>
          <w:szCs w:val="16"/>
          <w:u w:val="single" w:color="auto"/>
          <w:color w:val="auto"/>
        </w:rPr>
        <w:t>Plan</w:t>
      </w:r>
      <w:r>
        <w:rPr>
          <w:rFonts w:ascii="Arial" w:cs="Arial" w:eastAsia="Arial" w:hAnsi="Arial"/>
          <w:sz w:val="16"/>
          <w:szCs w:val="16"/>
          <w:color w:val="auto"/>
        </w:rPr>
        <w:t>”), and (ii) an aggregate of 1,000,000 shares of your common stock (the “</w:t>
      </w:r>
      <w:r>
        <w:rPr>
          <w:rFonts w:ascii="Arial" w:cs="Arial" w:eastAsia="Arial" w:hAnsi="Arial"/>
          <w:sz w:val="16"/>
          <w:szCs w:val="16"/>
          <w:u w:val="single" w:color="auto"/>
          <w:color w:val="auto"/>
        </w:rPr>
        <w:t>RSU Agreement Shares</w:t>
      </w:r>
      <w:r>
        <w:rPr>
          <w:rFonts w:ascii="Arial" w:cs="Arial" w:eastAsia="Arial" w:hAnsi="Arial"/>
          <w:sz w:val="16"/>
          <w:szCs w:val="16"/>
          <w:color w:val="auto"/>
        </w:rPr>
        <w:t>”, and collectively with the Plan Shares, the “</w:t>
      </w:r>
      <w:r>
        <w:rPr>
          <w:rFonts w:ascii="Arial" w:cs="Arial" w:eastAsia="Arial" w:hAnsi="Arial"/>
          <w:sz w:val="16"/>
          <w:szCs w:val="16"/>
          <w:u w:val="single" w:color="auto"/>
          <w:color w:val="auto"/>
        </w:rPr>
        <w:t>Shares</w:t>
      </w:r>
      <w:r>
        <w:rPr>
          <w:rFonts w:ascii="Arial" w:cs="Arial" w:eastAsia="Arial" w:hAnsi="Arial"/>
          <w:sz w:val="16"/>
          <w:szCs w:val="16"/>
          <w:color w:val="auto"/>
        </w:rPr>
        <w:t>”) issuable under two stand-alone restricted stock unit agreements entered on July 18, 2012 between the Company and each of Mark L. Baum and Robert J. Kammer (collectively, the “</w:t>
      </w:r>
      <w:r>
        <w:rPr>
          <w:rFonts w:ascii="Arial" w:cs="Arial" w:eastAsia="Arial" w:hAnsi="Arial"/>
          <w:sz w:val="16"/>
          <w:szCs w:val="16"/>
          <w:u w:val="single" w:color="auto"/>
          <w:color w:val="auto"/>
        </w:rPr>
        <w:t>RSU Agreements</w:t>
      </w:r>
      <w:r>
        <w:rPr>
          <w:rFonts w:ascii="Arial" w:cs="Arial" w:eastAsia="Arial" w:hAnsi="Arial"/>
          <w:sz w:val="16"/>
          <w:szCs w:val="16"/>
          <w:color w:val="auto"/>
        </w:rPr>
        <w:t>”).</w:t>
      </w:r>
    </w:p>
    <w:p>
      <w:pPr>
        <w:spacing w:after="0" w:line="1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examined the originals, or photostatic or certified copies, of such records of the Company and certificates of officers of the Company and of public officials and such other documents as we have deemed relevant and necessary as the basis for the opinion set forth below. In our examination, we have assumed the genuineness of all signatures, the legal capacity and competency of all natural persons, the authenticity of all documents submitted to us as originals and the conformity to original documents of all documents submitted to us as copies. For the purpose of the opinion rendered below, we have assumed that in connection with (i) the issuance of the Plan Shares, the Company will receive the consideration for such Shares required by the terms of the Plan, and (ii) the issuance of the RSU Agreement Shares, the Company will receive the consideration for such Shares required by the terms of the RSU Agreements.</w:t>
      </w:r>
    </w:p>
    <w:p>
      <w:pPr>
        <w:spacing w:after="0" w:line="2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Based upon the foregoing examination and in reliance thereon, and subject to the qualifications, assumptions and limitations stated herein and in reliance on the statements of fact contained in the documents that we have examined, we are of the opinion that the Shares, when issued and sold in accordance with the terms set forth in the Plan or the RSU Agreements, as the case may be, will be legally issued, fully paid and non-assessable.</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In giving such consent, we do not thereby admit that we are in the category of persons whose consent is required under Section 7 of the Securities Act.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Morrison &amp; Foerster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ectPr>
          <w:pgSz w:w="11900" w:h="16838" w:orient="portrait"/>
          <w:cols w:equalWidth="0" w:num="1">
            <w:col w:w="11420"/>
          </w:cols>
          <w:pgMar w:left="240" w:top="111" w:right="2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February 23, 2012 (except for the effect of the retrospective application of the reverse stock split as described in Note 3, as to which the date is February 28, 2012) relating to the consolidated financial statements of Imprimis Pharmaceuticals, Inc. (formerly Transdel Pharmaceuticals, Inc.) and subsidiary (the “Company”) as of December 31, 2011 and 2010 and for each of the two years in the period ended December 31, 2011 and for the period from July 24, 1998 (date of inception) through December 31, 2011 (which report expresses an unqualified opinion and includes an explanatory paragraph relating to the substantial doubt about the Company’s ability to continue as a going concern), appearing in the Annual Report on Form 10-K of Imprimis Pharmaceuticals, Inc. for the year ended December 31, 2011.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KMJ Corbin &amp; Company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22,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2020-02-25T12:53:46Z</dcterms:created>
  <dcterms:modified xsi:type="dcterms:W3CDTF">2020-02-25T12:53:46Z</dcterms:modified>
</cp:coreProperties>
</file>