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1980" w:hanging="3813"/>
        <w:spacing w:after="0" w:line="501" w:lineRule="auto"/>
        <w:tabs>
          <w:tab w:leader="none" w:pos="66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00" w:right="1600" w:hanging="3273"/>
        <w:spacing w:after="0" w:line="501" w:lineRule="auto"/>
        <w:tabs>
          <w:tab w:leader="none" w:pos="36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For the transition period from __________ to </w:t>
      </w:r>
      <w:r>
        <w:rPr>
          <w:rFonts w:ascii="Arial" w:cs="Arial" w:eastAsia="Arial" w:hAnsi="Arial"/>
          <w:sz w:val="18"/>
          <w:szCs w:val="18"/>
          <w:color w:val="auto"/>
        </w:rPr>
        <w:t>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3"/>
          </w:tcPr>
          <w:p>
            <w:pPr>
              <w:jc w:val="center"/>
              <w:ind w:left="357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20"/>
                <w:szCs w:val="20"/>
                <w:color w:val="auto"/>
              </w:rPr>
            </w:pPr>
          </w:p>
        </w:tc>
      </w:tr>
      <w:tr>
        <w:trPr>
          <w:trHeight w:val="437"/>
        </w:trPr>
        <w:tc>
          <w:tcPr>
            <w:tcW w:w="77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3"/>
              </w:rPr>
              <w:t>Delaware</w:t>
            </w: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3"/>
          </w:tcPr>
          <w:p>
            <w:pPr>
              <w:jc w:val="center"/>
              <w:ind w:right="2160"/>
              <w:spacing w:after="0"/>
              <w:rPr>
                <w:sz w:val="20"/>
                <w:szCs w:val="20"/>
                <w:color w:val="auto"/>
              </w:rPr>
            </w:pPr>
            <w:r>
              <w:rPr>
                <w:rFonts w:ascii="Arial" w:cs="Arial" w:eastAsia="Arial" w:hAnsi="Arial"/>
                <w:sz w:val="18"/>
                <w:szCs w:val="18"/>
                <w:color w:val="auto"/>
                <w:w w:val="93"/>
              </w:rPr>
              <w:t>incorporation or organization)</w:t>
            </w:r>
          </w:p>
        </w:tc>
        <w:tc>
          <w:tcPr>
            <w:tcW w:w="36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12264 El Camino Real, Suite 350</w:t>
            </w:r>
          </w:p>
        </w:tc>
        <w:tc>
          <w:tcPr>
            <w:tcW w:w="3640" w:type="dxa"/>
            <w:vAlign w:val="bottom"/>
          </w:tcPr>
          <w:p>
            <w:pPr>
              <w:spacing w:after="0"/>
              <w:rPr>
                <w:sz w:val="24"/>
                <w:szCs w:val="24"/>
                <w:color w:val="auto"/>
              </w:rPr>
            </w:pPr>
          </w:p>
        </w:tc>
      </w:tr>
      <w:tr>
        <w:trPr>
          <w:trHeight w:val="220"/>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San Diego, CA 92130</w:t>
            </w:r>
          </w:p>
        </w:tc>
        <w:tc>
          <w:tcPr>
            <w:tcW w:w="3640" w:type="dxa"/>
            <w:vAlign w:val="bottom"/>
          </w:tcPr>
          <w:p>
            <w:pPr>
              <w:spacing w:after="0"/>
              <w:rPr>
                <w:sz w:val="19"/>
                <w:szCs w:val="19"/>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3"/>
              </w:rPr>
              <w:t>(Address of Principal Executive Offices)(Zip Code)</w:t>
            </w:r>
          </w:p>
        </w:tc>
        <w:tc>
          <w:tcPr>
            <w:tcW w:w="3640" w:type="dxa"/>
            <w:vAlign w:val="bottom"/>
          </w:tcPr>
          <w:p>
            <w:pPr>
              <w:spacing w:after="0"/>
              <w:rPr>
                <w:sz w:val="20"/>
                <w:szCs w:val="20"/>
                <w:color w:val="auto"/>
              </w:rPr>
            </w:pPr>
          </w:p>
        </w:tc>
      </w:tr>
      <w:tr>
        <w:trPr>
          <w:trHeight w:val="418"/>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(858) 704-4040</w:t>
            </w:r>
          </w:p>
        </w:tc>
        <w:tc>
          <w:tcPr>
            <w:tcW w:w="3640" w:type="dxa"/>
            <w:vAlign w:val="bottom"/>
          </w:tcPr>
          <w:p>
            <w:pPr>
              <w:spacing w:after="0"/>
              <w:rPr>
                <w:sz w:val="24"/>
                <w:szCs w:val="24"/>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12" w:orient="portrait"/>
          <w:cols w:equalWidth="0" w:num="1">
            <w:col w:w="11420"/>
          </w:cols>
          <w:pgMar w:left="240" w:top="747"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912" w:orient="portrait"/>
          <w:cols w:equalWidth="0" w:num="2">
            <w:col w:w="5000" w:space="720"/>
            <w:col w:w="5700"/>
          </w:cols>
          <w:pgMar w:left="240" w:top="747" w:right="23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As of June 30, 2015, the last business day of the registrant’s most recently completed second fiscal quarter, the aggregate market value of the common stock held by non-affiliates of the registrant was approximately $58 million, based on the closing price of $8.13 for the registrant’s common stock as quoted on The NASDAQ Capital Market on that date. For purposes of this calculation, it has been assumed that shares of common stock held by each director, each officer</w:t>
      </w:r>
    </w:p>
    <w:p>
      <w:pPr>
        <w:sectPr>
          <w:pgSz w:w="11900" w:h="16912" w:orient="portrait"/>
          <w:cols w:equalWidth="0" w:num="1">
            <w:col w:w="11420"/>
          </w:cols>
          <w:pgMar w:left="240" w:top="747" w:right="239" w:bottom="0" w:gutter="0" w:footer="0" w:header="0"/>
          <w:type w:val="continuous"/>
        </w:sectPr>
      </w:pPr>
    </w:p>
    <w:bookmarkStart w:id="1" w:name="page2"/>
    <w:bookmarkEnd w:id="1"/>
    <w:p>
      <w:pPr>
        <w:spacing w:after="0" w:line="342" w:lineRule="auto"/>
        <w:rPr>
          <w:sz w:val="20"/>
          <w:szCs w:val="20"/>
          <w:color w:val="auto"/>
        </w:rPr>
      </w:pPr>
      <w:r>
        <w:rPr>
          <w:rFonts w:ascii="Arial" w:cs="Arial" w:eastAsia="Arial" w:hAnsi="Arial"/>
          <w:sz w:val="16"/>
          <w:szCs w:val="16"/>
          <w:color w:val="auto"/>
        </w:rPr>
        <w:t>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March 22, 2016, there were 13,105,678 shares of the registrant’s common stock outstanding.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for its 2016 Annual Meeting of Stockholders (Proxy Statement) are incorporated by reference in Part III of this annual report on Form 10-K (Annual Report),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EE"/>
            </w:tcBorders>
            <w:gridSpan w:val="2"/>
            <w:shd w:val="clear" w:color="auto" w:fill="CCEEFF"/>
          </w:tcPr>
          <w:p>
            <w:pPr>
              <w:spacing w:after="0" w:line="156"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9340" w:type="dxa"/>
            <w:vAlign w:val="bottom"/>
            <w:tcBorders>
              <w:bottom w:val="single" w:sz="8" w:color="CCEEFF"/>
            </w:tcBorders>
            <w:gridSpan w:val="2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902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940" w:type="dxa"/>
            <w:vAlign w:val="bottom"/>
            <w:gridSpan w:val="2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92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2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2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Financial Data</w:t>
              </w:r>
            </w:hyperlink>
          </w:p>
        </w:tc>
        <w:tc>
          <w:tcPr>
            <w:tcW w:w="82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940" w:type="dxa"/>
            <w:vAlign w:val="bottom"/>
            <w:gridSpan w:val="2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 About Market Risk</w:t>
              </w:r>
            </w:hyperlink>
          </w:p>
        </w:tc>
        <w:tc>
          <w:tcPr>
            <w:tcW w:w="56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940" w:type="dxa"/>
            <w:vAlign w:val="bottom"/>
            <w:gridSpan w:val="24"/>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940" w:type="dxa"/>
            <w:vAlign w:val="bottom"/>
            <w:gridSpan w:val="24"/>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346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940" w:type="dxa"/>
            <w:vAlign w:val="bottom"/>
            <w:gridSpan w:val="24"/>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III</w:t>
              </w:r>
            </w:hyperlink>
          </w:p>
        </w:tc>
        <w:tc>
          <w:tcPr>
            <w:tcW w:w="92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940" w:type="dxa"/>
            <w:vAlign w:val="bottom"/>
            <w:gridSpan w:val="2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940" w:type="dxa"/>
            <w:vAlign w:val="bottom"/>
            <w:gridSpan w:val="2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940" w:type="dxa"/>
            <w:vAlign w:val="bottom"/>
            <w:gridSpan w:val="2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Certain Relationships and Related Transactions, and Director Independence</w:t>
              </w:r>
            </w:hyperlink>
          </w:p>
        </w:tc>
        <w:tc>
          <w:tcPr>
            <w:tcW w:w="44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940" w:type="dxa"/>
            <w:vAlign w:val="bottom"/>
            <w:gridSpan w:val="2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940" w:type="dxa"/>
            <w:vAlign w:val="bottom"/>
            <w:gridSpan w:val="24"/>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940" w:type="dxa"/>
            <w:vAlign w:val="bottom"/>
            <w:gridSpan w:val="2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 Financial Statement Schedules</w:t>
              </w:r>
            </w:hyperlink>
          </w:p>
        </w:tc>
        <w:tc>
          <w:tcPr>
            <w:tcW w:w="64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64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200" w:type="dxa"/>
            <w:vAlign w:val="bottom"/>
            <w:tcBorders>
              <w:bottom w:val="single" w:sz="8" w:color="auto"/>
            </w:tcBorders>
            <w:gridSpan w:val="18"/>
          </w:tcPr>
          <w:p>
            <w:pPr>
              <w:jc w:val="right"/>
              <w:ind w:right="540"/>
              <w:spacing w:after="0"/>
              <w:rPr>
                <w:sz w:val="20"/>
                <w:szCs w:val="20"/>
                <w:color w:val="auto"/>
              </w:rPr>
            </w:pPr>
            <w:r>
              <w:rPr>
                <w:rFonts w:ascii="Arial" w:cs="Arial" w:eastAsia="Arial" w:hAnsi="Arial"/>
                <w:sz w:val="18"/>
                <w:szCs w:val="18"/>
                <w:color w:val="auto"/>
              </w:rPr>
              <w:t>2</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i w:val="1"/>
          <w:iCs w:val="1"/>
          <w:color w:val="auto"/>
        </w:rPr>
        <w:t>As used in this Annual Report, unless indicated or the context requires otherwise, the terms the “Company”, “Imprimis” “we”, “us” and “our” refer to Imprimis Pharmaceuticals, Inc. and its consolidated subsidiaries.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This Annual Report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offer formulations that are competitive, with respect to pricing and other factors, with other available therapies, including drugs that may have received approval by the U.S. Food and Drug Administration (FDA), identify and acquire additional proprietary formulations, manage our pharmacy operations, successfully register and operate certain of our compounding pharmacies as outsourcing facilities, obtain financing necessary to operate our business, recruit and retain qualified personnel, manage any growth we may experience and realize the benefits of our acquisitions of Pharmacy Creations, LLC (Pharmacy Creations), South Coast Specialty Compounding, Inc. d/b/a Park Compounding, Inc. (Park), Imprimis TX, Inc. (ImprimisRx TX), ImprimisRx PA, Inc. (ImprimisRx PA) and any other acquisitions and collaborative arrangements we may pursue; competition from pharmaceutical companies, outsourcing facilities and pharmacies; physician and patient interest in and market acceptance of our current and any future formulations and compounding pharmacies generally; general economic and business conditions; regulatory and legal risks and uncertainties related to our pharmacy operations and the pharmacy and pharmaceutical business in general; our limited operating history; and the other risks and uncertainties described in the “Risk Factors” section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jc w:val="both"/>
        <w:ind w:firstLine="648"/>
        <w:spacing w:after="0" w:line="195" w:lineRule="auto"/>
        <w:rPr>
          <w:sz w:val="20"/>
          <w:szCs w:val="20"/>
          <w:color w:val="auto"/>
        </w:rPr>
      </w:pPr>
      <w:r>
        <w:rPr>
          <w:rFonts w:ascii="Arial" w:cs="Arial" w:eastAsia="Arial" w:hAnsi="Arial"/>
          <w:sz w:val="17"/>
          <w:szCs w:val="17"/>
          <w:i w:val="1"/>
          <w:iCs w:val="1"/>
          <w:color w:val="auto"/>
        </w:rPr>
        <w:t>We have issued trademarks, copyrights and/or pending trademark and copyright applications for Imprimis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ImprimisRx</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Imprimis Pharmaceuticals™, Imprimis Cares!™, SSP Technology™, Go Dropless™, LessDrops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Dropless™, Dropless Cataract Surgery™, Dropless Cataract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Therapy™, Dropless Therapy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Defeat IC</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HLA Therapy™, Triple Drop™, PPS-DR™, Trimix-LP™, Stericheck™, Trimoxi™, Pred-Moxi™, Pred-Moxi-Ketor™, Pred-Moxi-Brom™, Pred-Ketor™, Dex-Moxi ™, Combination Drop Therapy™, Compounded Alternative™, Compounded Choice™, Custom</w:t>
      </w:r>
    </w:p>
    <w:p>
      <w:pPr>
        <w:jc w:val="both"/>
        <w:spacing w:after="0" w:line="205" w:lineRule="auto"/>
        <w:rPr>
          <w:sz w:val="20"/>
          <w:szCs w:val="20"/>
          <w:color w:val="auto"/>
        </w:rPr>
      </w:pPr>
      <w:r>
        <w:rPr>
          <w:rFonts w:ascii="Arial" w:cs="Arial" w:eastAsia="Arial" w:hAnsi="Arial"/>
          <w:sz w:val="18"/>
          <w:szCs w:val="18"/>
          <w:i w:val="1"/>
          <w:iCs w:val="1"/>
          <w:color w:val="auto"/>
        </w:rPr>
        <w:t>Compounding Choice</w:t>
      </w:r>
      <w:r>
        <w:rPr>
          <w:rFonts w:ascii="Arial" w:cs="Arial" w:eastAsia="Arial" w:hAnsi="Arial"/>
          <w:sz w:val="30"/>
          <w:szCs w:val="30"/>
          <w:i w:val="1"/>
          <w:iCs w:val="1"/>
          <w:color w:val="auto"/>
          <w:vertAlign w:val="superscript"/>
        </w:rPr>
        <w:t>TM</w:t>
      </w:r>
      <w:r>
        <w:rPr>
          <w:rFonts w:ascii="Arial" w:cs="Arial" w:eastAsia="Arial" w:hAnsi="Arial"/>
          <w:sz w:val="18"/>
          <w:szCs w:val="18"/>
          <w:i w:val="1"/>
          <w:iCs w:val="1"/>
          <w:color w:val="auto"/>
        </w:rPr>
        <w:t xml:space="preserve"> and ED Free™. All other trademarks, trade names and service marks included in this Annual Report are the property of their respective owners.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are a national leader in the development, production and dispensing of innovative proprietary compounded pharmaceuticals that we aim to make available to physicians and patients at affordable prices. Under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we own, market and dispense a portfolio of lower-cost compounded therapeutic alternatives to higher-priced FDA-approved drugs in several therapeutic areas, including ophthalmology, urology, otolaryngology and infectious diseases. We believe our proprietary formulations may offer competitive advantages and serve unmet needs in the marketplace. We plan to expand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by introducing additional customizable compounded drug formulations for patient populations that may not have available alternatives to increasingly expensive FDA-approved medications.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aligns with our corporate mission, vision and values of providing physicians and their patients high-quality individualized compounded medications at accessible prices.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are also developing our </w:t>
      </w:r>
      <w:r>
        <w:rPr>
          <w:rFonts w:ascii="Arial" w:cs="Arial" w:eastAsia="Arial" w:hAnsi="Arial"/>
          <w:sz w:val="17"/>
          <w:szCs w:val="17"/>
          <w:i w:val="1"/>
          <w:iCs w:val="1"/>
          <w:color w:val="auto"/>
        </w:rPr>
        <w:t>Custom Compounding Choice™</w:t>
      </w:r>
      <w:r>
        <w:rPr>
          <w:rFonts w:ascii="Arial" w:cs="Arial" w:eastAsia="Arial" w:hAnsi="Arial"/>
          <w:sz w:val="17"/>
          <w:szCs w:val="17"/>
          <w:color w:val="auto"/>
        </w:rPr>
        <w:t xml:space="preserve"> business, which is focused on developing and dispensing a portfolio of non-proprietary compounded drugs for humans and animals in therapeutic areas that may be overlooked by commercial pharmaceutical companies. We also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four ImprimisRx compounding pharmacies, based in New Jersey, California, Texas and Pennsylvania, through which we make, dispense and sell our proprietary compounded formulations and other non-proprietary products. All of our customized formulations are made in the United States of America.</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$58 million at December 31, 2015.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Compounded Formulations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produce and sell a portfolio of proprietary compounded formulations in the ophthalmology, otolaryngology, urology and infectious diseases therapeutic areas under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business, as well as non-proprietary formulations under our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program. Below are descriptions of our currently available formulations. We also continue to evaluate and assess intellectual property and other assets we have developed or acquired, including provisional patent applications, in order to support our development and potential commercialization of additional formulations in these and other therapeutic areas, including wound healing and dermatology.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Ophthalmic Formulations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In 2013, we acquired intellectual property trademarked as SSP Technology</w:t>
      </w:r>
      <w:r>
        <w:rPr>
          <w:rFonts w:ascii="Arial" w:cs="Arial" w:eastAsia="Arial" w:hAnsi="Arial"/>
          <w:sz w:val="28"/>
          <w:szCs w:val="28"/>
          <w:color w:val="auto"/>
          <w:vertAlign w:val="superscript"/>
        </w:rPr>
        <w:t>TM</w:t>
      </w:r>
      <w:r>
        <w:rPr>
          <w:rFonts w:ascii="Arial" w:cs="Arial" w:eastAsia="Arial" w:hAnsi="Arial"/>
          <w:sz w:val="17"/>
          <w:szCs w:val="17"/>
          <w:color w:val="auto"/>
        </w:rPr>
        <w:t>, which relates to compounded formulations for ocular injection of anti-inflammatory and anti-bacterial agents during ocular surgery. SSP Technology allows for increased solubility of active pharmaceutical ingredients and the creation of small, uniform particle sizes, which allows these compounded formulations to be used as an intraoperative injectable or as a topical eye drop. Since our acquisition of this technology, we have continued its development to include additional active pharmaceutical ingredients, such as NSAIDs. These compounded ophthalmic formulations have begun to impact the fast-growing cataract surgery eye drop market and the LASIK surgery eye drop market and may have potential in other ophthalmology markets for procedures where there is a risk of inflammation and infection.</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ophthalmic formulations provide physicians with the ability to address a primary ocular complication of ophthalmic surgery, infection risk and post-operative inflammation due to patient non-compliance with traditional multiple bottle eye drop regimens, by reducing the complexity of, or in many cases altogether avoiding the need for, post-operative eye drop regimens. We market these ophthalmic formulations as our Dropless Therapy® and LessDrops® formulations. We also package multiple ophthalmic compounded formulations, which may include our proprietary Dropless Therapy or LessDrops formulations and other non-proprietary formulations, as kits and dispense these kits to patients with needs for multiple ocular therapies.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Dropless Therapy Formulations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cataract surgery market continues to experience significant growth. According to a 2013 Market Scope report, 3.6 million cataract surgeries were performed in the U.S. and nearly 22 million cataract surgeries were performed globally, with expected annual market growth of approximately 3%. The National Eye Institute estimated that over 24 million Americans currently have cataracts and that this number will grow to 38 million by 2030 and to more than 50 million by 2050. Transparency Market Research has estimated that the ophthalmology drug market is expected to reach an estimated $21.6 billion by 2018.</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the treatment regimen for the prevention of post-cataract and other intraocular surgery complications is a pre-operative and post-operative self-administered eye drop regimen, which requires strict patient compliance and careful adherence to a prescribed dosing schedule. Physicians have reported and studies have shown that eye drop regimens can be confusing to patients, which can cause non-compliance and incorrect dosing. Numerous published studies conducted in the U.S. and Europe have demonstrated that antibiotics administered into the eye at the time of cataract surgery significantly reduced the risk of developing inflammation and infection.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Dropless Therapy formulations, which we developed based on our SSP Technology, are used as an injectable during ocular surgery. Ophthalmologists have reported that use of our Dropless Therapy formulations has substantially reduced or eliminated the need for patient-administered eye drops following ocular surgeries they have performed, thereby largely eliminating patient non-compliance and dosing errors with post-operative care regimens. Physicians have also reported spending less time on instructions and follow-up with post-operative patients and receiving fewer calls from pharmacists seeking to change the physicians’ prescribed eye drop regimens, which collectively can reduce the physicians’ costs of patient care. By reducing reliance on post-operative eye drops, we believe the use of our Dropless Therapy formulations can simplify the post-operative care process, provide safeguards against bacterial infection and inflammation and decrease overall costs. An economic study conducted in 2015 by researchers at Andrew Chang &amp; Co, LLC and co-sponsored by us demonstrated that, assuming the cost of Dropless Therapy is $100 per dose, our Dropless Therapy formulations could provide collective savings to Medicare, Medicaid and patients of up to $13 billion, with a most likely savings estimate of $8.7 billion, over a 10-year period. Since launching these formulations in April 2014, more than 450 ophthalmologists have adopted our Dropless Therapy formulations and a growing number of high-volume cataract surgery practices, hospitals and ambulatory surgery centers throughout the U.S. have become Dropless Therapy customers.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LessDrops Formulations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American Academy of Ophthalmology (AAO), over one-half of Americans require some form of vision correction, 43 million of these individuals are candidates for refractive surgery, and nearly 96% of the refractive surgery procedures performed are LASIK (laser in situ keratomileusis) surgeries, an outpatient surgical procedure used to treat nearsightedness, farsightedness, and astigmatism. According to Statista, an estimated 693,000 LASIK procedures were performed in U.S in 2014.</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LessDrops topical compounded formulations, which we developed based on our SSP Technology, were initially formulated and dispensed during the first quarter of 2015 as combination eye drop formulations for patients following laser refractive surgery, including LASIK and photorefractive keratectomy (PRK), cataract and other ocular surgeries. We estimate that our LessDrops combination eye drop formulations may require the administration of up to 50% fewer drops by patients post-surgery and may cost up to 75% less than other currently available post-surgery drops regimens. We plan to add to our portfolio of LessDrops combination eye drop formulations in order to deliver additional eye drop choices for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Otolaryngology Formulations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2015, we acquired the assets of a leading U.S. provider of topical compounded sinus formulations, delivery systems and patented packaging. Topical administration of sinusitis medications such as antibiotics, antifungals and steroids have gained increasing popularity as an alternative to systemic oral therapies, as topical delivery may minimize the side effects seen with systemic oral agents that non-specifically deliver medicine to the entire body. Our topical delivery platform delivers sinusitis medications locally to the sinonasal mucosa, which is typically the direct site and probable source of the problem. The assets we acquired consisted of customer lists of more than 8,000 active prescribers, representing eight out of 10 ear, nose and throat physicians that serviced more than 38,000 patients annually. According to the American Academy of Otolaryngology’s Head and Neck Surgery 2015 Guidelines, sinusitis affects about one in eight adults in the U.S resulting in over 30 million annual diagnoses, and more than 20% of antibiotics prescribed for adults in the U.S. are to treat sinus infections and the total direct cost of managing acute and chronic sinusitis exceeds $11 billion per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Urology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HLA Formulation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2014, we entered into a license agreement to acquire commercialization and distribution rights in the U.S. to a patented urologic formulation of heparin and alkalinized lidocaine (HLA), which is delivered directly to the bladder for the treatment of interstitial cystitis (IC), also known as painful bladder syndrome. Our commercialization and distribution rights for HLA became exclusive in April 2015. Published studies have demonstrated that the use of HLA instillations in patients with IC alleviate IC symptoms, including pain and frequency and urgency of urination, with the use of this combination of ingredients.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first quarter of 2015, we launched our Defeat IC™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national education campaign, which is designed to help increase awareness among medical practitioners and patients about IC and our HLA treatment option. It is estimated that five to ten million women and men in the U.S. are affected by this chronic disease, and based on our self-directed survey of over 400 patients, we believe the total U.S. market opportunity for IC could exceed $4 billion a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Available Urologic Formulations</w:t>
      </w:r>
    </w:p>
    <w:p>
      <w:pPr>
        <w:spacing w:after="0" w:line="22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We also offer customizable compounded formulations of PPS-DR oral medication that may be prescribed by physicians as a lower-cost therapeutic alternative to an off-patent oral drug, Elmiron</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symptoms associated with IC. Our PPS-DR compounded formulations are customized to an individual patient and feature time delayed release that may allow for reduced daily dosing requirements.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other commercially available urologic compounded formulations consist of lyophilized (freeze-dried) formulations for the treatment of erectile dysfunction (ED). Our ED compounded formulations are provided in a sterile powder and dispensed in single-dose vials that can be conveniently transported and stored up to six months prior to reconstitution, and once reconstituted should be used within 30 days. We are also developing and validating a proprietary injectable formulation that may also be used to treat ED, as the American Urological Association has indicated that intracavernous vasoactive injections are considered the most effective non-surgical treatment for 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Imprimis Cares Compounded Therapeutic Alternatives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business aligns with our corporate mission and vision of providing physicians and their patients with affordable access to the medicines they need. As part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initiative, we recently introduced customizable compounded formulations of pyrimethamine and</w:t>
      </w:r>
    </w:p>
    <w:p>
      <w:pPr>
        <w:jc w:val="both"/>
        <w:spacing w:after="0" w:line="259" w:lineRule="auto"/>
        <w:rPr>
          <w:sz w:val="20"/>
          <w:szCs w:val="20"/>
          <w:color w:val="auto"/>
        </w:rPr>
      </w:pPr>
      <w:r>
        <w:rPr>
          <w:rFonts w:ascii="Arial" w:cs="Arial" w:eastAsia="Arial" w:hAnsi="Arial"/>
          <w:sz w:val="16"/>
          <w:szCs w:val="16"/>
          <w:color w:val="auto"/>
        </w:rPr>
        <w:t>leucovorin, which are available for physicians to consider prescribing for their patients as a lower-cost therapeutic alternative to Daraprim</w:t>
      </w:r>
      <w:r>
        <w:rPr>
          <w:rFonts w:ascii="Arial" w:cs="Arial" w:eastAsia="Arial" w:hAnsi="Arial"/>
          <w:sz w:val="26"/>
          <w:szCs w:val="26"/>
          <w:color w:val="auto"/>
          <w:vertAlign w:val="superscript"/>
        </w:rPr>
        <w:t>®</w:t>
      </w:r>
      <w:r>
        <w:rPr>
          <w:rFonts w:ascii="Arial" w:cs="Arial" w:eastAsia="Arial" w:hAnsi="Arial"/>
          <w:sz w:val="16"/>
          <w:szCs w:val="16"/>
          <w:color w:val="auto"/>
        </w:rPr>
        <w:t>. The FDA-approved label for Daraprim indicates that it is prescribed for toxoplasmosis, which can be of major concern for patients with weakened immune systems such as patients with HIV/AIDS, pregnant women and children. Our formulations of pyrimethamine and leucovorin are now offered by Express Scripts, the largest pharmacy benefit manager in the U.S., and by many other hospitals and healthcare organizations. We also recently announced plans to introduce new patent-pending tiopronin and potassium citrate delayed release compounded formulations that may be prescribed by physicians as a lower-cost therapeutic</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alternative to FDA-approved Thiola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cystinuria patients. Cystinuria is an inherited disease that causes stones made of the amino acid cystine to form in the kidneys, bladder and/or urethra. It is estimated that the disorder occurs in one in 7,000 people worldwide. Our compounded alternative containing tiopronin, the active drug ingredient in Thiola, and potassium citrate, may reduce the cost of therapy for cystinuria patients by more than 70% and is expected to be available in April 2016. During 2016, we plan to introduce additional cost-effective compounded alternatives for other therapeutic areas and to continue to partner with payors to provide their beneficiaries access to these alternatives.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Custom Compounding Choice Formulations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Custom Compounding Choice</w:t>
      </w:r>
      <w:r>
        <w:rPr>
          <w:rFonts w:ascii="Arial" w:cs="Arial" w:eastAsia="Arial" w:hAnsi="Arial"/>
          <w:sz w:val="17"/>
          <w:szCs w:val="17"/>
          <w:color w:val="auto"/>
        </w:rPr>
        <w:t xml:space="preserve"> business is focused on marketing a portfolio of non-proprietary customizable compounded drugs for humans and animals, including sterile injectable and non-sterile integrative therapies, in therapeutic areas that may be overlooked by commercial pharmaceutical companies, such as oncology, autoimmunity, chronic infectious diseases, and endocrine and metabolic diseases. We also offer customizable hormone replacement therapies and a variety of weight loss and dermatology compounded formulations. Many of these formulations are offered in different formats than other available alternatives, such as in suspension or lyophilized, which we believe may provide differentiating and potentially beneficial factors as compared to competing therapies. As part of these efforts, we develop educational campaigns about our products and we sponsor regional conferences related to furthering education and awareness of our formulation options within the integrative medical community.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 Strategy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dispense and sell our proprietary compounded formulations and other non-proprietary products to physicians and patients through our four ImprimisRx compounding pharmacies. We have begun developing “ImprimisRx” as a uniform brand for our compounding facilities, with the intent of renaming all of our compounding facilities under this name.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Pharmacies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Compounding pharmacies combine different ingredients, some of which may be FDA-approved, to create specialized preparations prescribed by a physician to treat an individually identified patient. Often this is because a standard medication approved by the FDA is not appropriate for a particular patient’s needs. In some cases, compounded drugs for particular patients may have wide market utility and appeal for larger patient populations. Examples of compounded formulations include medications with alternative dosage strengths or unique dosage forms, such as topical creams or gels, suspensions, or solutions with more tolerable drug delivery vehicles. A physician may also work together with a pharmacist to repurpose or reformulate FDA-approved drugs via the compounding process to meet a patient’s specific medical needs. Our ImprimisRx compounding pharmacies receive their active pharmaceutical ingredients from three main suppliers, which accounted for 43% of drug and chemical purchases in 2015. See Note 15 to our consolidated financial statements included in this Annual Report for further information.</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operate our pharmacy businesses under Section 503A of the Federal Food Drug and Cosmetic Act (FDCA). Under the FDA’s current policy, a pharmacy operating under Section 503A of the FDCA is only permitted to compound a drug for an individually identified patient based on a prescription for that patient, and is only permitted to distribute the drug interstate as long as the pharmacy is licensed to do so in the states where it is compounded and where it is received. Our ImprimisRx compounding pharmacies are collectively licensed to distribute compounded formulations in 50 states. These policies limit compounding pharmacies from engaging in the practice of anticipatory compounding, which involves, preparing compounded medications before the actual receipt of a prescription or practitioner’s order, thus prohibiting compounding pharmacies from compounding in large quantities for distribution. Anticipatory compounding is an important component of pharmacy practice, particularly in sterile compounding. The law does allow compounding pharmacies with a history of filling certain prescriptions to prepare larger batches so that medications will be ready when they are needed. It also reduces the cost of compounded medications, as economies of scale can be realized by producing larger batches and less wasted chemicals, dilutions, fillers, and other associated products are produced, and leads to more accuracy and uniformity in finished medications, as larger batches decrease the variation caused by preparing multiple, smaller batches. In order to enable us to more easily engage in anticipatory compounding, we are working to develop and register two of our four pharmacy facilities as outsourcing facilities, as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Facility Strategy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a new form of entity permitted to compound large quantities of drug formulations without a prescription and distribute them out of state without limitation, if the drug formulations appear on the FDA’s drug shortage list or the bulk drug substances contained in the formulations appear on the FDA’s “clinical need” list. According to the University of Utah’s Drug Information Service, there were over 140 drugs on the FDA’s drug shortage list during 2015, while the “clinical need” list has not yet been established by FDA. Entities voluntarily registering as outsourcing facilities are subject to additional requirements that do not apply to compounding pharmacies, including current good manufacturing practices (cGMP) and regular FDA inspection. Due to the clinical need of the formulations we offer and the nature of the active pharmaceutical ingredient components, we believe they will be eligible for compounding by and distribution from Section 503B outsourcing facilities.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2015, we entered into a lease agreement for space in New Jersey and began construction efforts to build the majority of this space into an outsourcing facility. The remaining space in the facility will be completely separate and secured and will be constructed as a compounding pharmacy to replace our current New Jersey pharmacy location. From time to time during the construction process, we have experienced temporary and intermittent delays in developing and outfitting this facility. As a result, we have extended our estimated completion date and now expect the facility to be completed and registered as an outsourcing facility near the end of the second quarter of 2016. In addition, we are near completion of our construction efforts to our Texas compounding pharmacy and intend to register it with the FDA as a Section 503B outsourcing facility during the second quarter of 2016. We estimate that our capital expenditures to build and equip these new facilities will be approximately $4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firstLine="648"/>
        <w:spacing w:after="0" w:line="279" w:lineRule="auto"/>
        <w:rPr>
          <w:sz w:val="20"/>
          <w:szCs w:val="20"/>
          <w:color w:val="auto"/>
        </w:rPr>
      </w:pPr>
      <w:r>
        <w:rPr>
          <w:rFonts w:ascii="Arial" w:cs="Arial" w:eastAsia="Arial" w:hAnsi="Arial"/>
          <w:sz w:val="17"/>
          <w:szCs w:val="17"/>
          <w:color w:val="auto"/>
        </w:rPr>
        <w:t>We believe that, with our current compounding pharmacy facilities and the successful completion and registration of our planned outsourcing facilities, we will have the infrastructure to scale our business appropriately under the current regulatory landscape and meet the growth in demand we are targeting in the ophthalmology, urology and other therapeutic areas. We plan to invest in one or more of our pharmacies to further their capacity and efficiencies. We may seek to access greater redundancy and markets through acquisitions, partnerships or other strategic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have developed and plan to continue to build small internal sales and commercialization teams that are focused on growing sales of our available formulations. Our sales and marketing efforts are currently organized into two departments, one of which focuses on our ophthalmology formulations and the other of which focuses on our available formulations in other therapeutic areas. We have also begun to establish a sales and marketing team focused on the therapeutic areas served by our </w:t>
      </w:r>
      <w:r>
        <w:rPr>
          <w:rFonts w:ascii="Arial" w:cs="Arial" w:eastAsia="Arial" w:hAnsi="Arial"/>
          <w:sz w:val="17"/>
          <w:szCs w:val="17"/>
          <w:i w:val="1"/>
          <w:iCs w:val="1"/>
          <w:color w:val="auto"/>
        </w:rPr>
        <w:t>Custom Compounding Choice</w:t>
      </w:r>
      <w:r>
        <w:rPr>
          <w:rFonts w:ascii="Arial" w:cs="Arial" w:eastAsia="Arial" w:hAnsi="Arial"/>
          <w:sz w:val="17"/>
          <w:szCs w:val="17"/>
          <w:color w:val="auto"/>
        </w:rPr>
        <w:t xml:space="preserve"> business. Our sales and marketing activities consist primarily of efforts to educate doctors, ambulatory surgery centers, healthcare systems, hospitals and other users throughout the U.S. about our products. Although we believe that our proprietary drug formulations could have commercial appeal in international markets and we have engaged distributors and entered into out-licensing arrangements for certain of our proprietary formulations in certain non-U.S. markets, we expect to continue to focus our efforts on our U.S. commercial opportunities during 2016. We also may choose to pursue commercialization of our proprietary formulations in other selected markets through licensing or collaborative arrangements with strategic partners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Formulation Development and Commercialization Pathway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model for the selection and development of proprietary formulations focuses on assessing new development opportunities using a four-step proprietary process, consisting of the identification, evaluation, validation, and ultimately commercialization of selected opportunities. Our relationships with inventive physicians and pharmacists provide us with access to numerous formulation candidates and technologies to evaluate and validate. These compounded drug formulations are initially made for individual patients and are developed based on the physician’s and pharmacist’s experience formulating a new therapy to address an unmet need. As a result of our review process, we focus our commercialization efforts on a select group of promising formulations that we believe may be patentable and that could have broad appeal to patients and physicians.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122555</wp:posOffset>
            </wp:positionV>
            <wp:extent cx="5960110" cy="69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innovation model, which serves as our research and development pipeline, relies on our relationships and partnerships with inventors to identify and secure new development assets. We are strategically attentive to the ideas generated by pharmacists, who work directly with doctors and their patients to address specific and often unmet patient needs, in our identification of formulations to develop and commercialize. We believe that our collaborative relationships with a growing group of physicians and pharmacists will bring additional clinically and commercially relevant formulation opportunities to us for potential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we have identified potential formulations and technology for development, we subject them to our proprietary evaluation process. We invest heavily in intellectual property review and analysis at this stage, which includes analyzing the patentability of each formulation and, more generally, trying to understand the surrounding intellectual property landscape. We also evaluate any existing supportive clinical data, identify one or more appropriate commercialization pathways to potentially make the therapy available to patients and, for selected candidates, ultimately seek to acquire, through ownership or licensing of development rights, the formulations we believe are the most promising.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identification and evaluation process and our acquisition of development rights, we seek to validate our assessment of potential drug formulations through our review of any existing clinical data and documented patient experience and through our sponsorship of investigator-initiated studies, which are typically funded or co-funded by us and conducted by physician groups. Any clinical data we obtain may be used to support physicians’ clinical confidence in prescribing the formulation in compounded form or, if we decide to pursue FDA approval for a particular candidate, to support a development program in connection with the pursuit of such approval. The costs associated with our validation approach may be significantly lower than a traditional FDA approval process because, if we consider and select compounding as an appropriate commercialization pathway, we would not need to obtain FDA approval in order to market and sell the formulation.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Commercialize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Following successful results in the first three steps of our assessment, we focus on commercialization. As part of the development of potential formulations, we evaluate and select an appropriate commercialization pathway to make these therapies available to patients. We consider multiple commercialization pathways, including dispensing formulations through compounding pharmacies and outsourcing facilities and pursuing FDA approval to market and sell a drug formulation or technology. We are pursuing, and expect to continue to pursue, a compounding commercialization strategy for our currently available proprietary formulations and the other assets that we currently own or have rights to develop, and we do not presently expect to pursue FDA approval for any of these formulations or other assets. Depending on the selected commercialization pathway, we would build, or contract with a third party to build, appropriately targeted commercialization teams in order to market the therapies to physicians and patients, consistent with our sales and marketing structure discussed under the “Sales and Marketing” section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As of March 17, 2016, we owned two issued U.S. patent and one issued Canadian patent, which cover certain technology related to a former product candidate that we are no longer pursuing. Our existing patents expire in 2016 in the U.S. and 2018 in Canada, and we do not expect the life of these patents to be extended beyond these dates. In addition, as of March 17, 2016, we owned 25 U.S. patent applications, including 18 utility and seven provisional patent applications, and we owned three international patent applications filed under the Patent Cooperation Treaty and 19 foreign patent applications. Although our ophthalmology-related patent applications include claims related to non-ophthalmology fields, we have primarily focused our intellectual property development efforts to date on the proprietary compounded formulations in the field of ophthalmology. We presently have 10 U.S. and nine foreign patent applications pending that relate to our SSP Technology. We expect to file additional patent applications in the U.S. and pursue patent protection for certain of our formulations in other important international jurisdictions in the future.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firstLine="648"/>
        <w:spacing w:after="0" w:line="242" w:lineRule="auto"/>
        <w:rPr>
          <w:sz w:val="20"/>
          <w:szCs w:val="20"/>
          <w:color w:val="auto"/>
        </w:rPr>
      </w:pPr>
      <w:r>
        <w:rPr>
          <w:rFonts w:ascii="Arial" w:cs="Arial" w:eastAsia="Arial" w:hAnsi="Arial"/>
          <w:sz w:val="16"/>
          <w:szCs w:val="16"/>
          <w:color w:val="auto"/>
        </w:rPr>
        <w:t>As of March 17, 2016, we had 84 issued trademarks, pending trademark and copyright applications, or registered copyright and/or trademarks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 Imprimis Cares!™, SSP Technology™, Go Dropless™,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Dropless Cataract</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Surgery™, Dropless Cataract Therapy™, Dropless Therapy</w:t>
      </w:r>
      <w:r>
        <w:rPr>
          <w:rFonts w:ascii="Arial" w:cs="Arial" w:eastAsia="Arial" w:hAnsi="Arial"/>
          <w:sz w:val="30"/>
          <w:szCs w:val="30"/>
          <w:color w:val="auto"/>
          <w:vertAlign w:val="superscript"/>
        </w:rPr>
        <w:t>®</w:t>
      </w:r>
      <w:r>
        <w:rPr>
          <w:rFonts w:ascii="Arial" w:cs="Arial" w:eastAsia="Arial" w:hAnsi="Arial"/>
          <w:sz w:val="18"/>
          <w:szCs w:val="18"/>
          <w:color w:val="auto"/>
        </w:rPr>
        <w:t>, Defeat IC™</w:t>
      </w:r>
      <w:r>
        <w:rPr>
          <w:rFonts w:ascii="Arial" w:cs="Arial" w:eastAsia="Arial" w:hAnsi="Arial"/>
          <w:sz w:val="30"/>
          <w:szCs w:val="30"/>
          <w:color w:val="auto"/>
          <w:vertAlign w:val="superscript"/>
        </w:rPr>
        <w:t>©</w:t>
      </w:r>
      <w:r>
        <w:rPr>
          <w:rFonts w:ascii="Arial" w:cs="Arial" w:eastAsia="Arial" w:hAnsi="Arial"/>
          <w:sz w:val="18"/>
          <w:szCs w:val="18"/>
          <w:color w:val="auto"/>
        </w:rPr>
        <w:t>, HLA Therapy™, Triple Drop™, PPS-DR™, Trimix-LP™, Stericheck™, Trimoxi™, Pred-Moxi™, Pred-Moxi-Ketor™, Pred-Moxi-Brom™, Pred-Ketor™, Dex-Moxi™, Combination Drop Therapy™, Compounded Alternative™, Compounded Choice™, Custom Compounding™, Custom Compounding Choice™, and ED Free™. We may choose to pursue trademark protection in other jurisdictions for one or more of these or other marks in the future.</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Patient Protection and Affordable Care Act and the Health Care and Education Reconciliation Act of 2012 (collectively, the Health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Below are descriptions of some of the various federal and state laws and regulations which may govern or impact our current and planned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Regulation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provisions of the FDCA govern the preparation, handling, storage, marketing and distribution of pharmaceutical products. The Drug Quality and Security Act of 2013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842"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The DQSA also contained new Section 503B of the FDCA, which established an outsourcing facility as a new form of entity that is permitted to compound large quantities of drug formulations without a prescription, thus permitting the practice of anticipatory compounding, and distribute them out of state without limitation, if the drug formulations appear on the FDA’s drug shortage list or the bulk drug substances contained in the formulations appear on a “clinical need” list to be established by the FDA. Entities voluntarily registering as outsourcing facilities are subject to cGMP requirements and regular FDA inspection, among other requirements. As described above, our current pharmacy operations comply with Section 503A of the FDCA, and we are undergoing efforts to construct and register two facilities as outsourcing facilities under Section 503B of the FDCA.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have enacted privacy and security laws that protect identifiable patient information that is not health-related.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commercially available formulations are sold in cash transactions and our customers may choose to seek reimbursement opportunities from Medicare, Medicaid and other third parties to the extent that they exist. As part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choose, alone or with project partners, to pursue FDA approval to market and sell one or more of our formulations through the FDA’s new drug application (NDA) process. Since the active pharmaceutical ingredients in all of our formulations have already been approved by the FDA, we could choose to pursue FDA approval of one or more of our formulations under Section 505(b)(2) of the FDCA. Section 505(b)(2) permits the submission of an NDA where at least some of the information required for approval comes from studies not conducted by or for the applicant and for which the applicant has not obtained a right of reference. The applicant may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performed for the new product and included in the NDA.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648"/>
        <w:spacing w:after="0" w:line="273" w:lineRule="auto"/>
        <w:rPr>
          <w:sz w:val="20"/>
          <w:szCs w:val="20"/>
          <w:color w:val="auto"/>
        </w:rPr>
      </w:pPr>
      <w:r>
        <w:rPr>
          <w:rFonts w:ascii="Arial" w:cs="Arial" w:eastAsia="Arial" w:hAnsi="Arial"/>
          <w:sz w:val="17"/>
          <w:szCs w:val="17"/>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would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research and development expenses incurred in 2014 and 2015 primarily include expenses related to the development of intellectual property and researcher and investigator-initiated evaluations and research related primarily to our ophthalmic formulations and certain other assets.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2015, we incurred $332,000 in research and development expenses, as compared to $237,000 during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2, 2016, we employed 112 employees, of which 106 are full-time employees and 6 are part-time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April 2014, January 2015 and August 2015, we completed our acquisitions of the capital stock Pharmacy Creations, Park and ImprimisRx TX, respectively. In October 2015, ImprimisRx PA acquired substantially all of the assets of Thousand Oaks Holding Company and its wholly-owned subsidiaries.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executive offices are located at 12264 El Camino Real, Suite 350, San Diego, California 92130 and our telephone number at such office is (858) 704-4040. Our website address is imprimispharma.com. Information contained on our website is not deemed part of this Annual Report.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incurred losses in every year of our operations, including net losses of $(15.9 million) and $(10.1 million) for the years ended December 31, 2015 and 2014, respectively. As of December 31, 2015, our accumulated deficit was $(57.8 million), much of which was incurred in connection with our now-abandoned pursuit of FDA approval of a drug candidate, which activities we have discontinued. We expect to incur increasing operating losses for the foreseeable future as we continue to incur costs for commercialization activities, research and development and our pharmacy operations. Although we have been generating revenue from our pharmacy operations since April 1, 2014 when we acquired the first of our ImprimisRx compounding pharmacies, our ability to generate significant revenues and achieve profitability will depend on a number of factors, including, among others, the factors discussed in this “Risk Factors” section, many of which are outside of our direct control. Our business plan and strategies involve costly activities that are susceptible to failure, and we may never be able to generate sufficient revenue to support our business or reach the level of sales and revenues necessary to achieve and sustain profitability.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key aspect of our business strategy is to establish a unified compounding pharmacy network, whether through acquisitions, establishing new pharmacies or entering into licensing arrangements with third-party pharmacies, through which we can market and sell our proprietary formulations and other non-proprietary products in all 50 states. We acquired our New Jersey, California, Texas and Pennsylvania compounding pharmacies in April 2014, January 2015, August 2015 and October 2015, respectively. Additionally, in February 2015, we entered into a lease agreement for space in New Jersey and began construction efforts to build this space into an outsourcing facility, which we expect to be completed and registered with the FDA near the end of the second quarter of 2016. In October 2015, we announced plans to undertake construction efforts on our Texas compounding pharmacy with the intent of registering it with the FDA as a Section 503B outsourcing facility, which we expect to be completed and registered during the second quarter of 2016. We are working to expand our pharmacy operations and personnel and develop our facilities into a unified compounding pharmacy network. For instance, we have begun developing “ImprimisRx” as a uniform brand for our compounding facilities, with the intent of renaming all of our compounding facilities under this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 we have experienced delays and increased costs in our outsourcing facility construction efforts and we may not be successful in completing them on a timely basis, within budget or at all, we may not be successful in our efforts to integrate, manage or otherwise realize the benefits we expect from our acquisitions of our ImprimisRx compounding pharmacies or any additional pharmacy businesses or outsourcing facilities we seek to acquire or build in the future, we may not be able to satisfy applicable federal and state licensing and other requirements for any such pharmacy businesses in a timely manner or at all, changes to federal and state pharmacy regulations may restrict compounding operations or make them more costly, we may be unable to achieve a sufficient physician and patient customer base to sustain our pharmacy operations, market acceptance of compounding pharmacies generally may be curtailed or delayed, and we may not be able to enter into licensing or other arrangements with third-party pharmacies or outsourcing facilities when desired, on acceptable terms or at all. Moreover, all such efforts to expand our pharmacy operations and establish a unified pharmacy network will involve significant costs and other resources, which we may not be able to afford, disrupt our other operations and distract management and our other employees from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3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currently distribute our proprietary formulations through compounding pharmacies. Formulations prepared and dispensed by compounding pharmacies contain FDA-approved ingredients, but are not themselves approved by the FDA. As a result, our formulations have not undergone the FDA approval process and only limited data, if any, may be available with respect to the safety and efficacy of our formulations for any particular indication. In addition, certain compounding pharmacies have been the subject of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these non-FDA approved compounded formulations, particularly when an FDA-approved alternative is available. Other reasons physicians may be unwilling to prescribe or patients may be unwilling to use our proprietary compounded formulations could include the following, among others: applicable law limits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 In addition, certain compounding pharmacies have been the subject of widespread negative media coverage in recent years related to aggressive billing practices and quality assurance, such as the fungal meningitis outbreak in 2012, and the actions of these pharmacies have resulted in increased scrutiny of compounding pharmacy activities from the FDA and state governmental agencies. As a result some health care providers may be reluctant to purchase and use our formulations in general.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1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not receive sufficient revenue through our ImprimisRx compounding pharmacies or other compounding pharmacies with which we may partner to fund our operations and recover our development costs.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business plan involves the preparation and sale of our proprietary formulations through a network of unified compounding pharmacies and outsourcing facilities. This network presently consists of our four ImprimisRx compounding pharmacies, which are collectively licensed to distribute compounded formulations in all 50 states. We are also pursuing additional means of expanding the reach of this network, including our plans to open an outsourcing facility in New Jersey, which is currently under construction and which we expect to be completed and registered near the end of the second quarter of 2016 and our plans to complete construction of and register our Texas pharmacy as an outsourcing facility during the second quarter of 2016. We have limited experience operating pharmacies and commercializing compounded formulations and we may be unable to successfully manage this business or generate sufficient revenue to recover our development costs and operational expenses.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have only limited success in marketing and selling our proprietary formulations through our network of compounding pharmacies. Although we have established and plan to grow our internal sales teams to market and sell our proprietary formulations and other non-proprietary products through our ImprimisRx compounding pharmacies,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any other pharmacies or prescription dispensing facilities we acquire or develop and any pharmacy partners with which we may contract to compound and sell our formulations in accordance with our quality standards and applicable specifications, in a timely manner and in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associated with development and construction of our pharmacy facilities.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2015, we entered into a lease agreement for space in New Jersey and began construction efforts to build the majority of this space into a Section 503B outsourcing facility and in November of 2015, we began construction efforts to improve our Texas compounding pharmacy with the intent to register it as an outsourcing facility. We have encountered, and may continue to encounter, unanticipated occurrences or conditions during construction that may delay the completion and increase the expense of the project. Delays and cost overruns during construction could result in liabilities and expenses that could harm our business, prospects, financial condition and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although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pharmacy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as well as federal and state agency interpretations of such statutes and regulations. Such statutory or regulatory changes could require that we make changes to our business model and operations and/or could require that we incur significantly increased costs in order to comply with such regulations.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our ImprimisRx compounding pharmacies or any other pharmacy or outsourcing facility with which we partner fails to comply with the Controlled Substances Act, FDCA, or state statutes and regulations, the pharmacy could be required to cease operations or become subject to restrictions that could adversely affect our business.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and subject pharmacies to oversight by state boards of pharmacy and other regulators that could impose burdensome requirements or restrictions on operations if a pharmacy is found not to comply with these laws. We believe that our ImprimisRx compounding pharmacies are in material compliance with applicable regulatory requirements. However, if any of our ImprimisRx compounding pharmacies fails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such noncompliance could also result in complaints or adverse actions by other state boards of pharmacy, FDA inspection of the facility to determine compliance with the FDCA,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 Although we ultimately expect to distribute our proprietary formulations through a unified network of compounding pharmacies, we may not be successful in establishing such a network and the loss or limitation of our ImprimisRx compounding pharmacies’ ability to compound sterile formulations would have an immediate adverse impact on our ability to successfully and timely implement our business plan.</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Many of the states into which our ImprimisRx compounding pharmacies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success of our business, including our proprietary formulations and pharmacy operations, is highly dependent upon medical and patient perceptions of us and the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to the extent any of the components of approved drugs or other ingredients used by our ImprimisRx compounding pharmacies to produce our compounded formulations have quality or other problems that adversely affect the finished compounded preparations, our sales could be adversely affected. Also, because of our dependence upon medical and patient perceptions, any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implemented a policy whereby 100% of all sterile compound batches produced by our ImprimisRx compounding pharmacies are tested both in-house and externally prior to their delivery to patients and physicians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such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Currently, our ImprimisRx compounding pharmacies operate on mostly a cash-pay basis and do not submit large amounts of claims for reimbursement through Medicare, Medicaid or other third-party payors, although our customers may choose to seek available reimbursement opportunities to the extent that they exist. 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would be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estimates of our future operating and capital expenditures are based upon our current business plan, the anticipated expenses associated with our ImprimisRx compounding pharmacies’ operations and our current expectations regarding the commercialization of our proprietary formulations. Our projections have varied significantly in the past as a result of changes to our business model and strategy, including our discontinuation of efforts to pursue FDA approval of an abandoned product candidate in November 2013 and our acquisitions of our ImprimisRx compounding pharmacies and various product development opportunities in 2014 and 2015. We have limited experience operating a pharmacy business and commercializing compounded formulations, and we may not accurately estimate expenses and potential revenue associated with these activities. For example, we have incurred and expect to continue to incur greater than anticipated expenses developing our Texas- and New Jersey-based pharmacy facilities into outsourcing facilities and registering them as such with the FDA. Additionally, our operating expenses may fluctuate significantly as a result of a variety of factors, including those discussed in this “Risk Factors” section, some of which are outside of our direct control.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However, we expect our acquisitions of our ImprimisRx compounding pharmacies to provide us with only limited research and development support and access to additional novel compounded formulations. As a result, we have historically relied, and we expect to continue to rely, primarily upon third parties to provide us with additional development opportunities. We may seek to enter into acquisition agreements or licensing arrangements with third parties to obtain rights to develop new formulations in the future, but only if we are able to identify attractive formulations and negotiate acquisition or license agreements with their owners on terms acceptable to us, which we may not be able to do. Moreover, we have limited resources to acquire additional potential product development assets and integrate them into our business and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results of operations will depend to a significant extent upon our ability to successfully develop and commercialize in a timely manner any of the assets we have acquired or to which we may acquire rights in the future. Since May 2013, 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There are numerous difficulties and risks inherent in acquiring, developing and commercializing new formulations and product candidates, including the risks identified in this “Risk Factors” section.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Once we determine to pursue a potential product candidate, we develop a commercialization strategy for the product candidate. Potential commercialization strategies could include, among others, marketing and selling the formulation in compounded form through compounding pharmacies or outsourcing facilities, or pursuing FDA approval of the product candidate. We may incorrectly assess the risks and benefits of our commercialization options with respect to one or more formulations or technologies, and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11, 2015, we incurred $10 million of indebtedness under a loan agreement with IMMY Funding LLC (LSAF), an affiliate of Life Sciences Alternative Funding LLC, and on January 22, 2016, we incurred an additional $3 million of indebtedness under a convertible note we issued to LSAF. Pursuant to the terms of the $10 million loan agreement, we are obligated to pay interest on the principal amount of the loan at a fixed per-annum rate of 12.5% and we are permitted to pay interest only for the first three years, which may be reduced to 20 months if we do not meet certain minimum revenue or cash balance requirements. All amounts owed under the LSAF loan agreement, including a final fee of 5% of the aggregate principal amount of the loan, will be due on the earlier of May 11, 2021 or 24 months after the end of the interest-only period. Pursuant to the terms of $3 million convertible note, we are obligated to pay interest monthly in cash at a fixed per-annum rate of 8.0% and we are obligated to repay the full principal amount of the convertible note in cash on May 11, 2021. The note is convertible by the holder at any time into 277.77 shares of our common stock per $1 outstanding principal amount of the convertible note, subject to adjustment upon certain events. Our interest payment obligations under the LSAF loan agreement totaled approximately $0.7 million for our 2015 fiscal year, and we expect our interest payment obligations under the LSAF loan agreement and the LSAF convertible note to total approximately $1.1 million for our 2016 fiscal year. The amounts owed to LSAF are secured by substantially all of our personal property, rights and assets, including our intellectual property rights.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LSAF debt instruments contain various restrictive covenants, including, among others, our obligation to deliver to LSAF certain financial and other information, our obligation to comply with certain notice and insurance requirements, and our inability, without LSAF’s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LSAF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only recently started generating cash from operations, but we do not presently receive sufficient revenues to support our operations. Although we believe we have sufficient cash reserves to operate our business for at least the 12 months following the date of this Annual Report, we may need significant additional capital to execute our business plan and fund our proposed business operations. Additionally, our plans may change, our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$24 million in funds through equity and debt financings in 2014, 2015 and 2016 to date. We may seek to obtain additional capital through additional equity or debt financings, funding from corporate partnerships or licensing arrangements, sales of assets or other financing transactions.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be required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and convertible note with LSAF.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efforts to complete any significant transaction, we would need to expend significant resources to conduct business, legal and financial due diligence, with the goal of identifying and evaluating material risks involved in the transaction. Despite our efforts, we may be unsuccessful in ascertaining or evaluating all such risks and, as a result, we may not realize the expected benefits of any such transaction, whether due to unidentified risks, integration difficulties, regulatory setbacks or other events, and we may incur material liabilities for the past activities of any businesses we partner with or acquire. If any of these events were to occur, we could be subject to significant costs and damage to our reputation, business, results of operations and financial condition.</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such cybersecurity or system failure, accident or breach to date, if such an event were to occur, it could result in a material disruption of our operations, substantial costs to rectify or correct the failure, if possible, and potentially violation of HIPAA and other privacy laws applicable to our pharmacy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our pharmacist, physician and research consultants and advisors to provide us with significant assistance in our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our current business strategy is focused on developing and commercializing product opportunities as compounded formulations, we may in the future choose, alone or with project partners, to seek FDA regulatory approval to market and sell one or more of our assets as a FDA-approved drug. The process of obtaining FDA approval to market and sell pharmaceutical products is costly, time consuming, uncertain and subject to unanticipated delays. If we choose to pursue FDA approval for one or more product candidates, the FDA or other regulatory agencies may not approve the product candidate on a timely basis or at all. Before we could obtain FDA approval for the sale of any potential product candidates, we would be required to demonstrate through preclinical studies and clinical trials that the product candidate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with respect to its distribution, which could reduce revenue potential, and we would be subject to extensive and costly post-approval requirements and oversight with respect to commercialization of the product candidate.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successfully develop any product candidate into an FDA-approved drug, we would be subject to extensive continuing regulatory requirements and review, including review of adverse drug experiences and clinical results from any post-marketing tests or continued actions required as a condition of approval. The manufacturer and manufacturing facilities we would use to produce any such drug preparations would be subject to periodic review and inspection by the FDA, and we would be reliant on these third parties to maintain their manufacturing processes in compliance with FDA and all other applicable regulatory requirements. Any changes to a product that may have achieved approval, including the way it is manufactured or promoted, would often require FDA approval again before the product, as modified, could be marketed and sold. In addition, we and the manufacturers of the drug would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25 U.S. patent applications, including 18 utility and seven provisional patent applications, and we own three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Filing, prosecuting, defending and enforcing patents on our proprietary formulations throughout the world is extremely expensive. While we currently have three international patent applications filed under the Patent Cooperation Treaty and nineteen pending foreign patent applications,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any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such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our Chief Executive Officer,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and developing much of our material intellectual property rights, commercial programs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developed a new business model in December 2011 and again in November 2013, and we have been focusing on building our management, pharmacy, research and development, sales and marketing and other personnel in order to pursue our current business model. However, we may have significant difficulty attracting and retaining necessary employees, which may be amplified because of our bankruptcy filing in 2011. In addition, because of the specialized nature of our business, our ability to develop products and to compete will remain highly dependent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March 22, 2016, approximately 15% of our common stock that would be outstanding following such issuances. In addition, five individual stockholders collectively own, or have the right to acquire within 60 days after March 22, 2016, an additional approximately 35%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 in Item 9A of this Annual Report, our management concluded that our internal controls over financial reporting were effective as of December 31, 2015.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LSAF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sale of substantial amounts of our common stock in the public market, or the perception that such sales could occur, could cause the market price of our common stock to fall. Such sales could occur upon the expiration of any statutory holding period, such as under Rule 144 under the Securities Act of 1933, as amended, applicable to outstanding shares, upon expiration of any lock-up periods applicable to outstanding shares, such as those agreed to in connection with our March 2016 public offering, upon our issuance of shares upon the exercise of outstanding options or warrants, or upon our issuance of shares pursuant offerings of our equity securities, such as the pursuant to our March 2016 public offering or our Controlled Equity Offering™ sales agreement with Cantor Fitzgerald &amp; Co.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lease approximately 7,600 square feet of office space in San Diego, California, the current lease term for which expires on October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facility serves as our corporate headquarters.</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lease approximately 8,600 square feet of lab, warehouse and office space in Roxbury, New Jersey, the current lease term for which expires on July 31, 2022. This facility is currently under construction to serve as an outsourcing facility and pharmacy and will replace our current New Jersey-based pharmacy facility upon completion.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3,100 square feet of lab and office space in Randolph, New Jersey, which we are currently leasing on a month-to-month basis and intend to vacate by March 31, 2016. This facility is the current location for our New Jersey-based pharmacy.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4,500 square feet of lab and office space in Irvine, California, the current lease term for which expires on December 31, 2020. This facility is our California-based pharmacy.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5,600 square feet of lab and office space in Folcroft, Pennsylvania, the current lease term for which expires on March 31, 2017. This facility is our Pennsylvania-based pharmacy.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1,100 square feet of lab space in Allen, Texas, the current lease term for which expires on October 31, 2019. This facility is our Texas-based pharmacy, which we are seeking to register as an outsourcing facility during second quarter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We lease approximately 3,800 square feet of office space in San Diego, California, the current lease term for which expires on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space previously served as our corporate headquarters and is currently being subleased through the lease term.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additional space will be required in the near-term.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Litigation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of 2015, we, as the plaintiff, filed civil action with the San Diego Superior Court against Urigen Pharmaceuticals, Inc. (“Urigen”), wherein we outlined serious concerns regarding material failures and inaccuracies of the representation and warranties provided by Urigen in the License Agreement between the Company and Urigen entered into on October 24, 2014 (the “Urigen License Agreement”), which have affected our ability to realize the expected benefit of the Urigen License Agreement. Urigen, as the defendant, has yet to file any responsive pleading to the case and the case is at a preliminary stage. Management believes the outcome of this claim may have a material effect on our consolidated financial position and results of operations, although such amount cannot be reasonably estimated at this time.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aware of any other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began trading on The NASDAQ Capital Market in February 2013. The following table sets forth the high and low sale prices for our common stock as reported by The NASDAQ Capital Market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Fiscal Year 2014</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Low</w:t>
            </w: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6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6.72</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Fiscal Year 2015</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Low</w:t>
            </w: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6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8.79</w:t>
            </w:r>
          </w:p>
        </w:tc>
        <w:tc>
          <w:tcPr>
            <w:tcW w:w="6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4, 2016 there were approximately 130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 Further, our LSAF loan agreement and convertible note, described in Notes 10 and 16 to our consolidated financial statements included in this Annual Report, restrict our ability to pay cash dividends on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the related notes contained in this annual report on Form 10-K (Annual Report). Our consolidated financial statements have been prepared and, unless otherwise stated, the information derived therefrom as presented in this discussion and analysis is presented, in accordance with accounting principles generally accepted in the United States of America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As used in this discussion and analysis, unless the context indicates otherwise, the terms the “Company”, “Imprimis” “we”, “us” and “our” refer to Imprimis Pharmaceuticals, Inc. and its consolidated subsidiaries, consisting of Pharmacy Creations, LLC (Pharmacy Creations), South Coast Specialty Compounding, Inc. d/b/a Park Compounding (Park), ImprimisRx TX, Inc. (ImprimisRx TX) and ImprimisRx PA, Inc. (ImprimisRx PA). In this discussion and analysis, we refer to our consolidated subsidiaries collectively as our “ImprimisRx compounding pharmacies.” Except as otherwise noted, all dollar amounts in this discussion and analysis are expressed in thousands.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are a national leader in the development, production and dispensing of innovative proprietary compounded pharmaceuticals that we aim to make available to physicians and patients at affordable prices. Under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we own, market and dispense a portfolio of lower-cost compounded therapeutic alternatives to higher-priced FDA-approved drugs in several therapeutic areas, including ophthalmology, urology, otolaryngology and infectious diseases. We believe our proprietary formulations may offer competitive advantages and serve unmet needs in the marketplace. We plan to expand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by introducing additional customizable compounded drug formulations for patient populations that may not have available alternatives to increasingly expensive FDA-approved medications.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aligns with our corporate mission, vision and values of providing physicians and their patients high-quality individualized compounded medications at accessible prices.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are also developing our </w:t>
      </w:r>
      <w:r>
        <w:rPr>
          <w:rFonts w:ascii="Arial" w:cs="Arial" w:eastAsia="Arial" w:hAnsi="Arial"/>
          <w:sz w:val="17"/>
          <w:szCs w:val="17"/>
          <w:i w:val="1"/>
          <w:iCs w:val="1"/>
          <w:color w:val="auto"/>
        </w:rPr>
        <w:t>Custom Compounding Choice™</w:t>
      </w:r>
      <w:r>
        <w:rPr>
          <w:rFonts w:ascii="Arial" w:cs="Arial" w:eastAsia="Arial" w:hAnsi="Arial"/>
          <w:sz w:val="17"/>
          <w:szCs w:val="17"/>
          <w:color w:val="auto"/>
        </w:rPr>
        <w:t xml:space="preserve"> business, which is focused on developing and dispensing a portfolio of non-proprietary compounded drugs for humans and animals in therapeutic areas that may be overlooked by commercial pharmaceutical companies. We also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four ImprimisRx compounding pharmacies, based in New Jersey, California, Texas and Pennsylvania, through which we make, dispense and sell our proprietary compounded formulations and other non-proprietary products. All of our customized formulations are made in the United States of America.</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$57,764 at December 31, 2015.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produce and sell a portfolio of proprietary compounded formulations in the ophthalmology, otolaryngology, urology and infectious diseases therapeutic areas under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business, as well as non-proprietary formulations under our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program. We dispense and sell these formulations through our four ImprimisRx compounding pharmacy facilities, two of which we are undertaking efforts to develop into and register with the FDA as outsourcing facilities. We also devote resources to the development and potential commercialization of additional formulations in these and other therapeutic areas, including wound healing and dermatology.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Compounded Formulations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Ophthalmic Formulations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In 2013, we acquired intellectual property trademarked as SSP Technology</w:t>
      </w:r>
      <w:r>
        <w:rPr>
          <w:rFonts w:ascii="Arial" w:cs="Arial" w:eastAsia="Arial" w:hAnsi="Arial"/>
          <w:sz w:val="26"/>
          <w:szCs w:val="26"/>
          <w:color w:val="auto"/>
          <w:vertAlign w:val="superscript"/>
        </w:rPr>
        <w:t>TM</w:t>
      </w:r>
      <w:r>
        <w:rPr>
          <w:rFonts w:ascii="Arial" w:cs="Arial" w:eastAsia="Arial" w:hAnsi="Arial"/>
          <w:sz w:val="16"/>
          <w:szCs w:val="16"/>
          <w:color w:val="auto"/>
        </w:rPr>
        <w:t>, which relates to compounded formulations for ocular injection of anti-inflammatory and anti-bacterial agents during ocular surgery. SSP Technology allows for increased solubility of active pharmaceutical ingredients and the creation of small, uniform particle sizes, which allows these compounded formulations to be used as an intraoperative injectable or as a topical eye drop. Since our acquisition of this technology, we have continued its development to include additional active pharmaceutical ingredients, such as NSAIDs.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relied upon our SSP Technology to develop our proprietary ophthalmic formulations, which we market as our Dropless Therapy® and LessDrops® formulations. We also package multiple ophthalmic compounded formulations, which may include our proprietary Dropless Therapy or LessDrops formulations and other non-proprietary formulations, as kits and dispense these kits to patients with needs for multiple ocular therapies.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Dropless Therapy formulations, which we developed based on our SSP Technology, are used as an injectable during ocular surgery. Ophthalmologists have reported that use of our Dropless Therapy formulations has substantially reduced or eliminated the need for patient-administered eye drops following ocular surgeries they have performed, thereby largely eliminating patient non-compliance and dosing errors with post-operative self-administered eye drop care regimens. Since launching these formulations in April 2014, more than 450 ophthalmologists have adopted our Dropless Therapy formulations and a growing number of high-volume cataract surgery practices, hospitals and ambulatory surgery centers throughout the U.S. have become Dropless Therapy customers.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LessDrops topical compounded formulations, which we developed based on our SSP Technology, were initially formulated and dispensed during the first quarter of 2015 as combination eye drop formulations for patients following laser refractive surgery, including LASIK and photorefractive keratectomy (PRK), and cataract and other ocular surgeries. We estimate that our LessDrops combination eye drop formulations may require the administration of up to 50% fewer drops by patients post-surgery and may cost up to 75% less than other currently available post-surgery drops regimens. We plan to add to our portfolio of LessDrops combination eye drop formulations in order to deliver additional eye drop choices for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Otolaryngology Formulations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2015, we acquired the assets of a leading U.S. provider of topical compounded sinus formulations, delivery systems and patented packaging. Our topical delivery platform delivers sinusitis medications locally to the sinonasal mucosa, which is typically the direct site and probable source of the problem.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Urologic Formulations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first available urologic compounded formulation consists of a patented combination of heparin and alkalinized lidocaine (HLA). We acquired non-exclusive development and commercialization rights in the U.S. for HLA in October 2014, and acquired exclusive development and commercialization rights in the U.S. for this formulation in April 2015, pursuant to a license agreement with a third party. This license agreement obligates us to pay royalties to the licensor upon our sales of our HLA formulation. HLA is delivered directly to the bladder for the treatment of interstitial cystitis (IC), also known as</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painful bladder syndrome. During the first quarter of 2015, we launched our Defeat IC™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national education campaign designed to help increase awareness among medical practitioners and patients about IC and our HLA treatment option.</w:t>
      </w:r>
    </w:p>
    <w:p>
      <w:pPr>
        <w:spacing w:after="0" w:line="20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We also offer customizable compounded formulations of PPS-DR oral medication that may be prescribed by physicians as a lower-cost therapeutic alternative to an off-patent oral drug, Elmiron</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symptoms associated with IC. Our PPS-DR compounded formulations are customized to an individual patient and feature time delayed release that may allow for reduced daily dosing requirements.</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other commercially available urologic compounded formulations consist of lyophilized (freeze-dried) formulations for the treatment of erectile dysfunction (ED). Our ED compounded formulations are provided in a sterile powder and dispensed in single-dose vials that can be conveniently transported and stored up to six months prior to reconstitution, and once reconstituted should be used within 30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 Cares Compounded Therapeutic Alternatives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we recently introduced customizable compounded formulations of pyrimethamine and leucovorin, which are available for physicians to consider prescribing for their patients as a lower-cost therapeutic alternative to Daraprim</w:t>
      </w:r>
      <w:r>
        <w:rPr>
          <w:rFonts w:ascii="Arial" w:cs="Arial" w:eastAsia="Arial" w:hAnsi="Arial"/>
          <w:sz w:val="26"/>
          <w:szCs w:val="26"/>
          <w:color w:val="auto"/>
          <w:vertAlign w:val="superscript"/>
        </w:rPr>
        <w:t>®</w:t>
      </w:r>
      <w:r>
        <w:rPr>
          <w:rFonts w:ascii="Arial" w:cs="Arial" w:eastAsia="Arial" w:hAnsi="Arial"/>
          <w:sz w:val="16"/>
          <w:szCs w:val="16"/>
          <w:color w:val="auto"/>
        </w:rPr>
        <w:t>. The FDA-approved label for Daraprim indicates that it is prescribed for toxoplasmosis, which can be of major concern for patients with weakened immune systems such as patients with HIV/AIDS, pregnant women and children. Our formulations of pyrimethamine and leucovorin are now offered by Express Scripts, the largest pharmacy benefit manager in the U.S., and by many other hospitals and healthcare organizations. We also recently announced plans to introduce new patent-pending tiopronin and potassium citrate delayed release compounded formulations that may be prescribed by physicians as a lower-cost therapeutic alternative to</w:t>
      </w:r>
    </w:p>
    <w:p>
      <w:pPr>
        <w:jc w:val="both"/>
        <w:spacing w:after="0" w:line="217" w:lineRule="auto"/>
        <w:rPr>
          <w:sz w:val="20"/>
          <w:szCs w:val="20"/>
          <w:color w:val="auto"/>
        </w:rPr>
      </w:pPr>
      <w:r>
        <w:rPr>
          <w:rFonts w:ascii="Arial" w:cs="Arial" w:eastAsia="Arial" w:hAnsi="Arial"/>
          <w:sz w:val="18"/>
          <w:szCs w:val="18"/>
          <w:color w:val="auto"/>
        </w:rPr>
        <w:t>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Cystinuria is an inherited disease that causes stones made of the amino acid cystine to form in the kidneys, bladder and/or urethra. Our compounded alternative containing tiopronin, the active drug ingredient in Thiola, and potassium citrate, is expected to be available in April 2016.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Custom Compounding Choice Formulations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business is focused on marketing a portfolio of non-proprietary customizable compounded drugs for humans and animals, including sterile injectable and non-sterile integrative therapies, in therapeutic areas that may be overlooked by commercial pharmaceutical companies, such as oncology, autoimmunity, chronic infectious diseases, and endocrine and metabolic diseases. We also offer customizable hormone replacement therapies and a variety of weight loss and dermatology compounded formulations. Many of these formulations are offered in different formats than other available alternatives, such as in suspension or lyophilized, which we believe may provide differentiating and potentially beneficial factors as compared to competing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distribute them to physicians and patients. Generally, compounding pharmacies combine different ingredients, most of which may be FDA-approved, to create specialized preparations prescribed by a physician to treat an individually identified patient. Often this is because a standard medication approved by the FDA is not appropriate for a particular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ImprimisRx compounding pharmacies, make, dispense and sell our proprietary ophthalmology and urology compounded formulations, our topical sinus compounded formulations, delivery systems and patented packaging, complementary compounded formulations within the ophthalmology, urology and otolaryngology therapeutic areas, and other non-proprietary compounded formulations in other therapeutic areas. Our compounding pharmacies are collectively licensed to distribute compounded formulations in 50 states.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February 2015, we entered into a lease agreement for space in New Jersey and began construction efforts to build the majority of this space into an outsourcing facility, which is a new form of entity permitted to compound large quantities of certain drug formulations without a prescription and distribute them out of state without limitation, and is required to comply with certain additional requirements that do not apply to compounding pharmacies, including adherence to current good manufacturing practices (cGMP). The remaining space in the facility will be completely separate and secured and will be constructed as a compounding pharmacy to replace our current New Jersey pharmacy location. From time to time during the construction process, we have experienced temporary and intermittent delays in developing and outfitting this facility. As a result, we have extended our estimated completion date and now expect the facility to be completed and registered as an outsourcing facility near the end of the second quarter of 2016. In addition, we are near completion of our construction efforts to our Texas compounding pharmacy and intend to register it with the FDA as a Section 503B outsourcing facility during the second quarter of 2016. We estimate that our capital expenditures to build and equip these new facilities will be approximately $4,000.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believe the primary factors affecting our performance are our ability to increase sales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currently make, dispense and sell our commercially available proprietary compounded formulations and certain other non-proprietary products through our compounding pharmacies pursuant to a prescription for an individually identified patient. Additionally, we are in the process of developing and registering two of our facilities as outsourcing facilities. We are working to expand our pharmacy operations and personnel and develop our facilities into a unified compounding pharmacy network. For instance, we have begun developing “ImprimisRx” as a uniform brand for our compounding facilities, with the intent of renaming all of our compounding facilities under this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 we have experienced delays and increased costs in our outsourcing facility construction efforts and we may not be successful in completing them on a timely basis, within budget or at all, we may not be successful in our efforts to integrate, manage or otherwise realize the benefits we expect from our acquisitions of our ImprimisRx compounding pharmacies or any additional pharmacy businesses or outsourcing facilities we seek to acquire or build in the future, we may not be able to satisfy applicable federal and state licensing and other requirements for any such pharmacy businesses in a timely manner or at all, changes to federal and state pharmacy regulations may restrict compounding operations or make them more costly, we may be unable to achieve a sufficient physician and patient customer base to sustain our pharmacy operations, market acceptance of compounding pharmacies generally may be curtailed or delayed, and we may not be able to enter into licensing or other arrangements with third-party pharmacies or outsourcing facilities when desired, on acceptable terms or at all. Moreover, all such efforts to expand our pharmacy operations and establish a unified pharmacy network will involve significant costs and other resources, which we may not be able to afford, disrupt our other operations and distract management and our other employees from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proprietary ophthalmic compounded formulations are currently primarily available on a cash-pay basis. As part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would be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Although we have engaged distributors for certain of our proprietary compounded formulations in certain non-U.S. markets and have out-licensed certain of our technology in international markets, such as Canada, we expect to continue to focus our efforts on our U.S. commercial opportunities during 2016. Our sales and marketing efforts are currently organized into two departments, one of which focuses on our ophthalmology formulations and the other of which focuses on our available formulations in other therapeutic areas. We have also begun to establish a sales and marketing team focused on the therapeutic areas served by our </w:t>
      </w:r>
      <w:r>
        <w:rPr>
          <w:rFonts w:ascii="Arial" w:cs="Arial" w:eastAsia="Arial" w:hAnsi="Arial"/>
          <w:sz w:val="16"/>
          <w:szCs w:val="16"/>
          <w:i w:val="1"/>
          <w:iCs w:val="1"/>
          <w:color w:val="auto"/>
        </w:rPr>
        <w:t>Custom Compounding Choice</w:t>
      </w:r>
      <w:r>
        <w:rPr>
          <w:rFonts w:ascii="Arial" w:cs="Arial" w:eastAsia="Arial" w:hAnsi="Arial"/>
          <w:sz w:val="16"/>
          <w:szCs w:val="16"/>
          <w:color w:val="auto"/>
        </w:rPr>
        <w:t xml:space="preserve"> business. Our sales and marketing activities consist primarily of efforts to educate doctors, ambulatory surgery centers, healthcare systems, hospitals and other users throughout the U.S. about our products. We expect that we may experience growth in the sales of our proprietary compounded formulations in future periods, particularly in light of our recent launches of new formulations and commercialization campaigns. However, we have limited experience developing and commercializing compounded formulations and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describes certain developments in 2015 and 2016 to date that are important to an understanding of our financial condition and results of operations. See the notes to our consolidated financial statements included in this report for additional information about each of these developments.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16, 2016, we closed an underwritten public offering of 3,335,000 shares of our common stock at a per share price to the public of $3.60, and we received net proceeds of approximately $11,100 after deducting the underwriter discount and other offering expenses. We expect to use the net proceeds from the offering for working capital and general corporate purchases, which may include, among other things, expenditures associated with our efforts to develop our compounding pharmacies in Texas and New Jersey into outsourcing facilities.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On November 27, 2015,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(Sales Agreement) with Cantor Fitzgerald &amp; Co., as agent (Cantor Fitzgerald), pursuant to which we may offer and sell, from time to time through Cantor Fitzgerald, shares of our common stock having an aggregate offering price as set forth in the Sales Agreement and a related prospectus supplement we have filed with the Securities and Exchange Commission. We have agreed to pay Cantor Fitzgerald a cash commission of 3.0% of the aggregate gross proceeds from each sale of shares under the Sales Agreement and to reimburse Cantor Fitzgerald for certain fees and expenses in an amount not to exceed $50. As of March 23, 2016, shares having an aggregate offering price of $2,100 remain available for future sale under the Sales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LSAF Note and Loan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22, 2016, we received gross proceeds of $3,000 upon our issuance of an 8.00% Convertible Senior Secured Note in the principal amount of $3,000 (LSAF Note) to IMMY Funding LLC (LSAF), an affiliate of Life Sciences Alternative Funding LLC. We are obligated to pay interest on the principal amount of the LSAF Note monthly in cash at a fixed per-annum rate of 8.00%, and we are obligated to repay the full principal amount of the LSAF Note in cash on May 11, 2021. The LSAF Note is convertible by the holder at any time into 277.77 shares of our common stock per $1 outstanding principal amount of the LSAF Note, subject to adjustment upon certain events.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11, 2015, we entered into a loan agreement with LSAF, pursuant to which we have received a term loan in the principal amount of $10,000 (the “LSAF Loan”). The LSAF Loan bears interest at a fixed per-annum rate of 12.5% and we are permitted to pay interest only for the first three years or, if we do not meet certain minimum revenue or cash balance requirements, the first 20 months. The LSAF Loan, plus a final fee of 5% of the aggregate principal amount of the LSAF Loan, will be due on the earlier of May 11, 2021 or 24 months after the end of the interest-only period. Our interest payment obligations relating to the LSAF Loan totaled approximately $700 in 2015, and we expect our interest payment obligations relating to the LSAF Loan and the LSAF Note to collectively total $1,100 in 2016.</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agreements governing the LSAF Loan and the LSAF Note include financial and operating covenants that impose restrictions on our certain of activities. The amounts owed under the LSAF Loan and the LSAF Note are secured by substantially all of our personal property, rights and assets, including our intellectual property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 Compounding Pharmacy Acquisitions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2015, though our subsidiary ImprimisRx PA, we acquired substantially all of the assets of Thousand Oaks Holding Company and its wholly owned subsidiaries Topical Apothecary Group, LLC, owner and former operator of TAG Pharmacy, a licensed pharmacy in Folcroft, Pennsylvania; Aerosol Science Laboratories, Inc., former operator of ASL Pharmacy; SinuTopic, Inc., former operator of Sinus Dynamics Pharmacy; and Mycotoxins, LLC, for a total cash purchase price of approximately $524.</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4, 2015, we acquired all of the outstanding capital stock of ImprimisRx TX, a compounding and retail pharmacy located in Allen, Texas, pursuant to a stock purchase agreement entered into in July 2015. At the closing of the acquisition, we paid the sellers a total cash purchase price of approximately $421.</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 2015, we completed the acquisition of all of the outstanding capital stock of Park, a compounding pharmacy located in Southern California, pursuant to a stock purchase agreement entered into in November 2014. At the closing of the acquisition, we paid the sellers an aggregate cash purchase price of $3,000, net of fees and expenses, and a $100 payment for cash remaining in a Park bank account, and we issued to the sellers 63,525 shares of our common stock. In addition, we are obligated to make 12 quarterly cash payments of $53 each over the three years following January 1, 2015, totaling $638. The sellers of Park have the option to receive the last six of such quarterly payments, totaling up to an aggregate of $319, in the form of 6,749 shares of our common stock for each such payment.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Out-License Agreement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11, 2015, we entered into a non-exclusive license agreement with Advanced Dosage Forms, Inc. and John DiGenova (ADF), pursuant to which we granted ADF the rights to develop and sell in Canada certain of our proprietary Dropless Therapy and LessDrops compounded formulations. As consideration for the license granted under the license agreement, ADF paid us a noncreditable license fee of $10 and agreed to pay us royalties based on its sales of the licensed formulations consisting of the greater of: (i) $50 per unit sold (not expressed in thousands); and (ii) 20% of ADF’s sales of the formulations. We generated $10 in royalty revenues under the license agreement with ADF in 2015.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In particular, our pharmacy operations activities commenced on April 1, 2014, and this change in the nature of our operations has had and is expected to continue to have a significant impact on our financial results. As a result, our results of operations in the periods after commencement of our pharmacy operations, including aggregate revenue and expense amounts and the apportionment of expenses among categories, have changed and are expected to continue to change as we further develop these operations. Further, as a result of our acquisitions of our ImprimisRx compounding pharmacies, and any additional pharmacy acquisitions or other such transactions we may pursue, we may experience large expenditures specific to the transactions that are not incident to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years ended December 31, 2015 and 2014:</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For the year ended</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w w:val="90"/>
              </w:rPr>
              <w:t>December 31,</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b w:val="1"/>
                <w:bCs w:val="1"/>
                <w:color w:val="auto"/>
                <w:w w:val="83"/>
              </w:rPr>
              <w:t>Sales, net</w:t>
            </w:r>
          </w:p>
        </w:tc>
        <w:tc>
          <w:tcPr>
            <w:tcW w:w="1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tcPr>
          <w:p>
            <w:pPr>
              <w:jc w:val="right"/>
              <w:ind w:right="1030"/>
              <w:spacing w:after="0"/>
              <w:rPr>
                <w:sz w:val="20"/>
                <w:szCs w:val="20"/>
                <w:color w:val="auto"/>
              </w:rPr>
            </w:pPr>
            <w:r>
              <w:rPr>
                <w:rFonts w:ascii="Arial" w:cs="Arial" w:eastAsia="Arial" w:hAnsi="Arial"/>
                <w:sz w:val="18"/>
                <w:szCs w:val="18"/>
                <w:b w:val="1"/>
                <w:bCs w:val="1"/>
                <w:color w:val="auto"/>
                <w:w w:val="84"/>
              </w:rPr>
              <w:t>License revenues</w:t>
            </w:r>
          </w:p>
        </w:tc>
        <w:tc>
          <w:tcPr>
            <w:tcW w:w="1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Total revenues</w:t>
            </w:r>
          </w:p>
        </w:tc>
        <w:tc>
          <w:tcPr>
            <w:tcW w:w="2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9,716</w:t>
            </w: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began selling our proprietary compounded formulations and other non-proprietary pharmacy products and formulations and recognizing the associated revenues following the acquisition of Pharmacy Creations, our first ImprimisRx compounding pharmacy, on April 1, 2014. In 2015, we acquired or commenced pharmacy operations at Park, ImprimisRx TX and ImprimisRx PA, which collectively contributed $6,311 of the total $9,716 in revenues from sales of our proprietary compounded formulations and other non-proprietary formulations and products that we recognized in 2015. The increase in revenue from product sales in 2015 compared to 2014 was also attributable to increased sales of certain proprietary formulations and introduction of new proprietary formulations in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increase in license revenues between years was primarily attributable to license revenues provided under our Urigen License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cost of sales includes direct and indirect costs to manufacture formulations and sell products, including active pharmaceutical ingredients, personnel costs, packaging, storage, royalties, shipping and handling costs, the write-off of obsolete inventory and other related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years ended December 31, 2015 and 2014:</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4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For the year ended</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0"/>
              </w:rPr>
              <w:t>December 31,</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1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5,206  $</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3"/>
        <w:spacing w:after="0" w:line="297" w:lineRule="auto"/>
        <w:rPr>
          <w:sz w:val="20"/>
          <w:szCs w:val="20"/>
          <w:color w:val="auto"/>
        </w:rPr>
      </w:pPr>
      <w:r>
        <w:rPr>
          <w:rFonts w:ascii="Arial" w:cs="Arial" w:eastAsia="Arial" w:hAnsi="Arial"/>
          <w:sz w:val="16"/>
          <w:szCs w:val="16"/>
          <w:color w:val="auto"/>
        </w:rPr>
        <w:t>We began selling our proprietary compounded formulations and other non-proprietary pharmacy products and formulations and incurring the associated costs of such sales following the acquisition of Pharmacy Creations, our first ImprimisRx compounding pharmacy, on April 1, 2014. The increase in our cost of sales between years was largely attributable to our acquisition or commencement of operations at our three other ImprimisRx compounding pharmacies in 2015, which increased our sales of proprietary and non-proprietary compounded formulations and our associated costs of such sales. Park, ImprimisRx TX and ImprimisRx PA, each of which we acquired in 2015, collectively contributed $3,403 of our total $5,206 cost of sales recognized in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presents our selling and marketing expenses for the years ended December 31, 2015 and 2014:</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4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For the year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65"/>
              <w:spacing w:after="0"/>
              <w:rPr>
                <w:sz w:val="20"/>
                <w:szCs w:val="20"/>
                <w:color w:val="auto"/>
              </w:rPr>
            </w:pPr>
            <w:r>
              <w:rPr>
                <w:rFonts w:ascii="Arial" w:cs="Arial" w:eastAsia="Arial" w:hAnsi="Arial"/>
                <w:sz w:val="18"/>
                <w:szCs w:val="18"/>
                <w:b w:val="1"/>
                <w:bCs w:val="1"/>
                <w:color w:val="auto"/>
                <w:w w:val="90"/>
              </w:rPr>
              <w:t>December 31,</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We began implementing commercialization efforts in the fourth quarter of 2013 and, following the acquisition of Pharmacy Creations on April 1, 2014, we began selling our proprietary compounded formulations and other non-proprietary pharmacy products and formulations. The increase in selling and marketing expenses between years was primarily attributable to the expansion of our sales and marketing efforts, which included additional commercialization personnel, attendance at trade conferences and implementation of other various marketing activities, all related to our commercialization efforts for our proprietary and certain non-proprietary compounded formulations.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years ended December 31, 2015 and 2014:</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For the year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23"/>
        </w:trPr>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increase in general and administrative expenses between years was largely attributable to additional expenses related to and as a result of the acquisitions of Pharmacy Creations, Park and ImprimisRx TX and the opening of ImprimisRx, PA, as well as the general increase of our operations, including hiring additional personnel, obtaining and maintaining state pharmacy licenses, incurring increased professional fees and other related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years ended December 31, 2015 and 2014:</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For the year ended</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6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332  $</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research and development expenses between years was primarily attributable to our sponsorship of investigator-initiated evaluations related to certain of our proprietary compounded formulations.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income was $13 in 2015, compared to $32 in the prior year. The decrease was primarily due to a lower average cash balance during 2015 than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expense was $1,121 in 2015, compared to $4 in the prior year. The increase was primarily due to interest expense recognition related to the LSAF Loan, as well as capital leases and deferred acquisition obligations related to our acquisition of Park.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in 2015 was $(15,899), or $(1.66) basic and diluted net loss per share, compared to a net loss in the prior year of $(10,118), or $(1.11) basic and diluted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cash on hand at December 31, 2015 was $2,685, compared to $8,211 at December 31, 2014. The decrease in cash on hand between years was primarily attributable to our use of cash during 2015 to support our operations and to acquire Park, ImprimisRx TX and the assets of ImprimisRx PA. Since inception through December 31, 2015, we have incurred aggregate losses to common stockholders of $(57,764).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Annual Report, we believe that cash and cash equivalents and restricted investments of approximately $2,835 at December 31, 2015, together with approximately $14,000 in net proceeds received from equity and debt financings completed in 2016 to date and expected future revenues and expenses,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use our current cash position and funds generated from our operations to pursue our business plan, which includes developing and commercializing compounded formulations and technologies, integrating and expanding our pharmacy operations, including capital expenditures to construct and seek registration of two of our facilities as outsourcing facilities, pursuing potential future strategic transactions as opportunities arise, including potential acquisitions of additional pharmacy and outsourcing facilities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years ended December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For the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For the</w:t>
            </w:r>
          </w:p>
        </w:tc>
      </w:tr>
      <w:tr>
        <w:trPr>
          <w:trHeight w:val="230"/>
        </w:trPr>
        <w:tc>
          <w:tcPr>
            <w:tcW w:w="4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r>
      <w:tr>
        <w:trPr>
          <w:trHeight w:val="241"/>
        </w:trPr>
        <w:tc>
          <w:tcPr>
            <w:tcW w:w="4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 2014</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(910)</w:t>
            </w: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21"/>
                <w:szCs w:val="21"/>
                <w:color w:val="auto"/>
              </w:rPr>
            </w:pPr>
          </w:p>
        </w:tc>
      </w:tr>
      <w:tr>
        <w:trPr>
          <w:trHeight w:val="203"/>
        </w:trPr>
        <w:tc>
          <w:tcPr>
            <w:tcW w:w="4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6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(5,526)</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(7,368)</w:t>
            </w:r>
          </w:p>
        </w:tc>
        <w:tc>
          <w:tcPr>
            <w:tcW w:w="80" w:type="dxa"/>
            <w:vAlign w:val="bottom"/>
            <w:tcBorders>
              <w:top w:val="single" w:sz="8" w:color="CCEEFF"/>
            </w:tcBorders>
            <w:gridSpan w:val="2"/>
          </w:tcPr>
          <w:p>
            <w:pPr>
              <w:spacing w:after="0"/>
              <w:rPr>
                <w:sz w:val="17"/>
                <w:szCs w:val="17"/>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15,579</w:t>
            </w:r>
          </w:p>
        </w:tc>
      </w:tr>
      <w:tr>
        <w:trPr>
          <w:trHeight w:val="217"/>
        </w:trPr>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$(11,143) in 2015, as compared to $(7,057) used in operating activities during the same period in the prior year. The increase in net cash used in operating activities was mainly due to expanding our operations, including hiring additional personnel, commercialization and marketing activities related to our proprietary formulations, prescription fulfillment activities and other related undertakings.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in 2015 and 2014 was $(5,130) and $(910), respectively. The increase in cash used in investing activities in 2015 was primarily related to our acquisitions of Park and ImprimisRx TX, the opening of ImprimisRx PA and construction efforts related to our new New Jersey facility that we plan to register as an outsourcing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in 2015 and 2014 was $10,747 and $599, respectively. Cash provided by financing activities in 2015 was primarily attributable to proceeds received in May 2015 from the LSAF Loan, proceeds received in the fourth quarter of 2015 from sales of shares under the Sales Agreement, and proceeds received from cash exercises of warrants. Cash provided by financing activities in 2014 was primarily attributable to cash exercises of stock options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principal sources of cash consist of cash provided by financing activities, including: gross proceeds of $10,000 received in May 2015 from the LSAF Loan; gross proceeds of approximately $529 (and net proceeds, after deducting $16 in commission fees and $109 in offering expenses payable by us, of approximately $404) from sales of 72,421 shares of common stock under the Sales Agreement during the fourth quarter of 2015; gross proceeds of $3,000 received in January 2016 from the LSAF Note; and gross proceeds of $12,006 (and net proceeds, after deducting underwriting discounts and offering expenses payable by us, of approximately $11,100) from our sale of 3,335,000 shares of common stock in our March 2016 public offering. We also obtain capital from product sales, but we only recently started generating cash from our operations and we do not presently receive sufficient revenues to support our operations.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are eligible to receive $2,100 in additional gross proceeds from future sales of our common stock under the Sales Agreement, although we do not expect to receive any such proceeds until at least July 2016 as a result of certain lock-up restrictions on sales of our common in connection with our March 2016 public equity offering.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LSAF Loan and the LSAF Note.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revenues when all of the following criteria have been met: (1) persuasive evidence of an arrangement exists; (2) delivery has occurred;</w:t>
      </w:r>
    </w:p>
    <w:p>
      <w:pPr>
        <w:spacing w:after="0" w:line="46" w:lineRule="exact"/>
        <w:rPr>
          <w:sz w:val="20"/>
          <w:szCs w:val="20"/>
          <w:color w:val="auto"/>
        </w:rPr>
      </w:pPr>
    </w:p>
    <w:p>
      <w:pPr>
        <w:jc w:val="both"/>
        <w:ind w:firstLine="8"/>
        <w:spacing w:after="0" w:line="255"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price is fixed and determinable; and (4) collectability is reasonably assured. We began generating revenues upon the acquisition of Pharmacy Creations in the second quarter of 2014, which include sales of certain of our proprietary compounded drug formulations and non-proprietary formulations and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We will defer any revenues received for a product that has not been delivered or is subject to refund until such time that we and the customer jointly determine that the product has been delivered and no refund will be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we have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our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Black-Scholes-Merton option pricing model and Monte 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accounting policy for equity instruments issued to consultants and vendors in exchange for goods and services follows the Financial Accounting Standards Board (FASB) guidance. As such, the value of the applicable stock-based compensation is periodically remeasured and income or expense is recognized during the vesting term of the equity instruments.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stock-based consulting expenses in our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the process of preparing our consolidated financial statements, we must estimate our actual current tax liabilities and assess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income tax expense in the statement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We began capitalizing certain costs associated with acquiring intellectual property rights during 2015, if costs are not capitalized they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71"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59"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consolidated balance sheet. Amortization expense of debt issuance costs and the debt discount is calculated using the effective interest method over the term of the debt and is recorded in interest expense in the accompanying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consolidated financial statements included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2015, the end of the period covered by this Annual Report, pursuant to Rules 13a-15(b) and 15d-15(b) under the Securities Exchange Act of 1934, as amended (Exchange Act).</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that evaluation, our CEO and CFO concluded that, as of December 31, 2015,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(COSO). Based on such evaluation, management concluded that our internal control over financial reporting was effective as of December 31, 2015.</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December 31, 2015,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491"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to information contained in the Proxy Statement or an amendment to this Annual</w:t>
      </w:r>
    </w:p>
    <w:p>
      <w:pPr>
        <w:spacing w:after="0" w:line="46" w:lineRule="exact"/>
        <w:rPr>
          <w:sz w:val="20"/>
          <w:szCs w:val="20"/>
          <w:color w:val="auto"/>
        </w:rPr>
      </w:pPr>
    </w:p>
    <w:p>
      <w:pPr>
        <w:ind w:right="440"/>
        <w:spacing w:after="0" w:line="205" w:lineRule="auto"/>
        <w:rPr>
          <w:sz w:val="20"/>
          <w:szCs w:val="20"/>
          <w:color w:val="auto"/>
        </w:rPr>
      </w:pPr>
      <w:r>
        <w:rPr>
          <w:rFonts w:ascii="Arial" w:cs="Arial" w:eastAsia="Arial" w:hAnsi="Arial"/>
          <w:sz w:val="18"/>
          <w:szCs w:val="18"/>
          <w:color w:val="auto"/>
        </w:rPr>
        <w:t>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See the index to our consolidated financial statements on page F-1 for a list of the financial statements being filed in this Annual Report.</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the notes thereto.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Exhibit Index attached to this Annual Report is incorporated by reference herein.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 (Principal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23, 2016</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2"/>
                <w:szCs w:val="22"/>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2"/>
                <w:szCs w:val="22"/>
                <w:color w:val="auto"/>
              </w:rPr>
            </w:pPr>
          </w:p>
        </w:tc>
        <w:tc>
          <w:tcPr>
            <w:tcW w:w="27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Date</w:t>
            </w:r>
          </w:p>
        </w:tc>
      </w:tr>
      <w:tr>
        <w:trPr>
          <w:trHeight w:val="45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120" w:type="dxa"/>
            <w:vAlign w:val="bottom"/>
          </w:tcPr>
          <w:p>
            <w:pPr>
              <w:spacing w:after="0"/>
              <w:rPr>
                <w:sz w:val="24"/>
                <w:szCs w:val="24"/>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Andrew R. Boll</w:t>
            </w:r>
          </w:p>
        </w:tc>
        <w:tc>
          <w:tcPr>
            <w:tcW w:w="120" w:type="dxa"/>
            <w:vAlign w:val="bottom"/>
          </w:tcPr>
          <w:p>
            <w:pPr>
              <w:spacing w:after="0"/>
              <w:rPr>
                <w:sz w:val="20"/>
                <w:szCs w:val="20"/>
                <w:color w:val="auto"/>
              </w:rPr>
            </w:pPr>
          </w:p>
        </w:tc>
        <w:tc>
          <w:tcPr>
            <w:tcW w:w="4920" w:type="dxa"/>
            <w:vAlign w:val="bottom"/>
            <w:gridSpan w:val="2"/>
          </w:tcPr>
          <w:p>
            <w:pPr>
              <w:jc w:val="center"/>
              <w:ind w:right="120"/>
              <w:spacing w:after="0" w:line="202" w:lineRule="exact"/>
              <w:rPr>
                <w:sz w:val="20"/>
                <w:szCs w:val="20"/>
                <w:color w:val="auto"/>
              </w:rPr>
            </w:pPr>
            <w:r>
              <w:rPr>
                <w:rFonts w:ascii="Arial" w:cs="Arial" w:eastAsia="Arial" w:hAnsi="Arial"/>
                <w:sz w:val="18"/>
                <w:szCs w:val="18"/>
                <w:i w:val="1"/>
                <w:iCs w:val="1"/>
                <w:color w:val="auto"/>
                <w:w w:val="95"/>
              </w:rPr>
              <w:t>(Principal Accounting and Financial Officer)</w:t>
            </w:r>
          </w:p>
        </w:tc>
        <w:tc>
          <w:tcPr>
            <w:tcW w:w="272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120" w:type="dxa"/>
            <w:vAlign w:val="bottom"/>
          </w:tcPr>
          <w:p>
            <w:pPr>
              <w:spacing w:after="0"/>
              <w:rPr>
                <w:sz w:val="24"/>
                <w:szCs w:val="24"/>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Mark L. Baum</w:t>
            </w:r>
          </w:p>
        </w:tc>
        <w:tc>
          <w:tcPr>
            <w:tcW w:w="120" w:type="dxa"/>
            <w:vAlign w:val="bottom"/>
          </w:tcPr>
          <w:p>
            <w:pPr>
              <w:spacing w:after="0"/>
              <w:rPr>
                <w:sz w:val="20"/>
                <w:szCs w:val="20"/>
                <w:color w:val="auto"/>
              </w:rPr>
            </w:pPr>
          </w:p>
        </w:tc>
        <w:tc>
          <w:tcPr>
            <w:tcW w:w="4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72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Robert J. Kammer</w:t>
            </w:r>
          </w:p>
        </w:tc>
        <w:tc>
          <w:tcPr>
            <w:tcW w:w="120" w:type="dxa"/>
            <w:vAlign w:val="bottom"/>
          </w:tcPr>
          <w:p>
            <w:pPr>
              <w:spacing w:after="0"/>
              <w:rPr>
                <w:sz w:val="20"/>
                <w:szCs w:val="20"/>
                <w:color w:val="auto"/>
              </w:rPr>
            </w:pPr>
          </w:p>
        </w:tc>
        <w:tc>
          <w:tcPr>
            <w:tcW w:w="4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Chairman of the Board of Directors</w:t>
            </w:r>
          </w:p>
        </w:tc>
        <w:tc>
          <w:tcPr>
            <w:tcW w:w="272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H. Nelson</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William H. Nelson</w:t>
            </w:r>
          </w:p>
        </w:tc>
        <w:tc>
          <w:tcPr>
            <w:tcW w:w="120" w:type="dxa"/>
            <w:vAlign w:val="bottom"/>
          </w:tcPr>
          <w:p>
            <w:pPr>
              <w:spacing w:after="0"/>
              <w:rPr>
                <w:sz w:val="20"/>
                <w:szCs w:val="20"/>
                <w:color w:val="auto"/>
              </w:rPr>
            </w:pPr>
          </w:p>
        </w:tc>
        <w:tc>
          <w:tcPr>
            <w:tcW w:w="4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5"/>
              </w:rPr>
              <w:t>Director</w:t>
            </w:r>
          </w:p>
        </w:tc>
        <w:tc>
          <w:tcPr>
            <w:tcW w:w="272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Stephen G. Austin</w:t>
            </w:r>
          </w:p>
        </w:tc>
        <w:tc>
          <w:tcPr>
            <w:tcW w:w="120" w:type="dxa"/>
            <w:vAlign w:val="bottom"/>
          </w:tcPr>
          <w:p>
            <w:pPr>
              <w:spacing w:after="0"/>
              <w:rPr>
                <w:sz w:val="20"/>
                <w:szCs w:val="20"/>
                <w:color w:val="auto"/>
              </w:rPr>
            </w:pPr>
          </w:p>
        </w:tc>
        <w:tc>
          <w:tcPr>
            <w:tcW w:w="4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5"/>
              </w:rPr>
              <w:t>Director</w:t>
            </w:r>
          </w:p>
        </w:tc>
        <w:tc>
          <w:tcPr>
            <w:tcW w:w="272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Richard L. Lindstrom</w:t>
            </w:r>
          </w:p>
        </w:tc>
        <w:tc>
          <w:tcPr>
            <w:tcW w:w="120" w:type="dxa"/>
            <w:vAlign w:val="bottom"/>
          </w:tcPr>
          <w:p>
            <w:pPr>
              <w:spacing w:after="0"/>
              <w:rPr>
                <w:sz w:val="20"/>
                <w:szCs w:val="20"/>
                <w:color w:val="auto"/>
              </w:rPr>
            </w:pPr>
          </w:p>
        </w:tc>
        <w:tc>
          <w:tcPr>
            <w:tcW w:w="4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5"/>
              </w:rPr>
              <w:t>Director</w:t>
            </w:r>
          </w:p>
        </w:tc>
        <w:tc>
          <w:tcPr>
            <w:tcW w:w="272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23, 2016</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Anthony J. Principi</w:t>
            </w:r>
          </w:p>
        </w:tc>
        <w:tc>
          <w:tcPr>
            <w:tcW w:w="120" w:type="dxa"/>
            <w:vAlign w:val="bottom"/>
          </w:tcPr>
          <w:p>
            <w:pPr>
              <w:spacing w:after="0"/>
              <w:rPr>
                <w:sz w:val="20"/>
                <w:szCs w:val="20"/>
                <w:color w:val="auto"/>
              </w:rPr>
            </w:pPr>
          </w:p>
        </w:tc>
        <w:tc>
          <w:tcPr>
            <w:tcW w:w="4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5"/>
              </w:rPr>
              <w:t>Director</w:t>
            </w:r>
          </w:p>
        </w:tc>
        <w:tc>
          <w:tcPr>
            <w:tcW w:w="272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jc w:val="right"/>
              <w:ind w:right="269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rPr>
              <w:t>FINANCIAL STATEMENTS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w w:val="91"/>
              </w:rPr>
              <w:t>Imprimis Pharmaceuticals, Inc.</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6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19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at December 31, 2015 and 2014</w:t>
              </w:r>
            </w:hyperlink>
          </w:p>
        </w:tc>
        <w:tc>
          <w:tcPr>
            <w:tcW w:w="19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for the Years Ended December 31, 2015 and 2014</w:t>
              </w:r>
            </w:hyperlink>
          </w:p>
        </w:tc>
        <w:tc>
          <w:tcPr>
            <w:tcW w:w="19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Stockholders’ Equity (Deficit) for the Years Ended December 31, 2015 and 2014</w:t>
              </w:r>
            </w:hyperlink>
          </w:p>
        </w:tc>
        <w:tc>
          <w:tcPr>
            <w:tcW w:w="19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 for the Years Ended December 31, 2015 and 2014</w:t>
              </w:r>
            </w:hyperlink>
          </w:p>
        </w:tc>
        <w:tc>
          <w:tcPr>
            <w:tcW w:w="19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7"/>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Notes to the Consolidated Financial Statements</w:t>
              </w:r>
            </w:hyperlink>
          </w:p>
        </w:tc>
        <w:tc>
          <w:tcPr>
            <w:tcW w:w="19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040" w:type="dxa"/>
            <w:vAlign w:val="bottom"/>
            <w:tcBorders>
              <w:top w:val="single" w:sz="8" w:color="CCEEFF"/>
              <w:bottom w:val="single" w:sz="8" w:color="auto"/>
            </w:tcBorders>
            <w:gridSpan w:val="4"/>
          </w:tcPr>
          <w:p>
            <w:pPr>
              <w:jc w:val="center"/>
              <w:ind w:right="2500"/>
              <w:spacing w:after="0"/>
              <w:rPr>
                <w:sz w:val="20"/>
                <w:szCs w:val="20"/>
                <w:color w:val="auto"/>
              </w:rPr>
            </w:pPr>
            <w:r>
              <w:rPr>
                <w:rFonts w:ascii="Arial" w:cs="Arial" w:eastAsia="Arial" w:hAnsi="Arial"/>
                <w:sz w:val="18"/>
                <w:szCs w:val="18"/>
                <w:color w:val="auto"/>
                <w:w w:val="96"/>
              </w:rPr>
              <w:t>F-1</w:t>
            </w:r>
          </w:p>
        </w:tc>
        <w:tc>
          <w:tcPr>
            <w:tcW w:w="19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3" w:name="page44"/>
    <w:bookmarkEnd w:id="4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Imprimis Pharmaceuticals, Inc. and subsidiaries (the “Company”) as of December 31, 2015 and 2014, and the related consolidated statements of operations, stockholders’ equity (deficit) and cash flows for each of the two years in the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Imprimis Pharmaceuticals, Inc. and subsidiaries as of December 31, 2015 and 2014, and the consolidated results of their operations and their cash flows for each of the two years in the period ended December 31, 2015,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December 31,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2014</w:t>
            </w:r>
          </w:p>
        </w:tc>
      </w:tr>
      <w:tr>
        <w:trPr>
          <w:trHeight w:val="216"/>
        </w:trPr>
        <w:tc>
          <w:tcPr>
            <w:tcW w:w="7200" w:type="dxa"/>
            <w:vAlign w:val="bottom"/>
            <w:tcBorders>
              <w:top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8,211</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Restricted short-term investments</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03"/>
        </w:trPr>
        <w:tc>
          <w:tcPr>
            <w:tcW w:w="7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5,873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9,056</w:t>
            </w:r>
          </w:p>
        </w:tc>
        <w:tc>
          <w:tcPr>
            <w:tcW w:w="100" w:type="dxa"/>
            <w:vAlign w:val="bottom"/>
            <w:tcBorders>
              <w:top w:val="single" w:sz="8" w:color="CCEEFF"/>
            </w:tcBorders>
          </w:tcPr>
          <w:p>
            <w:pPr>
              <w:spacing w:after="0"/>
              <w:rPr>
                <w:sz w:val="17"/>
                <w:szCs w:val="17"/>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57"/>
        </w:trPr>
        <w:tc>
          <w:tcPr>
            <w:tcW w:w="72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200" w:type="dxa"/>
            <w:vAlign w:val="bottom"/>
            <w:shd w:val="clear" w:color="auto" w:fill="CCEEFF"/>
          </w:tcPr>
          <w:p>
            <w:pPr>
              <w:ind w:left="1280"/>
              <w:spacing w:after="0" w:line="196" w:lineRule="exact"/>
              <w:rPr>
                <w:sz w:val="20"/>
                <w:szCs w:val="20"/>
                <w:color w:val="auto"/>
              </w:rPr>
            </w:pPr>
            <w:r>
              <w:rPr>
                <w:rFonts w:ascii="Arial" w:cs="Arial" w:eastAsia="Arial" w:hAnsi="Arial"/>
                <w:sz w:val="18"/>
                <w:szCs w:val="18"/>
                <w:color w:val="auto"/>
              </w:rPr>
              <w:t>LIABILITIES AND STOCKHOLDERS’ EQUITY (DEFICIT)</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obligation</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8"/>
              </w:rPr>
              <w:t>Note payable and paid-in-kind interest, net of unamoritzed debt discount and issuance costs</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15,516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$0.001 par value, 90,000,000 shares authorized, 9,755,678 and 9,258,231</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December 31, 2015 and 2014, respectively</w:t>
            </w: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56,369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50,006</w:t>
            </w: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(57,764)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(41,865)</w:t>
            </w: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 (DEFICIT)</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(1,385</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8,150</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31,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9,654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9,716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4,510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6,496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6"/>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(14,822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7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of common stock outstanding, basic and diluted</w:t>
            </w: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9,576,142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9,132,989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center"/>
        <w:ind w:left="260" w:right="2560"/>
        <w:spacing w:after="0" w:line="263" w:lineRule="auto"/>
        <w:rPr>
          <w:sz w:val="20"/>
          <w:szCs w:val="20"/>
          <w:color w:val="auto"/>
        </w:rPr>
      </w:pPr>
      <w:r>
        <w:rPr>
          <w:rFonts w:ascii="Arial" w:cs="Arial" w:eastAsia="Arial" w:hAnsi="Arial"/>
          <w:sz w:val="18"/>
          <w:szCs w:val="18"/>
          <w:b w:val="1"/>
          <w:bCs w:val="1"/>
          <w:color w:val="auto"/>
        </w:rPr>
        <w:t>IMPRIMIS PHARMACEUTICALS, INC. CONSOLIDATED STATEMENTS OF STOCKHOLDERS’ EQUITY (DEFICIT) For the years ended December 31, 2015 and 2014 (In thousands, except for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20" w:type="dxa"/>
            <w:vAlign w:val="bottom"/>
          </w:tcPr>
          <w:p>
            <w:pPr>
              <w:spacing w:after="0"/>
              <w:rPr>
                <w:sz w:val="21"/>
                <w:szCs w:val="21"/>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Par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Paid-in</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8,970,364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Exercise of stock options, net of tax withholding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227,216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RSUs, net of tax withholding</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47,829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Consulting agreements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Settlement of contract dispute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6,868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9,258,231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130,457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RSUs, net of tax withholding</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Sale of stock, net of offering costs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72,421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warrants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The Park Acquisition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63,525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Relative fair value of warrants to purchase common stock</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issued in connection with note payable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3,457</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9,755,678</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ind w:right="69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56,369</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(57,764</w:t>
            </w: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31,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(15,899)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added to principal of note payable</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obligations</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8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Park Compounding, net of cash</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Purchase of Central Allen Pharmacy, net of cash</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assets for ImprimisRx PA, Inc.</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Purchase of restricted short-term investment</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Pharmacy Creations, LLC, net of cash and advances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furniture and equipment</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 common stock</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note payable, net of issuance costs and fees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warrants and stock options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offering costs</w:t>
            </w:r>
          </w:p>
        </w:tc>
        <w:tc>
          <w:tcPr>
            <w:tcW w:w="18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(5,526)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(7,368)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8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Relative fair value of warrants issued in connection with note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Issuance of common stock and deferred obligations in the purchase of Park Compounding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60"/>
              <w:spacing w:after="0" w:line="201" w:lineRule="exact"/>
              <w:rPr>
                <w:sz w:val="20"/>
                <w:szCs w:val="20"/>
                <w:color w:val="auto"/>
              </w:rPr>
            </w:pPr>
            <w:r>
              <w:rPr>
                <w:rFonts w:ascii="Arial" w:cs="Arial" w:eastAsia="Arial" w:hAnsi="Arial"/>
                <w:sz w:val="18"/>
                <w:szCs w:val="18"/>
                <w:color w:val="auto"/>
                <w:w w:val="96"/>
              </w:rPr>
              <w:t>Issuance of stock options for consulting services included in accounts payable and accrued</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Final fee on notes payable recorded as debt discount and included in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Purchase of furniture and equipment with a capital lease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Purchase of furniture and equipment included in 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center"/>
        <w:ind w:left="260" w:right="2620"/>
        <w:spacing w:after="0" w:line="261" w:lineRule="auto"/>
        <w:rPr>
          <w:sz w:val="20"/>
          <w:szCs w:val="20"/>
          <w:color w:val="auto"/>
        </w:rPr>
      </w:pPr>
      <w:r>
        <w:rPr>
          <w:rFonts w:ascii="Arial" w:cs="Arial" w:eastAsia="Arial" w:hAnsi="Arial"/>
          <w:sz w:val="18"/>
          <w:szCs w:val="18"/>
          <w:b w:val="1"/>
          <w:bCs w:val="1"/>
          <w:color w:val="auto"/>
        </w:rPr>
        <w:t>IMPRIMIS PHARMACEUTICALS, INC. NOTES TO THE CONSOLIDATED FINANCIAL STATEMENTS For the years ended December 31, 2015 and 2014 (all dollar amounts are expressed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Imprimis Pharmaceuticals, Inc. (together with its subsidiaries, unless the context indicates or otherwise requires, the “Company” or “Imprimis”) is a national leader in the development, production and dispensing of novel compounded pharmaceuticals. The Company’s two business programs,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and </w:t>
      </w:r>
      <w:r>
        <w:rPr>
          <w:rFonts w:ascii="Arial" w:cs="Arial" w:eastAsia="Arial" w:hAnsi="Arial"/>
          <w:sz w:val="16"/>
          <w:szCs w:val="16"/>
          <w:i w:val="1"/>
          <w:iCs w:val="1"/>
          <w:color w:val="auto"/>
        </w:rPr>
        <w:t>Custom Compounding Choice</w:t>
      </w:r>
      <w:r>
        <w:rPr>
          <w:rFonts w:ascii="Arial" w:cs="Arial" w:eastAsia="Arial" w:hAnsi="Arial"/>
          <w:sz w:val="16"/>
          <w:szCs w:val="16"/>
          <w:color w:val="auto"/>
        </w:rPr>
        <w:t>™, focus on patient outcomes and affordability by offering high quality customizable compounded drugs in all 50 states.</w:t>
      </w:r>
      <w:r>
        <w:rPr>
          <w:rFonts w:ascii="Arial" w:cs="Arial" w:eastAsia="Arial" w:hAnsi="Arial"/>
          <w:sz w:val="16"/>
          <w:szCs w:val="16"/>
          <w:i w:val="1"/>
          <w:iCs w:val="1"/>
          <w:color w:val="auto"/>
        </w:rPr>
        <w:t xml:space="preserve"> </w:t>
      </w:r>
      <w:r>
        <w:rPr>
          <w:rFonts w:ascii="Arial" w:cs="Arial" w:eastAsia="Arial" w:hAnsi="Arial"/>
          <w:sz w:val="16"/>
          <w:szCs w:val="16"/>
          <w:color w:val="auto"/>
        </w:rPr>
        <w:t>Imprimis is headquartered in San Diego, California and operates four pharmacy facilities located in California, Texas, New Jersey and Pennsylvania.</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 2014, the Company acquired Pharmacy Creations, LLC (“PC”), a New Jersey based compounding pharmacy and on January 1, 2015, the Company acquired South Coast Specialty Compounding, Inc. D/B/A Park Compounding (“Park”), a California based compounding pharmacy. Effective with the acquisition of PC, the Company commenced sales and marketing efforts for Imprimis’ portfolio of proprietary and non-proprietary compounded drug formulations. On August 4, 2015, the Company acquired JT Pharmacy, Inc. d/b/a Central Allen Pharmacy (“CAP”), a Texas based compounding pharmacy whose name has been changed to ImprimisRx TX, Inc., and on October 15, 2015, the Company, through a wholly-owned subsidiary ImprimisRx PA, Inc. (“ImprimisRx PA”), acquired substantially all of the assets and tradenames of Thousand Oaks Holding Company’s wholly-owned subsidiaries Topical Apothecary Group, LLC (d/b/a TAG Pharmacy), Aerosol Science Laboratories, Inc. (d/b/a ASL Pharmacy), SinuTopic, Inc. (d/b/a Sinus Dynamics Pharmacy) and Mycotoxins, LLC (collectively “TOHC”).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has prepared the accompanying consolidated financial statements in accordance with accounting principles generally accepted in the United States of America (“GAAP”). The accompanying consolidated financial statements include the accounts of the Company and its wholly-owned subsidiaries. All intercompany accounts and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include, among others, those related to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 payable and valuation of stock-based compensation issued to employees and non-employees. Actual results could differ from these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$15,899 and $10,118 for the years ended December 31, 2015 and 2014, respectively, and had an accumulated deficit of $57,764 and $41,865 as of December 31, 2015 and 2014, respectively. In addition, the Company used cash in operating activities of $11,143 and $7,057 for the years ended December 31, 2015 and 2014,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there is no assurance, the Company believes its existing cash resources and restricted investments of approximately $2,835 at December 31, 2015 and net cash proceeds from the sale of the Company’s common stock of $11,100 and issuance of a convertible note of $3,000 subsequent to December 2015 (see Note 16),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may seek to increase liquidity and capital resources by one or more measures, to the extent necessary. These measures may include, but are not limited to, the following: obtaining financing through the issuance of equity, debt, or convertible securities; and working to increase revenue growth through pharmacy sales. There is no guarantee that the Company will be able to obtain capital when needed on terms it deems as acceptable, or at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 sales of certain of the Company’s proprietary compounded drug formulations and non-proprietary formulations and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(see Note 14),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The Company began capitalizing certain costs associated with acquiring intellectual property rights during 2015, if costs are not capitalized they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process of preparing the Company’s consolidated financial statements, the Company must estimate the actual current tax liabilities and assess temporary differences resulting from differing treatment of items for tax and accounting purposes. These differences result in deferred tax assets and liabilities, which are included within the consolidated balance sheet. The Company must assess the likelihood that the deferred tax assets will be recovered from future taxable income and, to the extent the Company believes that recovery is not likely, a valuation allowance must be established. To the extent the Company establishes a valuation allowance or increase or decrease this allowance in a period, the impact will be included in income tax expense in the consolidated statement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7"/>
          <w:szCs w:val="17"/>
          <w:color w:val="auto"/>
        </w:rPr>
        <w:t>The Company accounts for income taxes under the provisions of Financial Accounting Standards Board (the “FASB”) Accounting Standards Codification (“ASC”) 740, “Income Taxes”, or ASC 740. As of December 31, 2015, there were no unrecognized tax benefits included in the consolidated balance sheet that would, if recognized, affect the effective tax rate. The Company’s practice is to recognize interest and/or penalties related to income tax matters in income tax expense. The Company had no accrual for interest or penalties in its consolidated balance sheets at December 31, 2015 and 2014, and has not recognized interest and/or penalties in the consolidated statements of operations for the years ended December 31, 2015 and 2014. The Company is subject to taxation in the United States, California, New Jersey, Texas and Pennsylvania. The Company’s tax years since 2000 are subject to examination by the federal and state tax authorities due to the carryforward of unutilized net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$250,000 per owner. At December 31, 2015, the Company had approximately $2.1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$180 and $4 as of December 31, 2015 and 2014,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Furniture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171" w:lineRule="exact"/>
        <w:rPr>
          <w:sz w:val="20"/>
          <w:szCs w:val="20"/>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 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2015 and 2014, the Company did not recognize any impairment of its long-lived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consolidated balance sheet. Total billing and collection management expense under this agreement for the year ended December 31, 2015 was $142, and is included in selling and marketing expenses in the accompanying consolidated statement of operations. The amount due under the agreement as of December 31, 2015 was $81.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and interim periods within each fiscal year is recorded as an adjustment to deferred rent and is included in accounts payable and accrued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consolidated balance sheet. Amortization expense of debt issuance costs and the debt discount is calculated using the effective interest method over the term of the debt and is recorded in interest expense in the accompanying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2015 and 2014, the Company did not have any financial assets or liabilities that are measured on a recurring basis. The Company’s financial instruments includes cash and cash equivalents, restricted short-term investments, accounts receivable, accounts payable and accrued expenses, accrued payroll and related liabilities, deferred revenue and customer deposits, contingent acquisition obligations, deferred acquisition obligations, note payable and capital leases. The carrying amount of these financial instruments, except for deferred acquisition obligations, note payable, and the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 payable, and capital leases approximate their respective fair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unvested RSUs and warrants were 3,313,169 and 3,024,217 at December 31, 2015 and 2014, respectively, and are excluded from the calculation of diluted net loss per share for all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these vested RSUs at December 31, 2015 and 2014 was 55,824 and 27,218,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net loss per share of common stock for the years ended December 31, 2015 and 2014: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2015</w:t>
            </w:r>
          </w:p>
        </w:tc>
        <w:tc>
          <w:tcPr>
            <w:tcW w:w="14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1"/>
              </w:rPr>
              <w:t>Denominator – weighted average number of shares outstanding, basic</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14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9,576,142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9,132,989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per share, basic and 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Recently Adopted Accounting Pronouncements</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Accounting Standard Update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This update requires capitalized debt issuance costs to be classified as a reduction to the carrying value of debt rather than a deferred charge, as is currently required. This update will be effective for the Company for all annual and interim periods beginning after December 15, 2015 and is required to be adopted retroactively for all periods presented, and early adoption is permitted. The Company has elected early adoption of this policy for the periods presented, and the Company is currently presenting debt issuance costs as a reduction in the carrying value of the note payable in accordance with this ASU.</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Balance Sheet Classification of Deferred Taxes</w:t>
      </w:r>
      <w:r>
        <w:rPr>
          <w:rFonts w:ascii="Arial" w:cs="Arial" w:eastAsia="Arial" w:hAnsi="Arial"/>
          <w:sz w:val="18"/>
          <w:szCs w:val="18"/>
          <w:color w:val="auto"/>
        </w:rPr>
        <w:t>, an update to accounting guidance to simplify the presentation of deferred income taxes. The guidance requires an entity to classify all deferred tax liabilities and assets, along with any valuation allowance, as noncurrent in the balance sheet. The guidance is effective for public companies with annual reporting periods beginning after December 15, 2016, including interim periods within these reporting periods. Early adoption is permitted. The Company has elected to early adopt ASU 2015-17 during the year ended December 31, 2015 with retrospective application. The adoption of ASU 2015-17 did not have a material impact on the Company’s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the lease rights and obligations arising from lease contracts, including existing and new arrangements, to be recognized as assets and liabilities on the balance sheet.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lease rights and obligations as assets and liabilities. The Company does not expect ASU 2016-02 to have a material effect on the Company’s results of operations and cash flows.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statements. This guidance will be effective in the first quarter of fiscal year 2019 and early adoption is not permitted. The Company is currently evaluating the impact that this guidance will have on its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xml:space="preserve"> which eliminates the requirement to retrospectively adjust the financial statements for measurement-period adjustments that occur in periods after a business combination is consummated. Measurement period adjustments are calculated as if they were known at the acquisition date, but are recognized in the reporting period in which they are determined. Additional disclosures are required about the impact on current-period income statement line items of adjustments that would have been recognized in prior periods if prior-period information had been revised. The guidance is effective for annual periods beginning after December 15, 2015 and is to be applied prospectively to adjustments of provisional amounts that occur after the effective date. Early application is permitted. The Company is evaluating the impact of adoption of this guidance on its financial position and results of operations.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guidance is effective for annual periods beginning after December 15, 2016, and interim periods therein. Early application is permitted. The Company is evaluating the impact of adoption of this guidance on its financial position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FASB issued new accounting guidance which defines management’s responsibility to assess an entity’s ability to continue as a going concern, and to provide related footnote disclosures in certain circumstances. This guidance will be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is currently evaluating the new guidance and has not determined the impact this standard may have on its consolidated financial statements.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Pharmacy Creations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 2014, the Company acquired all of the outstanding membership interests of PC (the “PC Acquisition”) from J. Scott Karolchyk and Bernard Covalesky (the “PC Sellers”), such that PC became a wholly-owned subsidiary of the Company. The acquisition of PC permits the Company to make and distribute its patent-pending proprietary drug formulations and other pharmaceutical preparations through PC.</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PC have been included in the Company’s consolidated financial statements for the period subsequent to its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PC are presented below and represent the Company’s best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Consideration Transferred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of the PC Acquisition, the Company paid to the PC Sellers an aggregate cash purchase price of $600. In addition, the PC Sellers were entitled to receive additional contingent consideration upon the satisfaction of certain conditions, as follows:</w:t>
      </w:r>
    </w:p>
    <w:p>
      <w:pPr>
        <w:spacing w:after="0" w:line="170" w:lineRule="exact"/>
        <w:rPr>
          <w:sz w:val="20"/>
          <w:szCs w:val="20"/>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contingent cash payment of $50, payable if PC earns revenues of over $3,500 for the 12 month period ended March 31, 2015 which was forfeited as the milestone was not met; and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the Company’s common stock, issuable only if the following revenue milestones are met: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PC earns revenue of over $7,500 during the 12 month period ending March 31, 2016, all 215,190 shares; and</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PC earns revenue of between $3,500 and $7,500 during the 12 month period ending March 31, 2016, an aggregate of that number of shares of Imprimis common stock equal to the amount that such revenue exceeds $3,500 divided by 18.5882, rounded down to the lower whole number (not to exceed 215,190 shares).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management estimates that certain of the contingent consideration will be paid, it has applied a discount rate to the contingent consideration amounts in determining fair value to represent the risk of these payments not being made. The total acquisition date fair value of the consideration transferred and to be transferred is estimated at approximately $1,114, as follows:</w:t>
      </w:r>
    </w:p>
    <w:p>
      <w:pPr>
        <w:sectPr>
          <w:pgSz w:w="11900" w:h="16838" w:orient="portrait"/>
          <w:cols w:equalWidth="0" w:num="1">
            <w:col w:w="11420"/>
          </w:cols>
          <w:pgMar w:left="240" w:top="692" w:right="239" w:bottom="1440" w:gutter="0" w:footer="0" w:header="0"/>
        </w:sectPr>
      </w:pPr>
    </w:p>
    <w:p>
      <w:pPr>
        <w:spacing w:after="0" w:line="181" w:lineRule="exact"/>
        <w:rPr>
          <w:sz w:val="20"/>
          <w:szCs w:val="20"/>
          <w:color w:val="auto"/>
        </w:rPr>
      </w:pPr>
    </w:p>
    <w:p>
      <w:pPr>
        <w:ind w:right="1856"/>
        <w:spacing w:after="0" w:line="293" w:lineRule="auto"/>
        <w:rPr>
          <w:sz w:val="20"/>
          <w:szCs w:val="20"/>
          <w:color w:val="auto"/>
        </w:rPr>
      </w:pPr>
      <w:r>
        <w:rPr>
          <w:rFonts w:ascii="Arial" w:cs="Arial" w:eastAsia="Arial" w:hAnsi="Arial"/>
          <w:sz w:val="16"/>
          <w:szCs w:val="16"/>
          <w:color w:val="auto"/>
        </w:rPr>
        <w:t>Cash payment to the PC Sellers at closing Contingent common stock issuance to the PC Sellers Contingent cash consideration to the PC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506857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06857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acquisition date fair value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264" w:hanging="1264"/>
        <w:spacing w:after="0"/>
        <w:tabs>
          <w:tab w:leader="none" w:pos="1264" w:val="left"/>
        </w:tabs>
        <w:numPr>
          <w:ilvl w:val="0"/>
          <w:numId w:val="12"/>
        </w:numPr>
        <w:rPr>
          <w:rFonts w:ascii="Arial" w:cs="Arial" w:eastAsia="Arial" w:hAnsi="Arial"/>
          <w:sz w:val="15"/>
          <w:szCs w:val="15"/>
          <w:color w:val="auto"/>
        </w:rPr>
      </w:pPr>
      <w:r>
        <w:rPr>
          <w:rFonts w:ascii="Arial" w:cs="Arial" w:eastAsia="Arial" w:hAnsi="Arial"/>
          <w:sz w:val="15"/>
          <w:szCs w:val="15"/>
          <w:color w:val="auto"/>
        </w:rPr>
        <w:t>600</w:t>
      </w:r>
    </w:p>
    <w:p>
      <w:pPr>
        <w:spacing w:after="0" w:line="57" w:lineRule="exact"/>
        <w:rPr>
          <w:rFonts w:ascii="Arial" w:cs="Arial" w:eastAsia="Arial" w:hAnsi="Arial"/>
          <w:sz w:val="15"/>
          <w:szCs w:val="15"/>
          <w:color w:val="auto"/>
        </w:rPr>
      </w:pPr>
    </w:p>
    <w:p>
      <w:pPr>
        <w:ind w:left="1264"/>
        <w:spacing w:after="0"/>
        <w:rPr>
          <w:rFonts w:ascii="Arial" w:cs="Arial" w:eastAsia="Arial" w:hAnsi="Arial"/>
          <w:sz w:val="15"/>
          <w:szCs w:val="15"/>
          <w:color w:val="auto"/>
        </w:rPr>
      </w:pPr>
      <w:r>
        <w:rPr>
          <w:rFonts w:ascii="Arial" w:cs="Arial" w:eastAsia="Arial" w:hAnsi="Arial"/>
          <w:sz w:val="15"/>
          <w:szCs w:val="15"/>
          <w:color w:val="auto"/>
        </w:rPr>
        <w:t>483</w:t>
      </w:r>
    </w:p>
    <w:p>
      <w:pPr>
        <w:spacing w:after="0" w:line="43" w:lineRule="exact"/>
        <w:rPr>
          <w:rFonts w:ascii="Arial" w:cs="Arial" w:eastAsia="Arial" w:hAnsi="Arial"/>
          <w:sz w:val="15"/>
          <w:szCs w:val="15"/>
          <w:color w:val="auto"/>
        </w:rPr>
      </w:pPr>
    </w:p>
    <w:p>
      <w:pPr>
        <w:ind w:left="1344"/>
        <w:spacing w:after="0"/>
        <w:rPr>
          <w:rFonts w:ascii="Arial" w:cs="Arial" w:eastAsia="Arial" w:hAnsi="Arial"/>
          <w:sz w:val="15"/>
          <w:szCs w:val="15"/>
          <w:color w:val="auto"/>
        </w:rPr>
      </w:pPr>
      <w:r>
        <w:rPr>
          <w:rFonts w:ascii="Arial" w:cs="Arial" w:eastAsia="Arial" w:hAnsi="Arial"/>
          <w:sz w:val="16"/>
          <w:szCs w:val="16"/>
          <w:color w:val="auto"/>
        </w:rPr>
        <w:t>31</w:t>
      </w:r>
    </w:p>
    <w:p>
      <w:pPr>
        <w:spacing w:after="0" w:line="72" w:lineRule="exact"/>
        <w:rPr>
          <w:sz w:val="20"/>
          <w:szCs w:val="20"/>
          <w:color w:val="auto"/>
        </w:rPr>
      </w:pPr>
    </w:p>
    <w:p>
      <w:pPr>
        <w:ind w:left="1124" w:hanging="1124"/>
        <w:spacing w:after="0"/>
        <w:tabs>
          <w:tab w:leader="none" w:pos="1124" w:val="left"/>
        </w:tabs>
        <w:numPr>
          <w:ilvl w:val="0"/>
          <w:numId w:val="13"/>
        </w:numPr>
        <w:rPr>
          <w:rFonts w:ascii="Arial" w:cs="Arial" w:eastAsia="Arial" w:hAnsi="Arial"/>
          <w:sz w:val="15"/>
          <w:szCs w:val="15"/>
          <w:color w:val="auto"/>
        </w:rPr>
      </w:pPr>
      <w:r>
        <w:rPr>
          <w:rFonts w:ascii="Arial" w:cs="Arial" w:eastAsia="Arial" w:hAnsi="Arial"/>
          <w:sz w:val="15"/>
          <w:szCs w:val="15"/>
          <w:color w:val="auto"/>
        </w:rPr>
        <w:t>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9690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9690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676" w:space="720"/>
            <w:col w:w="5024"/>
          </w:cols>
          <w:pgMar w:left="240" w:top="692" w:right="239" w:bottom="1440" w:gutter="0" w:footer="0" w:header="0"/>
          <w:type w:val="continuous"/>
        </w:sectPr>
      </w:pP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$514 liability was recognized for the estimated acquisition date fair value of the future contingent common stock and cash payments. During the year ended December 31, 2015, the Company decreased the contingent liability amount related to the cash payment and recognized a gain in other income of $31 due to the revenue milestone not being met. Contingent acquisition obligations related to the PC Acquisition were $483 and $514 at December 31, 2015 and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Consideration Transferred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April 1, 2014,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Accounts receivable</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Inventory</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Intangible assets</w:t>
            </w: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4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identifiable assets acquired</w:t>
            </w:r>
          </w:p>
        </w:tc>
        <w:tc>
          <w:tcPr>
            <w:tcW w:w="1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 assumed</w:t>
            </w:r>
          </w:p>
        </w:tc>
        <w:tc>
          <w:tcPr>
            <w:tcW w:w="14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identifiable assets less liabilities assumed</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9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i w:val="1"/>
                <w:iCs w:val="1"/>
                <w:color w:val="auto"/>
              </w:rPr>
              <w:t>Results of Operations</w:t>
            </w:r>
          </w:p>
        </w:tc>
        <w:tc>
          <w:tcPr>
            <w:tcW w:w="1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revenues and operating loss of PC included in the Company’s consolidated statement of operations from the acquisition date through the period ended December 31, 2014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40" w:type="dxa"/>
            <w:vAlign w:val="bottom"/>
            <w:shd w:val="clear" w:color="auto" w:fill="CCEEFF"/>
          </w:tcPr>
          <w:p>
            <w:pPr>
              <w:spacing w:after="0"/>
              <w:rPr>
                <w:sz w:val="21"/>
                <w:szCs w:val="21"/>
                <w:color w:val="auto"/>
              </w:rPr>
            </w:pPr>
          </w:p>
        </w:tc>
      </w:tr>
      <w:tr>
        <w:trPr>
          <w:trHeight w:val="217"/>
        </w:trPr>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PC. In determining the fair value of the intangible assets, the Company considered, among other factors, the best use of acquired assets, analyses of historical financial performance of PC and estimates of future performance of PC. The fair values of the identified intangible assets related to PC’s customer relationships, trade name, non-competition covenant, and state pharmacy licenses. The fair value of customer relationships and the non-competition covenant were calculated using the income approach. The fair value of the trade name and state pharmacy licenses were calculated using the cost approach. The following table sets forth the components of identified intangible assets associated with the PC Acquisition and their estimated useful lives.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Fair Value</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Useful Life</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10 - 15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Trade name</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6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covenant</w:t>
            </w:r>
          </w:p>
        </w:tc>
        <w:tc>
          <w:tcPr>
            <w:tcW w:w="1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640" w:type="dxa"/>
            <w:vAlign w:val="bottom"/>
          </w:tcPr>
          <w:p>
            <w:pPr>
              <w:jc w:val="right"/>
              <w:spacing w:after="0"/>
              <w:rPr>
                <w:sz w:val="20"/>
                <w:szCs w:val="20"/>
                <w:color w:val="auto"/>
              </w:rPr>
            </w:pPr>
            <w:r>
              <w:rPr>
                <w:rFonts w:ascii="Arial" w:cs="Arial" w:eastAsia="Arial" w:hAnsi="Arial"/>
                <w:sz w:val="18"/>
                <w:szCs w:val="18"/>
                <w:color w:val="auto"/>
              </w:rPr>
              <w:t>25 years</w:t>
            </w:r>
          </w:p>
        </w:tc>
      </w:tr>
      <w:tr>
        <w:trPr>
          <w:trHeight w:val="230"/>
        </w:trPr>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determined the useful lives of intangible assets based on the expected future cash flows and contractual lives associated with the respective asset. Trade name represents the fair value of the brand and name recognition associated with the marketing of PC’s formulations and services. Customer relationships represent the expected benefit from customer contracts that, at the date of acquisition, were reasonably anticipated to continue given the history and operating practices of PC. The non-competition covenant represents the contractual period and expected degree of adverse economic impact that would exist in its absence. Licenses represent eight state pharmacy licenses PC held at the date of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$331 was allocated to goodwill and is attributable to expected synergies between the combined companies, including access for the Company to fulfill prescriptions with its patent-pending proprietary drug formulations through PC’s market channels and assembled workforce. Goodwill represents the excess of the purchase price of the acquired business over the estimated fair value of the underlying net tangible and intangible assets acquired. Goodwill resulting from the PC Acquisition will be tested for impairment at least annually and more frequently if certain indicators of impairment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Park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2015, the Company acquired all of the outstanding capital stock of Park (the “Park Acquisition”) from its previous owners (the “Sellers”), such that Park became a wholly owned subsidiary of the Company. The acquisition of Park permits the Company to make and distribute its patent-pending proprietary drug formulations and other novel pharmaceutical solutions through Park and introduces the Company to new geographic and compounded formulation markets.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Park have been included in the Company’s consolidated financial statements for the period subsequent to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Park are presented below and represent the Company’s best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Consideration Transferred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closing of the Park Acquisition, the Company paid to the Sellers an aggregate cash purchase price of $3,000, net of fees and expenses, and a $100 payment for cash remaining in a Park bank account, and the Company issued to the Sellers 63,525 shares of the Company’s restricted common stock, valued at $500 based on the average closing price of the Company’s common stock for the 10 trading days preceding the closing. In addition, the Company is obligated to make 12 quarterly cash payments to the Sellers collectively of $53 each over the three years following the closing of the Park Acquisition, totaling $638; provided that the Sellers will have the option to receive the last six of such payments, totaling up to an aggregate of $319, in the form of 6,749 shares of the Company’s common stock for each such payment. The convertible features of the deferred consideration provide for a rate of conversion that is at market value, and as a result no value was attributed to the conversion feature. The Company also recorded a deferred tax liability of $1,047 related to the Park acquisition.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applied a discount rate of 15% to the restricted common stock issued at the closing of the Park Acquisition due to a lack of marketability of such shares as a result of certain restrictions on their transfer. The total acquisition date fair value of the consideration transferred and to be transferred is estimated at approximately $5,163.</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$591 liability was recognized for the estimated acquisition date fair value of the deferred consideration and is included in the deferred acquisition obligations in the accompanying consolidated balance sheet at December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total acquisition date fair value of consideration transferred and to be transferred is estimated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228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Restricted common stock issuance to Sellers at closing</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Deferred consideration to Sellers</w:t>
            </w: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r>
      <w:tr>
        <w:trPr>
          <w:trHeight w:val="23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acquisition date fair value</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Consideration Transferred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January 1, 2015,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5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r>
      <w:tr>
        <w:trPr>
          <w:trHeight w:val="25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w:t>
            </w:r>
          </w:p>
        </w:tc>
        <w:tc>
          <w:tcPr>
            <w:tcW w:w="60" w:type="dxa"/>
            <w:vAlign w:val="bottom"/>
            <w:shd w:val="clear" w:color="auto" w:fill="CCEEFF"/>
          </w:tcPr>
          <w:p>
            <w:pPr>
              <w:spacing w:after="0"/>
              <w:rPr>
                <w:sz w:val="21"/>
                <w:szCs w:val="21"/>
                <w:color w:val="auto"/>
              </w:rPr>
            </w:pPr>
          </w:p>
        </w:tc>
      </w:tr>
      <w:tr>
        <w:trPr>
          <w:trHeight w:val="203"/>
        </w:trPr>
        <w:tc>
          <w:tcPr>
            <w:tcW w:w="71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identifiable assets acquired</w:t>
            </w:r>
          </w:p>
        </w:tc>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3,607</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36"/>
        </w:trPr>
        <w:tc>
          <w:tcPr>
            <w:tcW w:w="7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140" w:type="dxa"/>
            <w:vAlign w:val="bottom"/>
          </w:tcPr>
          <w:p>
            <w:pPr>
              <w:ind w:left="180"/>
              <w:spacing w:after="0" w:line="203" w:lineRule="exact"/>
              <w:rPr>
                <w:sz w:val="20"/>
                <w:szCs w:val="20"/>
                <w:color w:val="auto"/>
              </w:rPr>
            </w:pPr>
            <w:r>
              <w:rPr>
                <w:rFonts w:ascii="Arial" w:cs="Arial" w:eastAsia="Arial" w:hAnsi="Arial"/>
                <w:sz w:val="18"/>
                <w:szCs w:val="18"/>
                <w:color w:val="auto"/>
              </w:rPr>
              <w:t>Total identifiable assets less liabilities assumed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3,268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1,895</w:t>
            </w:r>
          </w:p>
        </w:tc>
        <w:tc>
          <w:tcPr>
            <w:tcW w:w="60" w:type="dxa"/>
            <w:vAlign w:val="bottom"/>
            <w:shd w:val="clear" w:color="auto" w:fill="CCEEFF"/>
          </w:tcPr>
          <w:p>
            <w:pPr>
              <w:spacing w:after="0"/>
              <w:rPr>
                <w:sz w:val="21"/>
                <w:szCs w:val="21"/>
                <w:color w:val="auto"/>
              </w:rPr>
            </w:pPr>
          </w:p>
        </w:tc>
      </w:tr>
      <w:tr>
        <w:trPr>
          <w:trHeight w:val="217"/>
        </w:trPr>
        <w:tc>
          <w:tcPr>
            <w:tcW w:w="71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assets acquired</w:t>
            </w:r>
          </w:p>
        </w:tc>
        <w:tc>
          <w:tcPr>
            <w:tcW w:w="2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2015 the discount rate of the common stock issued at the time of the Park Acquisition was adjusted from 25% to 15% which resulted in an increase of $46 and $4 in goodwill and intangible assets, respectively, compared to the initial allocation of the purchase price. The final allocation was based on estimates and appraisals that was based on the Company’s final evaluation of Park’s assets and liabilities, including both tangible and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revenues and net income of Park included in the Company’s consolidated statement of operations from the acquisition date through the period ended December 31, 2015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5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Park. In determining the fair value of the intangible assets, the Company considered, among other factors, the best use of the acquired assets, analyses of historical financial performance of Park and estimates of future performance of Park. The fair values of the identified intangible assets related to Park’s customer relationships, trade name, non-competition clause, and state pharmacy licenses. Customer relationships and the non-competition clause were calculated using the income approach. Trade name and state pharmacy licenses were calculated using the cost approach. The following table sets forth the components of identified intangible assets associated with the Park Acquisition and their estimated useful lives.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Fair Value</w:t>
            </w:r>
          </w:p>
        </w:tc>
        <w:tc>
          <w:tcPr>
            <w:tcW w:w="3640" w:type="dxa"/>
            <w:vAlign w:val="bottom"/>
            <w:gridSpan w:val="2"/>
          </w:tcPr>
          <w:p>
            <w:pPr>
              <w:ind w:left="260"/>
              <w:spacing w:after="0"/>
              <w:rPr>
                <w:sz w:val="20"/>
                <w:szCs w:val="20"/>
                <w:color w:val="auto"/>
              </w:rPr>
            </w:pPr>
            <w:r>
              <w:rPr>
                <w:rFonts w:ascii="Arial" w:cs="Arial" w:eastAsia="Arial" w:hAnsi="Arial"/>
                <w:sz w:val="18"/>
                <w:szCs w:val="18"/>
                <w:color w:val="auto"/>
              </w:rPr>
              <w:t>Useful Life</w:t>
            </w: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3 - 15 years</w:t>
            </w:r>
          </w:p>
        </w:tc>
        <w:tc>
          <w:tcPr>
            <w:tcW w:w="22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Trade name</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years</w:t>
            </w:r>
          </w:p>
        </w:tc>
        <w:tc>
          <w:tcPr>
            <w:tcW w:w="22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280" w:type="dxa"/>
            <w:vAlign w:val="bottom"/>
          </w:tcPr>
          <w:p>
            <w:pPr>
              <w:spacing w:after="0"/>
              <w:rPr>
                <w:sz w:val="18"/>
                <w:szCs w:val="18"/>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360" w:type="dxa"/>
            <w:vAlign w:val="bottom"/>
          </w:tcPr>
          <w:p>
            <w:pPr>
              <w:jc w:val="right"/>
              <w:spacing w:after="0"/>
              <w:rPr>
                <w:sz w:val="20"/>
                <w:szCs w:val="20"/>
                <w:color w:val="auto"/>
              </w:rPr>
            </w:pPr>
            <w:r>
              <w:rPr>
                <w:rFonts w:ascii="Arial" w:cs="Arial" w:eastAsia="Arial" w:hAnsi="Arial"/>
                <w:sz w:val="18"/>
                <w:szCs w:val="18"/>
                <w:color w:val="auto"/>
              </w:rPr>
              <w:t>25 years</w:t>
            </w:r>
          </w:p>
        </w:tc>
        <w:tc>
          <w:tcPr>
            <w:tcW w:w="2280" w:type="dxa"/>
            <w:vAlign w:val="bottom"/>
          </w:tcPr>
          <w:p>
            <w:pPr>
              <w:spacing w:after="0"/>
              <w:rPr>
                <w:sz w:val="20"/>
                <w:szCs w:val="20"/>
                <w:color w:val="auto"/>
              </w:rPr>
            </w:pPr>
          </w:p>
        </w:tc>
      </w:tr>
      <w:tr>
        <w:trPr>
          <w:trHeight w:val="230"/>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3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8"/>
                <w:szCs w:val="18"/>
                <w:color w:val="auto"/>
              </w:rPr>
              <w:t>F-16</w:t>
            </w: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58" w:name="page59"/>
    <w:bookmarkEnd w:id="58"/>
    <w:p>
      <w:pPr>
        <w:jc w:val="both"/>
        <w:spacing w:after="0" w:line="297" w:lineRule="auto"/>
        <w:rPr>
          <w:sz w:val="20"/>
          <w:szCs w:val="20"/>
          <w:color w:val="auto"/>
        </w:rPr>
      </w:pPr>
      <w:r>
        <w:rPr>
          <w:rFonts w:ascii="Arial" w:cs="Arial" w:eastAsia="Arial" w:hAnsi="Arial"/>
          <w:sz w:val="16"/>
          <w:szCs w:val="16"/>
          <w:color w:val="auto"/>
        </w:rPr>
        <w:t>The Company determined the useful lives of intangible assets based on the expected future cash flows and contractual life associated with the respective assets. Trade name represents the fair value of the brand and name recognition associated with the marketing of Park’s formulations and services. Customer relationships represent the expected future benefit from contracts and relationships which, at the date of acquisition, were reasonably anticipated to continue given the history and operating practices of Park. The non-competition clause represents the contractual period and expected degree of adverse economic impact that would exist in its absence. Licenses represent twelve state pharmacy licenses Park held at the date of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for the Park Acquisition, $1,895 was allocated to goodwill and is attributable to expected synergies between the combined companies, including access for the Company to fulfill prescriptions with its patent-pending proprietary drug formulations through Park’s market channels and assembled workforce. Goodwill represents the excess of the purchase price of the acquired business over the fair value of the underlying net tangible and intangible assets acquired. Goodwill resulting from the business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2015 Acquisitions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2015, the Company acquired CAP and purchased the assets of TOHC, primarily to expand its compounding pharmacy infrastructure and offerings. These acquisitions were not individually significant. The Company has included the financial results of the CAP acquisition in its consolidated financial statements from its acquisition date, August 4, 2015, and the results from this company were not individually material to the Company’s consolidated financial statements. The preliminary purchase price for these acquisitions totaled, collectively, approximately $945, which was paid entirely in cash. The Company has preliminarily recorded $641 of net tangible assets and $65 of identifiable intangible assets, based on their estimated fair values, and $239 of residual goodwill.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initial purchase price calculation and related accounting for these acquisitions are preliminary. The preliminary fair value estimates for the assets acquired and liabilities assumed for these acquisitions were based upon preliminary calculations and valuations, and estimates and assumptions for these acquisitions are subject to change as the Company obtains additional information during the respective measurement periods (up to one year from the applicable acquisition date). The primary areas of these preliminary estimates that are not yet finalized relate to certain tangible assets and liabilities acquired and identifiable intangible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presents the Company’s unaudited pro forma results (including CAP, Park and PC) for the year ended December 31, 2014, as though the companies had been combined as of January 1, 2014. The acquisition of CAP was not individually significant and the 2015 results from this company were not individually material to our consolidated financial statements. The pro forma information is presented for informational purposes only and is not indicative of the results of operations that would have been achieved if the acquisitions had taken place at the beginning of each period presented, nor is it indicative of results of operations which may occur in the future. The unaudited pro forma results presented include amortization charges for intangible assets, interest charges, acquisition costs, and eliminations of intercompany transactions.</w:t>
      </w:r>
    </w:p>
    <w:p>
      <w:pPr>
        <w:spacing w:after="0" w:line="178"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Year Ended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(9,850</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approximately $201 in acquisition expenses related to the Park Acquisition, $135 in expenses related to the acquisition of the assets of TOHC and did not incur material acquisition expenses related to the PC Acquisition and the acquisition of CAP.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SHORT-TERM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short-term investments at December 31, 2015 consist of certificates of deposit, which are classified as held-to-maturity. At December 31, 2015 and 2014, the restricted short-term investments were recorded at amortized cost which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and 2014, the certificates of deposit of $150 were classified as a current asset. The certificates of deposit are required as collateral under the Company’s corporate credit card agreement and additional security for the Company’s office space lease and they automatically renew every twelve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Inventories are comprised of over-the-counter and prescription retail pharmacy products, commercial pharmaceutical products, related laboratory supplies and active pharmaceutical ingredients. The composition of inventories as of December 31, 2015 and 2014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December 31,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2014</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r>
      <w:tr>
        <w:trPr>
          <w:trHeight w:val="23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0"/>
                <w:szCs w:val="20"/>
                <w:color w:val="auto"/>
              </w:rPr>
            </w:pP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1,412</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December 31, 2015 and 2014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December 31,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8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prepaid expenses and other current assets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786</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NOTE 7. FURNITURE AND EQUIPMENT</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Furniture and equipment at December 31, 2015 and 2014 consisted of the following:</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December 31, 2015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18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7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depreciation and amortization expense of $255 and $37 during the years ended December 31, 2015 and 2014,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2015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Net</w:t>
            </w:r>
          </w:p>
        </w:tc>
      </w:tr>
      <w:tr>
        <w:trPr>
          <w:trHeight w:val="237"/>
        </w:trPr>
        <w:tc>
          <w:tcPr>
            <w:tcW w:w="37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Cost</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Carrying value</w:t>
            </w:r>
          </w:p>
        </w:tc>
        <w:tc>
          <w:tcPr>
            <w:tcW w:w="100" w:type="dxa"/>
            <w:vAlign w:val="bottom"/>
            <w:tcBorders>
              <w:bottom w:val="single" w:sz="8" w:color="CCEEFF"/>
            </w:tcBorders>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Trademarks</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Trade name</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 years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30"/>
        </w:trPr>
        <w:tc>
          <w:tcPr>
            <w:tcW w:w="37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7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F-18</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Company’s intangible assets at December 31, 2014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Accumulated</w:t>
            </w: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r>
      <w:tr>
        <w:trPr>
          <w:trHeight w:val="237"/>
        </w:trPr>
        <w:tc>
          <w:tcPr>
            <w:tcW w:w="34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Carrying value</w:t>
            </w:r>
          </w:p>
        </w:tc>
      </w:tr>
      <w:tr>
        <w:trPr>
          <w:trHeight w:val="21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10-15 years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years ended December 31, 2015 and 2014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For the</w:t>
            </w:r>
          </w:p>
        </w:tc>
      </w:tr>
      <w:tr>
        <w:trPr>
          <w:trHeight w:val="230"/>
        </w:trPr>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Year Ended</w:t>
            </w:r>
          </w:p>
        </w:tc>
      </w:tr>
      <w:tr>
        <w:trPr>
          <w:trHeight w:val="237"/>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2015</w:t>
            </w:r>
          </w:p>
        </w:tc>
        <w:tc>
          <w:tcPr>
            <w:tcW w:w="80" w:type="dxa"/>
            <w:vAlign w:val="bottom"/>
          </w:tcPr>
          <w:p>
            <w:pPr>
              <w:spacing w:after="0"/>
              <w:rPr>
                <w:sz w:val="20"/>
                <w:szCs w:val="20"/>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 2014</w:t>
            </w:r>
          </w:p>
        </w:tc>
      </w:tr>
      <w:tr>
        <w:trPr>
          <w:trHeight w:val="21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Non-competition clause</w:t>
            </w:r>
          </w:p>
        </w:tc>
        <w:tc>
          <w:tcPr>
            <w:tcW w:w="1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r>
      <w:tr>
        <w:trPr>
          <w:trHeight w:val="203"/>
        </w:trPr>
        <w:tc>
          <w:tcPr>
            <w:tcW w:w="45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1,772</w:t>
            </w:r>
          </w:p>
        </w:tc>
      </w:tr>
      <w:tr>
        <w:trPr>
          <w:trHeight w:val="216"/>
        </w:trPr>
        <w:tc>
          <w:tcPr>
            <w:tcW w:w="65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years ended December 31, 2015 and 2014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ind w:right="1112"/>
              <w:spacing w:after="0"/>
              <w:rPr>
                <w:sz w:val="20"/>
                <w:szCs w:val="20"/>
                <w:color w:val="auto"/>
              </w:rPr>
            </w:pPr>
            <w:r>
              <w:rPr>
                <w:rFonts w:ascii="Arial" w:cs="Arial" w:eastAsia="Arial" w:hAnsi="Arial"/>
                <w:sz w:val="16"/>
                <w:szCs w:val="16"/>
                <w:color w:val="auto"/>
                <w:w w:val="74"/>
              </w:rPr>
              <w:t>-</w:t>
            </w:r>
          </w:p>
        </w:tc>
        <w:tc>
          <w:tcPr>
            <w:tcW w:w="3440" w:type="dxa"/>
            <w:vAlign w:val="bottom"/>
          </w:tcPr>
          <w:p>
            <w:pPr>
              <w:spacing w:after="0"/>
              <w:rPr>
                <w:sz w:val="18"/>
                <w:szCs w:val="18"/>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8"/>
                <w:szCs w:val="18"/>
                <w:color w:val="auto"/>
              </w:rPr>
              <w:t>Acquistion of PC (see Note 3)</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w:t>
            </w:r>
          </w:p>
        </w:tc>
        <w:tc>
          <w:tcPr>
            <w:tcW w:w="3440" w:type="dxa"/>
            <w:vAlign w:val="bottom"/>
          </w:tcPr>
          <w:p>
            <w:pPr>
              <w:spacing w:after="0"/>
              <w:rPr>
                <w:sz w:val="20"/>
                <w:szCs w:val="20"/>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440" w:type="dxa"/>
            <w:vAlign w:val="bottom"/>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Acquisition of Park (see Note 3)</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1,895</w:t>
            </w:r>
          </w:p>
        </w:tc>
        <w:tc>
          <w:tcPr>
            <w:tcW w:w="3440" w:type="dxa"/>
            <w:vAlign w:val="bottom"/>
          </w:tcPr>
          <w:p>
            <w:pPr>
              <w:spacing w:after="0"/>
              <w:rPr>
                <w:sz w:val="18"/>
                <w:szCs w:val="18"/>
                <w:color w:val="auto"/>
              </w:rPr>
            </w:pPr>
          </w:p>
        </w:tc>
      </w:tr>
      <w:tr>
        <w:trPr>
          <w:trHeight w:val="25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CAP (see Note 3)</w:t>
            </w:r>
          </w:p>
        </w:tc>
        <w:tc>
          <w:tcPr>
            <w:tcW w:w="2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440" w:type="dxa"/>
            <w:vAlign w:val="bottom"/>
          </w:tcPr>
          <w:p>
            <w:pPr>
              <w:spacing w:after="0"/>
              <w:rPr>
                <w:sz w:val="21"/>
                <w:szCs w:val="21"/>
                <w:color w:val="auto"/>
              </w:rPr>
            </w:pPr>
          </w:p>
        </w:tc>
      </w:tr>
      <w:tr>
        <w:trPr>
          <w:trHeight w:val="217"/>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26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344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0"/>
        </w:trPr>
        <w:tc>
          <w:tcPr>
            <w:tcW w:w="40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8"/>
                <w:szCs w:val="18"/>
                <w:color w:val="auto"/>
              </w:rPr>
              <w:t>F-19</w:t>
            </w:r>
          </w:p>
        </w:tc>
        <w:tc>
          <w:tcPr>
            <w:tcW w:w="1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NOTE 9. ACCOUNTS PAYABLE AND ACCRUED EXPENSES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w w:val="91"/>
              </w:rPr>
              <w:t>Accounts payable and accrued expenses at December 31, 2015 and 2014 consisted of the following:</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 2015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2014</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10)</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Accrued exit fee for note payable (see Note 10)</w:t>
            </w:r>
          </w:p>
        </w:tc>
        <w:tc>
          <w:tcPr>
            <w:tcW w:w="18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Other accrued expenses (2)</w:t>
            </w:r>
          </w:p>
        </w:tc>
        <w:tc>
          <w:tcPr>
            <w:tcW w:w="1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0"/>
                <w:szCs w:val="20"/>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(3,407)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r>
      <w:tr>
        <w:trPr>
          <w:trHeight w:val="23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2014, the Company relocated its corporate headquarters to a 7,565 square foot office facility in San Diego, California. In February 2015, the Company entered into an agreement to sublet 3,874 square feet of its previously occupied headquarters office space through the remaining term of the lease for a monthly rent amount of $8. The Company recognized a loss of approximately $117 during the year ended December 31, 2014 related to the estimated remaining lease liability, net of expected sublease income, of the previously occupied office space. The obligations were discounted based on current prevailing market rates.</w:t>
      </w:r>
    </w:p>
    <w:p>
      <w:pPr>
        <w:spacing w:after="0" w:line="21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consists of a $23 and $39 stock-based compensation accrual at December 31, 2015 and 2014 respectively, for stock options to be granted for services performed. The stock-based compensation expense related to the accruals was $23 and $39 during the years ended December 31, 2015 and 2014, respectively. The $39 was recorded to additional paid-in-capital upon issuance of the stock options in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11, 2015, the Company entered into a loan and security agreement (the “Loan Agreement”) with IMMY Funding LLC, (“LSAF”), an affiliate of Life Sciences Alternative Funding LLC, as lender and collateral agent. Pursuant to the terms of the Loan Agreement, as amended subsequent to December 31, 2015 (see Note 16), LSAF made available to the Company a term loan in the aggregate principal amount of up to $10,000, all of which was drawn on May 11, 2015. The term loan bears interest at a fixed per-annum rate of 12.5% and allows for 2% of the interest to be paid-in-kind until either February 2017 or May 2017, such date dependent upon the Company’s ability to meet certain revenue or cash balance measures. The Company is permitted to pay interest only for the first three years and after the end of the interest-only period, the Company will be required to pay interest, plus repayments of the principal amount of the term loan, in 36 equal monthly installments. The interest-only period may be reduced to 20 months if the Company does not meet certain minimum revenue or cash balance requirements, in which case the Company would be required to pay interest, plus repayments of the principal amount of the term loans, in 24 equal monthly installments. All amounts owed under the Loan Agreement, including a final fee of 5% of the aggregate principal amount of the term loan, will be due on the earlier of May 11, 2021, or 24 months after the end of the interest-only period. The Company incurred expenses of approximately $735 in connection with the Loan Agreement. The final fee and expenses are being amortized as interest expense over the term of the debt using the interest method and the related liability of $500 for the final fee is included in accrued expenses (see Note 9) in the accompanying consolidated balance sheet.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LSAF’s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LSAF.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LSAF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Loan Agreement, the Company issued to LSAF a warrant to purchase up to 125,000 shares of the Company’s common stock, (the “Warrant”), which was exercisable immediately, had an exercise price of $7.85 per share upon issuance and has a term of ten years. The relative fair value of the Warrant was approximately $840 and was estimated using the Black-Scholes-Merton model with the following assumptions: fair value of the Company’s common stock at issuance of $7.97 per share; ten-year contractual term; 109% volatility; 0% dividend rate; and a risk-free interest rate of 1.25%. The relative fair value of the Warrant was recorded as a debt discount, decreasing notes payable and increasing additional paid-in capital on the accompanying consolidated balance sheet. The debt discount is being amortized to interest expense over the term of the debt using the interest method. For the year ended December 31, 2015, debt discount and issuance costs amortization was approximately $281.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5"/>
          </w:tcPr>
          <w:p>
            <w:pPr>
              <w:spacing w:after="0"/>
              <w:rPr>
                <w:sz w:val="20"/>
                <w:szCs w:val="20"/>
                <w:color w:val="auto"/>
              </w:rPr>
            </w:pPr>
            <w:r>
              <w:rPr>
                <w:rFonts w:ascii="Arial" w:cs="Arial" w:eastAsia="Arial" w:hAnsi="Arial"/>
                <w:sz w:val="18"/>
                <w:szCs w:val="18"/>
                <w:color w:val="auto"/>
                <w:w w:val="96"/>
              </w:rPr>
              <w:t>Subsequent to December 31, 2015, the Loan Agreement was amended as further described in Note 16.</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Note payable at December 31, 2015 were as follows: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December 31, 2015</w:t>
            </w:r>
          </w:p>
        </w:tc>
      </w:tr>
      <w:tr>
        <w:trPr>
          <w:trHeight w:val="216"/>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LSAF 12.5% note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Add: Interest paid-in-kind</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Discount on note for issuance costs</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7"/>
        </w:trPr>
        <w:tc>
          <w:tcPr>
            <w:tcW w:w="6240" w:type="dxa"/>
            <w:vAlign w:val="bottom"/>
          </w:tcPr>
          <w:p>
            <w:pPr>
              <w:ind w:left="60"/>
              <w:spacing w:after="0"/>
              <w:rPr>
                <w:sz w:val="20"/>
                <w:szCs w:val="20"/>
                <w:color w:val="auto"/>
              </w:rPr>
            </w:pPr>
            <w:r>
              <w:rPr>
                <w:rFonts w:ascii="Arial" w:cs="Arial" w:eastAsia="Arial" w:hAnsi="Arial"/>
                <w:sz w:val="18"/>
                <w:szCs w:val="18"/>
                <w:color w:val="auto"/>
              </w:rPr>
              <w:t>and relative fair value of warrants</w:t>
            </w:r>
          </w:p>
        </w:tc>
        <w:tc>
          <w:tcPr>
            <w:tcW w:w="1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(1,794)</w:t>
            </w:r>
          </w:p>
        </w:tc>
      </w:tr>
      <w:tr>
        <w:trPr>
          <w:trHeight w:val="236"/>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240" w:type="dxa"/>
            <w:vAlign w:val="bottom"/>
          </w:tcPr>
          <w:p>
            <w:pPr>
              <w:spacing w:after="0"/>
              <w:rPr>
                <w:sz w:val="20"/>
                <w:szCs w:val="20"/>
                <w:color w:val="auto"/>
              </w:rPr>
            </w:pPr>
            <w:r>
              <w:rPr>
                <w:rFonts w:ascii="Arial" w:cs="Arial" w:eastAsia="Arial" w:hAnsi="Arial"/>
                <w:sz w:val="18"/>
                <w:szCs w:val="18"/>
                <w:b w:val="1"/>
                <w:bCs w:val="1"/>
                <w:color w:val="auto"/>
              </w:rPr>
              <w:t>Long-term portion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Future minimum payments under notes payable outstanding at December 31, 2015 are as follows:</w:t>
            </w: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 2015</w:t>
            </w:r>
          </w:p>
        </w:tc>
        <w:tc>
          <w:tcPr>
            <w:tcW w:w="360" w:type="dxa"/>
            <w:vAlign w:val="bottom"/>
          </w:tcPr>
          <w:p>
            <w:pPr>
              <w:spacing w:after="0"/>
              <w:rPr>
                <w:sz w:val="24"/>
                <w:szCs w:val="24"/>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4,183</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CEEFF"/>
          </w:tcPr>
          <w:p>
            <w:pPr>
              <w:spacing w:after="0"/>
              <w:rPr>
                <w:sz w:val="18"/>
                <w:szCs w:val="18"/>
                <w:color w:val="auto"/>
              </w:rPr>
            </w:pPr>
          </w:p>
        </w:tc>
      </w:tr>
      <w:tr>
        <w:trPr>
          <w:trHeight w:val="237"/>
        </w:trPr>
        <w:tc>
          <w:tcPr>
            <w:tcW w:w="94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20"/>
                <w:szCs w:val="20"/>
                <w:color w:val="auto"/>
              </w:rPr>
            </w:pPr>
          </w:p>
        </w:tc>
      </w:tr>
      <w:tr>
        <w:trPr>
          <w:trHeight w:val="216"/>
        </w:trPr>
        <w:tc>
          <w:tcPr>
            <w:tcW w:w="9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9480" w:type="dxa"/>
            <w:vAlign w:val="bottom"/>
            <w:gridSpan w:val="2"/>
          </w:tcPr>
          <w:p>
            <w:pPr>
              <w:spacing w:after="0"/>
              <w:rPr>
                <w:sz w:val="20"/>
                <w:szCs w:val="20"/>
                <w:color w:val="auto"/>
              </w:rPr>
            </w:pPr>
            <w:r>
              <w:rPr>
                <w:rFonts w:ascii="Arial" w:cs="Arial" w:eastAsia="Arial" w:hAnsi="Arial"/>
                <w:sz w:val="18"/>
                <w:szCs w:val="18"/>
                <w:color w:val="auto"/>
              </w:rPr>
              <w:t>Less: amount representing interest and interest paid-in-kind</w:t>
            </w:r>
          </w:p>
        </w:tc>
        <w:tc>
          <w:tcPr>
            <w:tcW w:w="3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5,378</w:t>
            </w:r>
          </w:p>
        </w:tc>
        <w:tc>
          <w:tcPr>
            <w:tcW w:w="80" w:type="dxa"/>
            <w:vAlign w:val="bottom"/>
          </w:tcPr>
          <w:p>
            <w:pPr>
              <w:spacing w:after="0"/>
              <w:rPr>
                <w:sz w:val="20"/>
                <w:szCs w:val="20"/>
                <w:color w:val="auto"/>
              </w:rPr>
            </w:pPr>
          </w:p>
        </w:tc>
      </w:tr>
      <w:tr>
        <w:trPr>
          <w:trHeight w:val="216"/>
        </w:trPr>
        <w:tc>
          <w:tcPr>
            <w:tcW w:w="9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payable, gross</w:t>
            </w:r>
          </w:p>
        </w:tc>
        <w:tc>
          <w:tcPr>
            <w:tcW w:w="3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Add: interest paid-in-kind</w:t>
            </w:r>
          </w:p>
        </w:tc>
        <w:tc>
          <w:tcPr>
            <w:tcW w:w="3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r>
      <w:tr>
        <w:trPr>
          <w:trHeight w:val="250"/>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discount and issuance costs</w:t>
            </w:r>
          </w:p>
        </w:tc>
        <w:tc>
          <w:tcPr>
            <w:tcW w:w="36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(1,794)</w:t>
            </w:r>
          </w:p>
        </w:tc>
      </w:tr>
      <w:tr>
        <w:trPr>
          <w:trHeight w:val="210"/>
        </w:trPr>
        <w:tc>
          <w:tcPr>
            <w:tcW w:w="94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Note payable and interest paid-in-kind, net of unamortized debt discount and issuance costs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8,336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(DEFICIT)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10, 2014, the Company decreased the number of authorized shares of its capital stock to 95,000,000.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and 2014, the Company had 90,000,000 shares of common stock, $0.001 par value, authorized.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i w:val="1"/>
          <w:iCs w:val="1"/>
          <w:color w:val="auto"/>
        </w:rPr>
        <w:t>Issuances During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April 2014, the Company issued 6,868 shares of restricted common stock, valued at $50, in connection with the resolution of a contract dispute.</w:t>
      </w:r>
    </w:p>
    <w:p>
      <w:pPr>
        <w:spacing w:after="0" w:line="23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October 2014, the Company issued 4,000 shares of restricted common stock to a consultant, valued at $29 in consideration for consulting services provided. The fair value of the shares of common stock issued was recorded as stock-based compensation during the year ended December 31, 2014.</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2014, the Company issued a total of 227,216 shares of common stock as a result of stock option exercises. Of these, the Company received net cash proceeds of $584 for the issuance of 160,777 shares of common stock upon the exercise of stock options to purchase the same number of shares of common stock with exercise prices ranging from $3.68 to $4.00 per share and the Company received no cash proceeds for the issuance of 66,439 shares of common stock upon the exercise pursuant to cashless exercise provisions of stock options to purchase 146,652 shares of common stock with exercise prices ranging from $3.60 to $6.00 per share.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2014, the Company issued 1,954 shares of common stock to employees related to the vesting of RSUs. In connection with these common stock issuances, the Company withheld 1,518 shares of common stock for payroll tax withholdings totaling $13.</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2014, the Company issued a total of 47,829 shares of common stock as a result of warrant exercises. Of these, the Company received gross cash proceeds of $38 for the issuance of 6,391 shares of common stock upon the exercise of warrants to purchase the same number of shares of common stock with an exercise price of $5.925 and the Company received no cash proceeds for the issuance of 41,438 shares of common stock upon the exercise pursuant to cashless exercise provisions of warrants to purchase 123,715 shares of common stock with an exercise price of $5.25 per share.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2014, 27,218 shares of the Company’s common stock underlying RSUs issued to directors vested, but the issuance and delivery of these shares are deferred until the respective director resigns.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the Company issued a total of 130,457 shares of common stock as a result of option exercises. The Company received no cash proceeds for the issuance of the shares of common stock upon the exercise pursuant to cashless exercise provisions of stock options to purchase 255,600 shares of common stock with exercise prices ranging from $3.20 to $4.51 per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the Company issued 1,611 shares of common stock to employees related to the vesting of RSUs, net of 1,241 shares of common stock withheld for payroll tax withholdings totaling $10.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in January 2015, the Company issued 8,521 shares of its common stock in connection with RSUs that had been awarded to a non-employee director and had vested, but were not issued and settled until the resignation of the director on January 1, 2015.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2015, the Company issued a total of 220,912 shares of common stock as a result of warrant exercises. Of these, the Company received cash proceeds of $1,248 for the issuance of 209,980 shares of common stock upon the exercise on a cash basis of warrants to purchase the same number of shares of common stock with an exercise price of $5.925, and the Company received no cash proceeds for the issuance of 10,932 shares of common stock upon the exercise pursuant to cashless exercise provisions of warrants to purchase 30,457 shares of common stock with an exercise price of $5.25 per share.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November 2015,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and to reimburse Cantor Fitzgerald for certain fees and expenses in an amount not to exceed $50. During the fourth quarter of 2015, 72,421 shares of common stock were sold under the Sales Agreement for gross proceeds of approximately $529 and net proceeds, after deducting $16 in commission fees and $109 in offering expenses payable by the Company, of approximately $404. As of December 31, 2015, approximately $9,470 remained available for sale pursuant to this Sales Agreement, although such amount was subsequently reduced in March 2016 (see Note 16).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January 2015, the Company issued 63,525 shares of restricted common stock, valued at $425, in connection with the Park Acquisition (see Note 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During the year ended December 31, 2015, 28,606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and 2014,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December 31, 2015,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RSUs and restricted stock. The Plan is administered by the Compensation Committee of the Company’s Board of Directors. The Company had 1,353,379 shares available for future issuances under the Plan at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Plan for the year ended December 31,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Weighted Avg.</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1,029,240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825,946</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(55,560)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6.22</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5.71</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653,558</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gridSpan w:val="2"/>
            <w:vMerge w:val="continue"/>
          </w:tcPr>
          <w:p>
            <w:pPr>
              <w:spacing w:after="0"/>
              <w:rPr>
                <w:sz w:val="20"/>
                <w:szCs w:val="20"/>
                <w:color w:val="auto"/>
              </w:rPr>
            </w:pPr>
          </w:p>
        </w:tc>
        <w:tc>
          <w:tcPr>
            <w:tcW w:w="140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1,454,979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6.99</w:t>
            </w:r>
          </w:p>
        </w:tc>
        <w:tc>
          <w:tcPr>
            <w:tcW w:w="13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5.81</w:t>
            </w:r>
          </w:p>
        </w:tc>
        <w:tc>
          <w:tcPr>
            <w:tcW w:w="20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2015, based on the closing price of the Company’s common stock of $6.93 on that date. The aggregate intrinsic value of stock options exercised during the year ended December 31, 2015 was approximately $1,023.</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2015 and 2014, the Company granted stock options to certain employees, directors and consultants. The stock options were granted with an exercise price equal to the current market price of the Company’s common stock, as reported by the securities exchange on which the common stock was then listed, at the grant date and have contractual terms ranging from three to 10 years. Vesting terms for options granted in 2015 and 2014 to employees, directors and consultants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6"/>
          <w:szCs w:val="16"/>
          <w:color w:val="auto"/>
        </w:rPr>
        <w:t>On July 31, 2015, the Company granted to its Chief Executive Officer, Mark Baum, an option (the “Baum Performance Option”) to purchase 600,000 shares of the Company’s common stock at an exercise price of $7.87 per share under the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These market-based vesting conditions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Tranche</w:t>
            </w:r>
          </w:p>
        </w:tc>
        <w:tc>
          <w:tcPr>
            <w:tcW w:w="38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Number of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Target Share Price</w:t>
            </w:r>
          </w:p>
        </w:tc>
      </w:tr>
      <w:tr>
        <w:trPr>
          <w:trHeight w:val="215"/>
        </w:trPr>
        <w:tc>
          <w:tcPr>
            <w:tcW w:w="2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Tranche 1</w:t>
            </w:r>
          </w:p>
        </w:tc>
        <w:tc>
          <w:tcPr>
            <w:tcW w:w="18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200,000 shares</w:t>
            </w:r>
          </w:p>
        </w:tc>
        <w:tc>
          <w:tcPr>
            <w:tcW w:w="180" w:type="dxa"/>
            <w:vAlign w:val="bottom"/>
          </w:tcPr>
          <w:p>
            <w:pPr>
              <w:spacing w:after="0"/>
              <w:rPr>
                <w:sz w:val="18"/>
                <w:szCs w:val="18"/>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$9.00 or greater</w:t>
            </w: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Tranche 2</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100,000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$10.00 or greater</w:t>
            </w:r>
          </w:p>
        </w:tc>
      </w:tr>
      <w:tr>
        <w:trPr>
          <w:trHeight w:val="243"/>
        </w:trPr>
        <w:tc>
          <w:tcPr>
            <w:tcW w:w="1660" w:type="dxa"/>
            <w:vAlign w:val="bottom"/>
            <w:gridSpan w:val="3"/>
          </w:tcPr>
          <w:p>
            <w:pPr>
              <w:spacing w:after="0"/>
              <w:rPr>
                <w:sz w:val="20"/>
                <w:szCs w:val="20"/>
                <w:color w:val="auto"/>
              </w:rPr>
            </w:pPr>
            <w:r>
              <w:rPr>
                <w:rFonts w:ascii="Arial" w:cs="Arial" w:eastAsia="Arial" w:hAnsi="Arial"/>
                <w:sz w:val="18"/>
                <w:szCs w:val="18"/>
                <w:color w:val="auto"/>
              </w:rPr>
              <w:t>Tranche 3</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100,000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$12.00 or greater</w:t>
            </w:r>
          </w:p>
        </w:tc>
      </w:tr>
      <w:tr>
        <w:trPr>
          <w:trHeight w:val="243"/>
        </w:trPr>
        <w:tc>
          <w:tcPr>
            <w:tcW w:w="1660" w:type="dxa"/>
            <w:vAlign w:val="bottom"/>
            <w:gridSpan w:val="3"/>
          </w:tcPr>
          <w:p>
            <w:pPr>
              <w:spacing w:after="0"/>
              <w:rPr>
                <w:sz w:val="20"/>
                <w:szCs w:val="20"/>
                <w:color w:val="auto"/>
              </w:rPr>
            </w:pPr>
            <w:r>
              <w:rPr>
                <w:rFonts w:ascii="Arial" w:cs="Arial" w:eastAsia="Arial" w:hAnsi="Arial"/>
                <w:sz w:val="18"/>
                <w:szCs w:val="18"/>
                <w:color w:val="auto"/>
              </w:rPr>
              <w:t>Tranche 4</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100,000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$14.00 or greater</w:t>
            </w:r>
          </w:p>
        </w:tc>
      </w:tr>
      <w:tr>
        <w:trPr>
          <w:trHeight w:val="243"/>
        </w:trPr>
        <w:tc>
          <w:tcPr>
            <w:tcW w:w="1660" w:type="dxa"/>
            <w:vAlign w:val="bottom"/>
            <w:gridSpan w:val="3"/>
          </w:tcPr>
          <w:p>
            <w:pPr>
              <w:spacing w:after="0"/>
              <w:rPr>
                <w:sz w:val="20"/>
                <w:szCs w:val="20"/>
                <w:color w:val="auto"/>
              </w:rPr>
            </w:pPr>
            <w:r>
              <w:rPr>
                <w:rFonts w:ascii="Arial" w:cs="Arial" w:eastAsia="Arial" w:hAnsi="Arial"/>
                <w:sz w:val="18"/>
                <w:szCs w:val="18"/>
                <w:color w:val="auto"/>
              </w:rPr>
              <w:t>Tranche 5</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100,000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$15.00 or greater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Baum Performance Option terminates on the fifth anniversary of the grant date. The fair value of the Baum Performance Option was $2,784 using a Monte Carlo Simulation with a five-year life, 80% volatility and a risk free interest rate of 1.54 %.</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 and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5.81 - 6.91</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101 - 121%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96 - 102%</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1.39 - 1.68%</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1.37 - 1.65%</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consultants: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2.5 - 10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108 - 109%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78 - 97%</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1.06- 1.63%</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0.10 - 1.68%</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4"/>
          </w:tcPr>
          <w:p>
            <w:pPr>
              <w:ind w:left="860"/>
              <w:spacing w:after="0"/>
              <w:rPr>
                <w:sz w:val="20"/>
                <w:szCs w:val="20"/>
                <w:color w:val="auto"/>
              </w:rPr>
            </w:pPr>
            <w:r>
              <w:rPr>
                <w:rFonts w:ascii="Arial" w:cs="Arial" w:eastAsia="Arial" w:hAnsi="Arial"/>
                <w:sz w:val="18"/>
                <w:szCs w:val="18"/>
                <w:color w:val="auto"/>
              </w:rPr>
              <w:t>Options Outstanding</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Options Exercisable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Number</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24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300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Life in Years</w:t>
            </w: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r>
      <w:tr>
        <w:trPr>
          <w:trHeight w:val="216"/>
        </w:trPr>
        <w:tc>
          <w:tcPr>
            <w:tcW w:w="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$3.68 - $4.50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207,123</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165,252</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$5.49 - $7.99</w:t>
            </w: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958,316</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159,222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$8.06 - $8.99</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248,557</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199,054</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$42.80</w:t>
            </w:r>
          </w:p>
        </w:tc>
        <w:tc>
          <w:tcPr>
            <w:tcW w:w="26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5,030</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42.80</w:t>
            </w:r>
          </w:p>
        </w:tc>
        <w:tc>
          <w:tcPr>
            <w:tcW w:w="2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5,030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42.80</w:t>
            </w:r>
          </w:p>
        </w:tc>
      </w:tr>
      <w:tr>
        <w:trPr>
          <w:trHeight w:val="230"/>
        </w:trPr>
        <w:tc>
          <w:tcPr>
            <w:tcW w:w="2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2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there was approximately $3,649 of total unrecognized compensation expense related to unvested stock options granted under the Plan. That expense is expected to be recognized over the weighted-average remaining vesting period of 3.8 years. The stock-based compensation for all stock options was $1,747 and $1,138 during the years ended December 31, 2015 and 2014,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2014, the Company granted an aggregate of 26,492 RSUs to its non-employee directors valued at $200. These RSUs vest in equal quarterly installments over a one year period subject to the director’s continued service at the vesting date,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2015</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February 2015, the Company granted 30,000 RSUs to its Chief Financial Officer, Andrew R. Boll and 30,000 RSUs to its Chief Commercial Officer, John P. Saharek, valued at $442 in the aggregate. The RSUs were granted pursuant to the Plan and will vest on the third anniversary of the RSU grant date, subject to the applicable employee’s continued employment with the Company on such date and accelerated vesting of all unvested shares thereunder upon the occurrence of a change in control (as defined in the Plan).</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February 2015, the Company granted 157,500 RSUs to Mr. Boll, which are subject to the satisfaction of certain market-based and continued service conditions (the “Boll Performance Equity Award”). The market-based vesting criteria are separated into five tranches and require that the Company achieve and maintain certain stock price targets ranging from $10 per share to $30 per share during the three-year period following the grant date. With certain limited exceptions, Mr. Boll must be employed with the Company on the third anniversary of the grant date in order for the Boll Performance Equity Award to vest.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market-based vesting conditions applicable to the Boll Performance Equity Award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Tranche</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Target Share Price</w:t>
            </w:r>
          </w:p>
        </w:tc>
      </w:tr>
      <w:tr>
        <w:trPr>
          <w:trHeight w:val="230"/>
        </w:trPr>
        <w:tc>
          <w:tcPr>
            <w:tcW w:w="2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Tranche 1</w:t>
            </w:r>
          </w:p>
        </w:tc>
        <w:tc>
          <w:tcPr>
            <w:tcW w:w="1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30,000 shares</w:t>
            </w:r>
          </w:p>
        </w:tc>
        <w:tc>
          <w:tcPr>
            <w:tcW w:w="1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$10.00 or greater</w:t>
            </w:r>
          </w:p>
        </w:tc>
      </w:tr>
      <w:tr>
        <w:trPr>
          <w:trHeight w:val="242"/>
        </w:trPr>
        <w:tc>
          <w:tcPr>
            <w:tcW w:w="4020" w:type="dxa"/>
            <w:vAlign w:val="bottom"/>
            <w:gridSpan w:val="3"/>
          </w:tcPr>
          <w:p>
            <w:pPr>
              <w:spacing w:after="0"/>
              <w:rPr>
                <w:sz w:val="20"/>
                <w:szCs w:val="20"/>
                <w:color w:val="auto"/>
              </w:rPr>
            </w:pPr>
            <w:r>
              <w:rPr>
                <w:rFonts w:ascii="Arial" w:cs="Arial" w:eastAsia="Arial" w:hAnsi="Arial"/>
                <w:sz w:val="18"/>
                <w:szCs w:val="18"/>
                <w:color w:val="auto"/>
              </w:rPr>
              <w:t>Tranche 2</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$15.00 or greater</w:t>
            </w:r>
          </w:p>
        </w:tc>
      </w:tr>
      <w:tr>
        <w:trPr>
          <w:trHeight w:val="243"/>
        </w:trPr>
        <w:tc>
          <w:tcPr>
            <w:tcW w:w="4020" w:type="dxa"/>
            <w:vAlign w:val="bottom"/>
            <w:gridSpan w:val="3"/>
          </w:tcPr>
          <w:p>
            <w:pPr>
              <w:spacing w:after="0"/>
              <w:rPr>
                <w:sz w:val="20"/>
                <w:szCs w:val="20"/>
                <w:color w:val="auto"/>
              </w:rPr>
            </w:pPr>
            <w:r>
              <w:rPr>
                <w:rFonts w:ascii="Arial" w:cs="Arial" w:eastAsia="Arial" w:hAnsi="Arial"/>
                <w:sz w:val="18"/>
                <w:szCs w:val="18"/>
                <w:color w:val="auto"/>
              </w:rPr>
              <w:t>Tranche 3</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$20.00 or greater</w:t>
            </w:r>
          </w:p>
        </w:tc>
      </w:tr>
      <w:tr>
        <w:trPr>
          <w:trHeight w:val="243"/>
        </w:trPr>
        <w:tc>
          <w:tcPr>
            <w:tcW w:w="4020" w:type="dxa"/>
            <w:vAlign w:val="bottom"/>
            <w:gridSpan w:val="3"/>
          </w:tcPr>
          <w:p>
            <w:pPr>
              <w:spacing w:after="0"/>
              <w:rPr>
                <w:sz w:val="20"/>
                <w:szCs w:val="20"/>
                <w:color w:val="auto"/>
              </w:rPr>
            </w:pPr>
            <w:r>
              <w:rPr>
                <w:rFonts w:ascii="Arial" w:cs="Arial" w:eastAsia="Arial" w:hAnsi="Arial"/>
                <w:sz w:val="18"/>
                <w:szCs w:val="18"/>
                <w:color w:val="auto"/>
              </w:rPr>
              <w:t>Tranche 4</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$25.00 or greater</w:t>
            </w:r>
          </w:p>
        </w:tc>
      </w:tr>
      <w:tr>
        <w:trPr>
          <w:trHeight w:val="243"/>
        </w:trPr>
        <w:tc>
          <w:tcPr>
            <w:tcW w:w="4020" w:type="dxa"/>
            <w:vAlign w:val="bottom"/>
            <w:gridSpan w:val="3"/>
          </w:tcPr>
          <w:p>
            <w:pPr>
              <w:spacing w:after="0"/>
              <w:rPr>
                <w:sz w:val="20"/>
                <w:szCs w:val="20"/>
                <w:color w:val="auto"/>
              </w:rPr>
            </w:pPr>
            <w:r>
              <w:rPr>
                <w:rFonts w:ascii="Arial" w:cs="Arial" w:eastAsia="Arial" w:hAnsi="Arial"/>
                <w:sz w:val="18"/>
                <w:szCs w:val="18"/>
                <w:color w:val="auto"/>
              </w:rPr>
              <w:t>Tranche 5</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37,500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$30.00 or greater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initial fair value of the Boll Performance Equity Award was $228 using a Monte Carlo Simulation with a three-year life, 60% volatility and a risk free interest rate of 0.77%.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the Company granted an aggregate of 34,166 RSUs to its non-employee directors valued at $270. These RSUs vest in equal quarterly installments over a one year period subject to the director’s continued service at the vesting date,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 Grant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Number of RSUs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Date 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1,276,815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RSUs granted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251,666</w:t>
            </w: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(31,458)</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RSUs cancelled/forfeit</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(9,062)</w:t>
            </w: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2015</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10"/>
              <w:spacing w:after="0" w:line="196" w:lineRule="exact"/>
              <w:rPr>
                <w:sz w:val="20"/>
                <w:szCs w:val="20"/>
                <w:color w:val="auto"/>
              </w:rPr>
            </w:pPr>
            <w:r>
              <w:rPr>
                <w:rFonts w:ascii="Arial" w:cs="Arial" w:eastAsia="Arial" w:hAnsi="Arial"/>
                <w:sz w:val="18"/>
                <w:szCs w:val="18"/>
                <w:color w:val="auto"/>
              </w:rPr>
              <w:t>F-25</w:t>
            </w:r>
          </w:p>
        </w:tc>
        <w:tc>
          <w:tcPr>
            <w:tcW w:w="1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67" w:name="page68"/>
    <w:bookmarkEnd w:id="67"/>
    <w:p>
      <w:pPr>
        <w:jc w:val="both"/>
        <w:spacing w:after="0" w:line="264" w:lineRule="auto"/>
        <w:rPr>
          <w:sz w:val="20"/>
          <w:szCs w:val="20"/>
          <w:color w:val="auto"/>
        </w:rPr>
      </w:pPr>
      <w:r>
        <w:rPr>
          <w:rFonts w:ascii="Arial" w:cs="Arial" w:eastAsia="Arial" w:hAnsi="Arial"/>
          <w:sz w:val="18"/>
          <w:szCs w:val="18"/>
          <w:color w:val="auto"/>
        </w:rPr>
        <w:t>As of December 31, 2015, the total unrecognized compensation expense related to unvested RSUs was approximately $1,153 which is expected to be recognized over a weighted-average period of 0.60 years, based on estimated vesting schedules. The stock-based compensation for RSUs was $1,671 and $1,332 during the years ended December 31,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Notes 10 and 16), underwriters and other non-employees for services rendered or to be rendered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warrants to purchase 334,819 shares of the Company’s common stock with an exercise price of $5.925 were cancelled following the expiration of their contractual term.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 summary of warrant activity during the year ended December 31, 2015 is as follows:</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Number of Shares Subject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to Warrants Outstanding</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2015</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690,944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(240,437)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Expired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(334,819)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2015</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Weighted average remaining contractual life of the outstanding warrants in years - December 31,</w:t>
            </w: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200" w:type="dxa"/>
            <w:vAlign w:val="bottom"/>
            <w:gridSpan w:val="2"/>
          </w:tcPr>
          <w:p>
            <w:pPr>
              <w:spacing w:after="0"/>
              <w:rPr>
                <w:sz w:val="20"/>
                <w:szCs w:val="20"/>
                <w:color w:val="auto"/>
              </w:rPr>
            </w:pPr>
            <w:r>
              <w:rPr>
                <w:rFonts w:ascii="Arial" w:cs="Arial" w:eastAsia="Arial" w:hAnsi="Arial"/>
                <w:sz w:val="18"/>
                <w:szCs w:val="18"/>
                <w:color w:val="auto"/>
              </w:rPr>
              <w:t>2015</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year ended December 31, 2015 was approximately $528.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warrants outstanding as of December 31, 2015 are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Warrants 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ind w:left="580"/>
              <w:spacing w:after="0"/>
              <w:rPr>
                <w:sz w:val="20"/>
                <w:szCs w:val="20"/>
                <w:color w:val="auto"/>
              </w:rPr>
            </w:pPr>
            <w:r>
              <w:rPr>
                <w:rFonts w:ascii="Arial" w:cs="Arial" w:eastAsia="Arial" w:hAnsi="Arial"/>
                <w:sz w:val="18"/>
                <w:szCs w:val="18"/>
                <w:color w:val="auto"/>
              </w:rPr>
              <w:t>Warrants Exercisable</w:t>
            </w: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7"/>
              </w:rPr>
              <w:t>Warrants</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44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0"/>
              </w:rPr>
              <w:t>Warrants</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r>
      <w:tr>
        <w:trPr>
          <w:trHeight w:val="237"/>
        </w:trPr>
        <w:tc>
          <w:tcPr>
            <w:tcW w:w="3660" w:type="dxa"/>
            <w:vAlign w:val="bottom"/>
            <w:gridSpan w:val="2"/>
          </w:tcPr>
          <w:p>
            <w:pPr>
              <w:ind w:left="1240"/>
              <w:spacing w:after="0"/>
              <w:rPr>
                <w:sz w:val="20"/>
                <w:szCs w:val="20"/>
                <w:color w:val="auto"/>
              </w:rPr>
            </w:pPr>
            <w:r>
              <w:rPr>
                <w:rFonts w:ascii="Arial" w:cs="Arial" w:eastAsia="Arial" w:hAnsi="Arial"/>
                <w:sz w:val="18"/>
                <w:szCs w:val="18"/>
                <w:color w:val="auto"/>
              </w:rPr>
              <w:t>Warrant Series</w:t>
            </w: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Issue Date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8"/>
                <w:szCs w:val="18"/>
                <w:color w:val="auto"/>
                <w:w w:val="87"/>
              </w:rPr>
              <w:t>Price</w:t>
            </w: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Notes 10 and 16)</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5/11/2015</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2/7/2013</w:t>
            </w: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55,688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55,688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2/7/2018</w:t>
            </w:r>
          </w:p>
        </w:tc>
      </w:tr>
      <w:tr>
        <w:trPr>
          <w:trHeight w:val="25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Warrants issued to investor relations consultant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7/19/2013</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r>
      <w:tr>
        <w:trPr>
          <w:trHeight w:val="217"/>
        </w:trPr>
        <w:tc>
          <w:tcPr>
            <w:tcW w:w="3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7.41</w:t>
            </w: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for warrants issued was $0 and $27 during the years ended December 31, 2015 and 2014,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r>
      <w:tr>
        <w:trPr>
          <w:trHeight w:val="230"/>
        </w:trPr>
        <w:tc>
          <w:tcPr>
            <w:tcW w:w="4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Year Ended</w:t>
            </w:r>
          </w:p>
        </w:tc>
        <w:tc>
          <w:tcPr>
            <w:tcW w:w="18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r>
      <w:tr>
        <w:trPr>
          <w:trHeight w:val="237"/>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December 31, 2015</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31, 2014</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2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2,720</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Consultants - general and administrative</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Consultants - research and development</w:t>
            </w: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1410"/>
              <w:spacing w:after="0"/>
              <w:rPr>
                <w:sz w:val="20"/>
                <w:szCs w:val="20"/>
                <w:color w:val="auto"/>
              </w:rPr>
            </w:pPr>
            <w:r>
              <w:rPr>
                <w:rFonts w:ascii="Arial" w:cs="Arial" w:eastAsia="Arial" w:hAnsi="Arial"/>
                <w:sz w:val="18"/>
                <w:szCs w:val="18"/>
                <w:color w:val="auto"/>
              </w:rPr>
              <w:t>F-26</w:t>
            </w:r>
          </w:p>
        </w:tc>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taxation in the United States, California, New Jersey, Texas and Pennsylvania. The provision for income taxes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 are summarized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18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State</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1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18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taxes for the years ended December 31, 2015 and 2014, are recorded in the general and administrative expenses line item in the accompanying consolidated statements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tax provision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December 31, 2015</w:t>
            </w:r>
          </w:p>
        </w:tc>
        <w:tc>
          <w:tcPr>
            <w:tcW w:w="3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December 31, 2014</w:t>
            </w:r>
          </w:p>
        </w:tc>
        <w:tc>
          <w:tcPr>
            <w:tcW w:w="22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2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22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net</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220" w:type="dxa"/>
            <w:vAlign w:val="bottom"/>
            <w:gridSpan w:val="2"/>
          </w:tcPr>
          <w:p>
            <w:pPr>
              <w:jc w:val="right"/>
              <w:ind w:right="70"/>
              <w:spacing w:after="0"/>
              <w:rPr>
                <w:sz w:val="20"/>
                <w:szCs w:val="20"/>
                <w:color w:val="auto"/>
              </w:rPr>
            </w:pPr>
            <w:r>
              <w:rPr>
                <w:rFonts w:ascii="Arial" w:cs="Arial" w:eastAsia="Arial" w:hAnsi="Arial"/>
                <w:sz w:val="18"/>
                <w:szCs w:val="18"/>
                <w:color w:val="auto"/>
              </w:rPr>
              <w:t>0.00%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based compensation</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on debt conversion</w:t>
            </w:r>
          </w:p>
        </w:tc>
        <w:tc>
          <w:tcPr>
            <w:tcW w:w="2220" w:type="dxa"/>
            <w:vAlign w:val="bottom"/>
            <w:gridSpan w:val="2"/>
          </w:tcPr>
          <w:p>
            <w:pPr>
              <w:jc w:val="right"/>
              <w:ind w:right="70"/>
              <w:spacing w:after="0"/>
              <w:rPr>
                <w:sz w:val="20"/>
                <w:szCs w:val="20"/>
                <w:color w:val="auto"/>
              </w:rPr>
            </w:pPr>
            <w:r>
              <w:rPr>
                <w:rFonts w:ascii="Arial" w:cs="Arial" w:eastAsia="Arial" w:hAnsi="Arial"/>
                <w:sz w:val="18"/>
                <w:szCs w:val="18"/>
                <w:color w:val="auto"/>
              </w:rPr>
              <w:t>0.00%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Valuation allowance</w:t>
            </w:r>
          </w:p>
        </w:tc>
        <w:tc>
          <w:tcPr>
            <w:tcW w:w="2220" w:type="dxa"/>
            <w:vAlign w:val="bottom"/>
            <w:gridSpan w:val="2"/>
          </w:tcPr>
          <w:p>
            <w:pPr>
              <w:jc w:val="right"/>
              <w:ind w:right="10"/>
              <w:spacing w:after="0"/>
              <w:rPr>
                <w:sz w:val="20"/>
                <w:szCs w:val="20"/>
                <w:color w:val="auto"/>
              </w:rPr>
            </w:pPr>
            <w:r>
              <w:rPr>
                <w:rFonts w:ascii="Arial" w:cs="Arial" w:eastAsia="Arial" w:hAnsi="Arial"/>
                <w:sz w:val="18"/>
                <w:szCs w:val="18"/>
                <w:color w:val="auto"/>
              </w:rPr>
              <w:t>(32.62)%</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(32.76)%</w:t>
            </w:r>
          </w:p>
        </w:tc>
      </w:tr>
      <w:tr>
        <w:trPr>
          <w:trHeight w:val="23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59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December 31,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December 31, 2014</w:t>
            </w:r>
          </w:p>
        </w:tc>
        <w:tc>
          <w:tcPr>
            <w:tcW w:w="1140" w:type="dxa"/>
            <w:vAlign w:val="bottom"/>
          </w:tcPr>
          <w:p>
            <w:pPr>
              <w:spacing w:after="0"/>
              <w:rPr>
                <w:sz w:val="20"/>
                <w:szCs w:val="20"/>
                <w:color w:val="auto"/>
              </w:rPr>
            </w:pP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NOL’s</w:t>
            </w:r>
          </w:p>
        </w:tc>
        <w:tc>
          <w:tcPr>
            <w:tcW w:w="1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15,099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10,923</w:t>
            </w:r>
          </w:p>
        </w:tc>
        <w:tc>
          <w:tcPr>
            <w:tcW w:w="114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credits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1140" w:type="dxa"/>
            <w:vAlign w:val="bottom"/>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2,646</w:t>
            </w:r>
          </w:p>
        </w:tc>
        <w:tc>
          <w:tcPr>
            <w:tcW w:w="114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Park stock purchase identifiable intangibles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4440" w:type="dxa"/>
            <w:vAlign w:val="bottom"/>
          </w:tcPr>
          <w:p>
            <w:pPr>
              <w:ind w:left="180"/>
              <w:spacing w:after="0"/>
              <w:rPr>
                <w:sz w:val="20"/>
                <w:szCs w:val="20"/>
                <w:color w:val="auto"/>
              </w:rPr>
            </w:pPr>
            <w:r>
              <w:rPr>
                <w:rFonts w:ascii="Arial" w:cs="Arial" w:eastAsia="Arial" w:hAnsi="Arial"/>
                <w:sz w:val="18"/>
                <w:szCs w:val="18"/>
                <w:color w:val="auto"/>
              </w:rPr>
              <w:t>Unrealized gain or loss on investments</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6"/>
        </w:trPr>
        <w:tc>
          <w:tcPr>
            <w:tcW w:w="4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deferred tax assets</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4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Valuation allowance</w:t>
            </w:r>
          </w:p>
        </w:tc>
        <w:tc>
          <w:tcPr>
            <w:tcW w:w="1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(14,183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r>
      <w:tr>
        <w:trPr>
          <w:trHeight w:val="23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4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18"/>
                <w:szCs w:val="18"/>
                <w:color w:val="auto"/>
              </w:rPr>
              <w:t>F-27</w:t>
            </w: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$4,900 and $3,900 in 2015 and 2014,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the Company had net operating loss carryforwards for federal income tax purposes of approximately $38,289 which expire beginning in the year 2027 and federal research and development tax credits of approximately $354 which expire beginning in the year 2026. As of December 31, 2015, the Company had net operating loss carryforwards for state income tax purposes of approximately $35,114 which expire beginning in the year 2017 and state research and development tax credits of approximately $305 which do not expire.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deferred tax asset at December 31, 2015 does not include approximately $1,030 and $1,030 of excess tax benefits from employee stock option exercises and RSU vests that are a component of the federal and California net operating loss carryover, respectively. The Company’s stockholders’ equity balance will be increased if and when such excess tax benefits are ultimately realized.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any unrecognized tax benefits as of December 31, 2015 and 2014, all of which is offset by a full valuation allowance. These unrecognized tax benefits, if recognized, would not affect the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SAVINGS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$146 and $56 to the plan during the years ended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capital leases with an interest rate of 4.25% per annum. At December 31, 2015, future payments under the Company’s capital leases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ending December 31, 2015</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the equipment under capital leases as of December 31, 2015 and 2014 was $60 and $53, respectively, with related accumulated depreciation of $28 and $9,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2014, the Company entered into a lease agreement for 7,565 square feet of office space that commenced on September 1, 2014 and continues until October 31, 2018. Monthly rent began on September 1, 2014 in the amount of $20,426, with a 3% increase in the base rent amount on an annual basis. The lease agreement allows for the monthly rent amount to be abated for two months at various times during the lease agreement.</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January 2015, the Company entered into a commercial lease agreement, for the lease to Park of approximately 4,500 square feet of laboratory and office space. The monthly rent amount is $10 and includes annual increases of approximately 3%. The current lease term expires on December 31, 2020.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Company entered into a lease agreement for approximately 8,602 square feet of laboratory, warehouse and office space in Roxbury, New Jersey. The current lease term expires on July 31, 2022. The monthly rent amount is $10 and includes annual increases of approximately 3.75%, and the lease allows for the first five months of rent amounts to be abated. This facility is currently undergoing construction to serve as an outsourcing facility and pharmacy.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color w:val="auto"/>
        </w:rPr>
        <w:t>In August 2015, the Company entered into a lease agreement for approximately 1,100 square feet of laboratory, warehouse and office space in Allen, Texas. The lease term expired on April 30, 2016, and subsequent to December 31, 2015 the lease was extended through October 31, 2019. The monthly rent amount is $3 and includes annual increases of approximately 2%.</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Rent expense for the years ended December 31, 2015 and 2014 was $641 and $306, respectively. The following represents future annual minimum lease payments, net of expected sublease income, as of December 31,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r>
      <w:tr>
        <w:trPr>
          <w:trHeight w:val="230"/>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 the plaintiff, filed civil action with the San Diego Superior Court against Urigen Pharmaceuticals, Inc. (“Urigen”), wherein the Company outlined serious concerns regarding material failures and inaccuracies of the representation and warranties provided by Urigen in the Urigen License Agreement (defined below), which have affected the Company’s ability to realize the expected benefit of the Urigen License Agreement. Urigen, as the defendant, has yet to file any responsive pleading to the case and the case is at a preliminary stage. Management believes the outcome of this claim may have a material effect on the Company’s consolidated financial position and results of operations, although such amount cannot be reasonably estimated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Urigen License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24, 2014 (the “Urigen Effective Date”), the Company entered into a license agreement (the “Urigen License”) with Urigen, pursuant to which Urigen granted to the Company a license under certain U.S. patents and patent applications to develop and sell in the U.S. Urigen’s URG101 product (“HLA”), a heparin and alkalinized lidocaine compounded formulation, for the prevention or treatment of disorders of the lower urinary tract.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consideration for the license granted under the Urigen License, the Company agreed to pay Urigen annual tiered royalties based on sales of HLA, subject to certain minimum annual royalty payments. The annual tiered royalties consist of the greater of (i) $0.50 per dose (dollar amount not presented in thousands), and (ii) 15%-20% of the Company’s net sales of HLA, with the royalty amount within such range depending on the Company’s aggregate sales of HLA during the period to which the royalty payment applies. The minimum annual royalty payment consists of (a) for the 2015 calendar year, the greater of</w:t>
      </w:r>
    </w:p>
    <w:p>
      <w:pPr>
        <w:spacing w:after="0" w:line="2" w:lineRule="exact"/>
        <w:rPr>
          <w:sz w:val="20"/>
          <w:szCs w:val="20"/>
          <w:color w:val="auto"/>
        </w:rPr>
      </w:pPr>
    </w:p>
    <w:p>
      <w:pPr>
        <w:jc w:val="both"/>
        <w:ind w:firstLine="8"/>
        <w:spacing w:after="0" w:line="268"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110% of the aggregate royalties paid to Urigen under the Existing Sublicenses during the preceding 12 months, on a prorated basis, and (ii) $800, less the aggregate royalties paid to Urigen under the Existing Sublicenses during the 2015 calendar year, and (b) for each calendar year thereafter, 110% of the aggregate amount owed by the Company to Urigen under the Urigen License during the prior calendar year. The Company is obligated to pay such royalties beginning with its first commercial sale of HLA and continuing until the expiration of the patents subject to the license granted under the Urigen License. The Company has also agreed to use commercially reasonable efforts to develop and commercialize HLA according to the terms of a diligence plan agreed to by the parties, which efforts will include, without limitation, the Company’s investment of $2,000 in commercialization efforts of HLA, which investment and timeline can be adjusted dependent on market circumstances, and is expected to be incurred over 18-24 months following the Urigen Effective Date. The Company has accrued an amount based on the terms of the agreement related to the minimum annual royalty.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jc w:val="both"/>
        <w:spacing w:after="0" w:line="270" w:lineRule="auto"/>
        <w:rPr>
          <w:sz w:val="20"/>
          <w:szCs w:val="20"/>
          <w:color w:val="auto"/>
        </w:rPr>
      </w:pPr>
      <w:r>
        <w:rPr>
          <w:rFonts w:ascii="Arial" w:cs="Arial" w:eastAsia="Arial" w:hAnsi="Arial"/>
          <w:sz w:val="17"/>
          <w:szCs w:val="17"/>
          <w:color w:val="auto"/>
        </w:rPr>
        <w:t>The Urigen License was non-exclusive until April 24, 2015, when the Company exercised its option to convert the non-exclusive license to an exclusive license for the remaining term of the Urigen License. Legacy sublicensees, who previously had non-exclusive licensed rights to compound and sell HLA (the “Existing Sub-licensees”), were provided written notice of the Company’s intent to terminate those non-exclusive license agreements, on or about April 24, 2015. Over the following 60 to 90 days (the “Transition Period”) the Company entered into agreements with the Existing Sub-licensees to transfer existing refill prescriptions to the Company’s wholly owned pharmacies. These agreements required various one-time payments and limited future payments related to transferred prescriptions. Urigen agreed that any revenue received from the Existing Sub-licensees from HLA sales that are consistent with their respective agreements with Urigen, will be retained by the Company (without any related royalty obligation to Urigen). Beginning on April 24, 2015, the Company was due royalty payments on any HLA prescriptions filled by Existing Sub-licensees during the Transition Period and any additional period the sublicenses filled prescriptions for HLA. During the year ended December 31, 2015, the Company recognized $51 in royalty revenues related to HLA prescriptions filled by the Existing Sub-licensees.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terminates upon the first commercial sale of HLA by Urigen, its affiliates, or a third party after the U.S. Food and Drug Administration (the “FDA”) grants Urigen approval to market HLA in the U.S., if market approval is granted. The Company shall have the option, at its discretion, to become a non-exclusive distributor of HLA following the FDA grants Urigen such market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Commission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21, 2015, the Company entered into a Commission Agreement (the “PCCA Commission Agreement) with Professional Compounding Centers of America, Inc. (“PCCA”). The PCCA Commission Agreement replaces a Strategic Alliance Agreement (the “PCCA Strategic Alliance Agreement”) entered into on February 18, 2013 and a License Agreement (the “PCCA License Agreement) entered into on August 30, 2012, in each case between the Company and PCCA. Upon the execution of the PCCA Commission Agreement, the Company and PCCA mutually agreed to terminate the PCCA Strategic Alliance Agreement and PCCA License Agreement. No amounts were due or paid under either the PCCA Strategic Alliance Agreement or PCCA License Agreement.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PCCA has previously introduced to the Company certain PCCA members, which led to the Company’s acquisition of certain intellectual property (the “PCCA Member IP”) from such PCCA members. Under the terms of the PCCA Strategic Alliance Agreement, PCCA had the right to receive certain commissions based on the Company’s net sales, if any, of any products utilizing the PCCA Member IP. The primary purpose of the PCCA Commission Agreement is to specifically identify the PCCA Member IP subject to this arrangement and to revise the terms and the amount of the commission payments. As a result, pursuant to the terms of the PCCA Commission Agreement, PCCA continues to hold its right to receive commissions based on the Company’s net sales, if any, of any products utilizing the PCCA Member IP. No commission amounts were paid or accrued under this agreement for the year ended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No royalty amounts were paid or accrued under these agreements during the years ended December 31, 2015 and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15.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categorizes revenues by geographic area based on selling location. All operations are currently located in the United States; therefore, total revenues for 2015 and 2014 are attributed to the United States. All long-lived assets at December 31, 2015 and 2014 are located in the United States.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No single customer contributed 10% or more of the Company’s total pharmacy sales in the years ended December 31, 2015 and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43% and 84% of drug and chemical purchases during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2015 through the filing date of this Annual Report on Form 10-K (the “Annual Report”). Based on its evaluation, nothing other than the events described below needs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LSAF Note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22, 2016, the Company entered into a note purchase agreement (the “NPA”) with, and issued an 8.00% Convertible Senior Secured Note in the principal amount of $3,000 (the “LSAF Note”) to, LSAF. Pursuant to the terms of the NPA, on the date thereof, the Company issued the LSAF Note to LSAF and, as consideration therefor, LSAF paid the Company in cash the full principal amount of the LSAF Note.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LSAF Note, the Company is obligated to pay interest on the principal amount of the LSAF Note monthly in cash at a fixed per-annum rate of 8.00%, and the Company is obligated to repay the full principal amount of the LSAF Note in cash on May 11, 2021. The Company is permitted to redeem the LSAF Note prior to its maturity at any time on or after March 1, 2018 for cash purchase prices equal to 109% - 105% of the outstanding principal amount of the LSAF Note, depending on the date of redemption. The LSAF Note is convertible by the holder at any time into 169.4915 shares of the Company’s common stock, per $1 outstanding principal amount of the LSAF Note, subject to anti-dilution adjustment upon the Company’s first equity financing while the LSAF Note is outstanding in which it receives gross proceeds of at least $3,000, if such equity financing is completed at a per share price that is less than the conversion rate of the LSAF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LSAF, to repurchase the LSAF Note in cash for the greater of 105% of the outstanding principal amount of the LSAF Note or the value of the shares of common stock issuable upon conversion of the LSAF Note.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and concurrently with the execution of the NPA and the issuance of the LSAF Note, the Company and LSAF also entered into an amendment (the “Loan Agreement Amendment”) to the Loan Agreement (See Note 10). The Loan Agreement Amendment modifies the terms of the Loan Agreement in order to eliminate the potential borrowing of a second term loan thereunder and to permit the Company to issue the LSAF Note. Additionally, the Company and LSAF entered into an amendment (the “Warrant Amendment”) to the Warrant that was issued to LSAF in connection with the Loan Agreement. The Warrant Amendment modifies the terms of the Warrant in order to reduce the exercise price thereof to $5.90, which is consistent with the initial conversion rate of the LSAF Note, and to add an anti-dilution adjustment provision that is consistent with the same such provision in the LSAF Note.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jc w:val="both"/>
        <w:spacing w:after="0" w:line="312" w:lineRule="auto"/>
        <w:rPr>
          <w:sz w:val="20"/>
          <w:szCs w:val="20"/>
          <w:color w:val="auto"/>
        </w:rPr>
      </w:pPr>
      <w:r>
        <w:rPr>
          <w:rFonts w:ascii="Arial" w:cs="Arial" w:eastAsia="Arial" w:hAnsi="Arial"/>
          <w:sz w:val="16"/>
          <w:szCs w:val="16"/>
          <w:color w:val="auto"/>
        </w:rPr>
        <w:t>On March 16, 2016, upon the closing of the Offering (as defined and described below), and pursuant to the anti-dilution adjustment provisions of the LSAF Note and the Warrant, the conversion rate of the LSAF Note was adjusted so that the note is convertible by the holder at any time into 277.77 shares of the Company’s common stock, per $1 outstanding principal amount of the LSAF Note, and the exercise price of the Warrant was adjusted to $3.60 per share.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Exercises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the Company issued 15,000 shares of common stock as a result of option exercises. The Company received $55 in cash proceeds for the issuance of the shares of common stock upon the exercise on a cash basis of stock options to purchase 15,000 shares of common stock with an exercise price of $3.68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of Common Stock</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11, 2016, the Company entered into an Underwriting Agreement (the “Underwriting Agreement”) with National Securities Corporation (the “Representative”), as the representative of the several underwriters named therein (collectively, the “Underwriters”), pursuant to which the Company agreed to sell to the Underwriters, and the Underwriters agreed, severally and not jointly, to purchase from the Company, in a firm-commitment public offering (the “Offering”), 2,900,000 shares of the Company’s common stock and up to an additional 435,000 shares of the Company’s common stock within 45 days from the date of the Underwriting Agreement to cover over-allotments, if any. Pursuant to the terms of the Underwriting Agreement, the Underwriters purchased the shares of common stock from the Company at a price of $3.348 per share, and the Underwriters sold the shares of Common Stock to the public at a public offering price of $3.60 per share. The Offering, including the Underwriters’ exercise of the over-allotment option, closed on March 16, 2016. Upon the closing of the Offering, the Company received net proceeds of approximately $11,100, after deducting the underwriting discount and the estimated offering expenses payable by the Company. The Company intends to use the net proceeds from the Offering for working capital and general corporate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16, 2016, in connection with the Offering, the Company reduced the amount available for sale pursuant to the Sales Agreement with Cantor Fitzgerald to shares of its common stock having an aggregate offering price of $2,625, leaving an aggregate of $2,100 available for future sales of shares thereunder as of March 23,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8"/>
        </w:trPr>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Borders>
              <w:bottom w:val="single" w:sz="8" w:color="auto"/>
            </w:tcBorders>
          </w:tcPr>
          <w:p>
            <w:pPr>
              <w:spacing w:after="0"/>
              <w:rPr>
                <w:sz w:val="4"/>
                <w:szCs w:val="4"/>
                <w:color w:val="auto"/>
              </w:rPr>
            </w:pP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Agreement and Plan of Merger, dated as of September 17, 2007, by and among Imprimis Pharmaceuticals, Inc., Transdel Pharmaceuticals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Holdings, Inc. and Trans-Pharma Acquisition Corp. Incorporation (incorporated herein by reference to Exhibit 2.1 to the Current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September 21, 2007)</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Membership Interest Purchase Agreement, dated February 10, 2014, among John Scott Karolchyk and Bernard Covalesky and Imprimis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Pharmaceuticals, Inc. (incorporated herein by reference to Exhibit 2.1 to the Current Report on Form 8-K of Imprimis Pharmaceuticals, Inc.</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February 11, 2014)</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Stock Purchase Agreement, dated as of November 26, 2014, by and between Imprimis Pharmaceuticals, Inc., and Dennis Saadeh and Tina</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Sulic-Saadeh (incorporated herein by reference to Exhibit 2.1 to the Current Report on Form 8-K of Imprimis Pharmaceuticals, Inc. filed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2, 2014)</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Stock Purchase Agreement, effective as of July 10, 2015, by and between Imprimis Pharmaceuticals, Inc. and Jonathan Nguyen and Julie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Trinh, to acquire all of the outstanding capital stock of JT Pharmacy, Inc. D/B/A Central Allen Pharmacy and completed on August 4, 2015</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(incorporated herein by reference to Exhibit 10.4 to the Quarterly Report on Form 10-Q of Imprimis Pharmaceuticals, Inc. filed with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Securities and Exchange Commission on August 12, 2015)</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as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Incorporation effective February 28, 2012, as further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Incorporation effective February 7, 2013, and as further amended by the Certificate of Amendment to Amended and Restated Certificate of</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Incorporation effective September 10, 2014</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Amended and Restated Bylaws of Imprimis Pharmaceuticals, Inc. (incorporated herein by reference to Exhibit 3.2 to the Annual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March 28, 2014)</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Certificate of Designation of Series A Convertible Preferred Stock of Imprimis Pharmaceuticals, Inc. (incorporated herein by reference to</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Exhibit 3.1 to the Current Report on Form 8-K of Imprimis Pharmaceuticals, Inc. filed with the Securities and Exchange Commission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December 20, 2011)</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Form of Directors and Officers Indemnification Agreement (incorporated herein by reference to Exhibit 10.8 to the Current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8-K of Imprimis Pharmaceuticals, Inc. filed with the Securities and Exchange Commission on September 21, 2007)</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Imprimis Pharmaceuticals, Inc. Amended and Restated 2007 Stock Incentive and Awards Plan (incorporated herein by reference to Exhibit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10.3 to the Quarterly Report on Form 10-Q of Imprimis Pharmaceuticals, Inc. filed with the Securities and Exchange Commission on May 8,</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2013)</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Amendment No. 1 to Imprimis Pharmaceuticals, Inc. Amended and Restated 2007 Incentive Stock and Awards Plan (incorporated herein by</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reference to Exhibit 10.3 to the Quarterly Report on Form 10-Q of Imprimis Pharmaceuticals, Inc. filed with the Securities and Exchange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Commission on November 6, 2013)</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Form of Incentive Stock Option Agreement (incorporated herein by reference to Exhibit 10.12 to the Current Report on Form 8-K of</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Form of Non-Qualified Stock Option Agreement (incorporated herein by reference to Exhibit 10.13 to the Current Report on Form 8-K of</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Form of Restricted Stock Unit Agreement (incorporated herein by reference to Exhibit 10.4 to the Quarterly Report on Form 10-Q of</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May 8, 2013)</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Form of Warrant dated as of April 25, 2012 (incorporated by reference to Exhibit 10.2 to the Company’s Current Report on 8-K filed with</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 Securities and Exchange Commission on April 27, 2012)</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Stand-alone Restricted Stock Unit Agreement, dated July 18, 2012, granted by Imprimis Pharmaceuticals, Inc. to Mark L. Baum</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(incorporated herein by reference to Exhibit 10.40 to the Company’s Registration Statement on Form S-1 (File No. 333-182846) filed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July 25, 2012)</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6"/>
              </w:rPr>
              <w:t>Stand-alone Restricted Stock Unit Agreement, dated July 18, 2012, granted by Imprimis Pharmaceuticals, Inc. to Robert J. Kammer</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(incorporated herein by reference to Exhibit 10.41 to the Company’s Registration Statement on Form S-1 (File No. 333-182846) filed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July 25, 2012)</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License Agreement, dated as of August 30, 2012, by and between Imprimis Pharmaceuticals, Inc. and Professional Compounding Centers of</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America, Inc. (incorporated herein by reference to Exhibit 10.1 to the Current Report on Form 8-K of Imprimis Pharmaceuticals, Inc. filed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with the Securities and Exchange Commission on August 31, 2012)</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Form of Underwriter’s Warrant (incorporated herein by reference to Exhibit 10.41 to the Company’s Registration Statement on Form S-1</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(File No. 333-182846) filed on October 26, 2012)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Strategic Alliance Agreement, dated February 18, 2013, by and between Imprimis Pharmaceuticals, Inc. and Professional Compounding</w:t>
            </w:r>
          </w:p>
        </w:tc>
      </w:tr>
    </w:tbl>
    <w:p>
      <w:pPr>
        <w:sectPr>
          <w:pgSz w:w="11900" w:h="16838" w:orient="portrait"/>
          <w:cols w:equalWidth="0" w:num="1">
            <w:col w:w="11420"/>
          </w:cols>
          <w:pgMar w:left="240" w:top="661"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Centers of America, Inc. (incorporated herein by reference to Exhibit 10.1 to the Current Report on Form 8-K of Imprimis Pharmaceuticals,</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 filed with the Securities and Exchange Commission on February 21, 2013)</w:t>
            </w:r>
          </w:p>
        </w:tc>
      </w:tr>
      <w:tr>
        <w:trPr>
          <w:trHeight w:val="445"/>
        </w:trPr>
        <w:tc>
          <w:tcPr>
            <w:tcW w:w="880" w:type="dxa"/>
            <w:vAlign w:val="bottom"/>
          </w:tcPr>
          <w:p>
            <w:pPr>
              <w:jc w:val="right"/>
              <w:ind w:right="290"/>
              <w:spacing w:after="0"/>
              <w:rPr>
                <w:sz w:val="20"/>
                <w:szCs w:val="20"/>
                <w:color w:val="auto"/>
              </w:rPr>
            </w:pPr>
            <w:r>
              <w:rPr>
                <w:rFonts w:ascii="Arial" w:cs="Arial" w:eastAsia="Arial" w:hAnsi="Arial"/>
                <w:sz w:val="18"/>
                <w:szCs w:val="18"/>
                <w:color w:val="auto"/>
                <w:w w:val="87"/>
              </w:rPr>
              <w:t>10.13#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Employment Agreement, dated May 2, 2013, by and between Imprimis Pharmaceuticals, Inc. and Mark L. Baum</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herein by reference to Exhibit 10.2 to the Quarterly Report on Form 10-Q of Imprimis Pharmaceuticals, Inc. filed with the</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Securities and Exchange Commission on May 8, 2013)</w:t>
            </w:r>
          </w:p>
        </w:tc>
      </w:tr>
      <w:tr>
        <w:trPr>
          <w:trHeight w:val="439"/>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472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Performance Stock Units Agreement, dated May 2, 2013, by and between Imprimis Pharmaceuticals, Inc. and Mark L. Baum (incorporated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herein by reference to Exhibit 10.4 to the Quarterly Report on Form 10-Q of Imprimis Pharmaceuticals, Inc. filed with the Securities and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Exchange Commission on August 14, 2013)</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Asset Purchase Agreement, dated June 11, 2013, by and between Imprimis Pharmaceuticals, Inc. and Buderer Drug Company, Inc.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herein by reference to Exhibit 10.5 to the Quarterly Report on Form 10-Q of Imprimis Pharmaceuticals, Inc. filed with the</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Securities and Exchange Commission on August 14, 2013)</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Asset Purchase Agreement, dated August 8, 2013, by and among Imprimis Pharmaceuticals, Inc., Novel Drug Solutions, LLC and Eye Care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Northwest, PA (incorporated herein by reference to Exhibit 10.1 to the Quarterly Report on Form 10-Q of Imprimis Pharmaceuticals, Inc.</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with the Securities and Exchange Commission on November 6, 2013)</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Amendment to Asset Purchase Agreement, dated as of October 14, 2013, by and among Imprimis Pharmaceuticals, Inc., Novel Drug</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Solutions, LLC and EyeCare Northwest, PA (incorporated herein by reference to Exhibit 10.2 to the Quarterly Report on Form 10-Q of</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Imprimis Pharmaceuticals, Inc. filed with the Securities and Exchange Commission on November 6, 2013)</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Asset Purchase Agreement, dated October 8, 2013, by and between Imprimis Pharmaceuticals, Inc. and Novel Drug Solutions,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(incorporated herein by reference to Exhibit 10.27 to the Annual Report on Form 10-K of Imprimis Pharmaceuticals, Inc. filed with the</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Securities and Exchange Commission on March 28,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to Asset Purchase Agreement, dated as of October 21, 2013, by and between Imprimis Pharmaceuticals, Inc. and Buderer Drug</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Company, Inc. (incorporated herein by reference to Exhibit 10.28 to the Annual Report on Form 10-K of Imprimis Pharmaceuticals, Inc.</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with the Securities and Exchange Commission on March 28,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Amendment to Asset Purchase Agreement, dated as of October 21, 2013, by and between Imprimis Pharmaceuticals, Inc. and Novel Drug</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Solutions, LLC and EyeCare Northwest, PA (incorporated herein by reference to Exhibit 10.29 to the Annual Report on Form 10-K of</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Imprimis Pharmaceuticals, Inc. filed with the Securities and Exchange Commission on March 28,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License Agreement, dated as of October 24, 2014, by and between Imprimis Pharmaceuticals, Inc. and Urigen Pharmaceuticals, Inc.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(incorporated herein by reference to Exhibit 10.1 to the Current Report on Form 8-K of Imprimis Pharmaceuticals, Inc. filed with the</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Securities and Exchange Commission on October 29, 2014)</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Amended and Restated Employment Agreement, effective as of February 1, 2015, by and between Imprimis Pharmaceuticals, Inc.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Andrew R. Boll (incorporated herein by reference to Exhibit 10.1 to the Current Report on Form 8-K of Imprimis Pharmaceuticals, Inc. filed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with the Securities and Exchange Commission on February 2, 2015)</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Performance Stock Units Award Agreement, effective as of February 1, 2015, by and between Imprimis Pharmaceuticals, Inc. and Andrew</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R. Boll (incorporated herein by reference to Exhibit 10.2 to the Current Report on Form 8-K of Imprimis Pharmaceuticals, Inc. filed with the</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Securities and Exchange Commission on February 2, 2015)</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9"/>
              </w:rPr>
              <w:t>Employment Agreement, effective as of February 1, 2015, by and between Imprimis Pharmaceuticals, Inc. and John P. Saharek</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(incorporated herein by reference to Exhibit 10.3 to the Current Report on Form 8-K of Imprimis Pharmaceuticals, Inc. filed with the</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Securities and Exchange Commission on February 2, 2015)</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Warrant to Purchase Stock, dated May 11, 2015, issued by Imprimis Pharmaceuticals, Inc. (incorporated herein by reference to Exhibit 10.2</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to the Current Report on Form 8-Kof Imprimis Pharmaceuticals, Inc. filed with the Securities and Exchange Commission on May 12, 2015)</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Loan and Security Agreement, dated May 11, 2015, by and between Imprimis Pharmaceuticals and IMMY Funding LLC. (incorporated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herein by reference to Exhibit 10.1 to the Current Report on Form 8-Kof Imprimis Pharmaceuticals, Inc. filed with the Securities and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Exchange Commission on May 12, 2015)</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License Agreement dated as of August 11, 2015, between Imprimis Pharmaceuticals, Inc. and Advance Dosage Forms, Inc. and John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DiGenova (incorporated herein by reference to Exhibit 10.1 to the Current Report on Form 8-K of Imprimis Pharmaceuticals, Inc. filed with</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Securities and Exchange Commission on August 12, 2015)</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Asset Purchase Agreement originally dated September 23, 2015 and subsequently amended on October 15, 2015, between ImprimisRx PA,</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 (“ImprimisRx PA”), a Delaware corporation and a wholly-owned subsidiary of Imprimis Pharmaceuticals, Inc. and Thousand Oaks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Holding Company, a Delaware corporation, and its wholly owned subsidiaries Topical Apothecary Group, LLC, a Pennsylvania limited</w:t>
            </w:r>
          </w:p>
        </w:tc>
      </w:tr>
      <w:tr>
        <w:trPr>
          <w:trHeight w:val="230"/>
        </w:trPr>
        <w:tc>
          <w:tcPr>
            <w:tcW w:w="880" w:type="dxa"/>
            <w:vAlign w:val="bottom"/>
          </w:tcPr>
          <w:p>
            <w:pPr>
              <w:spacing w:after="0"/>
              <w:rPr>
                <w:sz w:val="20"/>
                <w:szCs w:val="20"/>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liability company and owner and operator of TAG Pharmacy, a licensed pharmacy in Folcroft, PA; Aerosol Science Laboratories, Inc., a</w:t>
            </w:r>
          </w:p>
        </w:tc>
      </w:tr>
    </w:tbl>
    <w:p>
      <w:pPr>
        <w:jc w:val="both"/>
        <w:ind w:left="1260"/>
        <w:spacing w:after="0" w:line="254" w:lineRule="auto"/>
        <w:rPr>
          <w:sz w:val="20"/>
          <w:szCs w:val="20"/>
          <w:color w:val="auto"/>
        </w:rPr>
      </w:pPr>
      <w:r>
        <w:rPr>
          <w:rFonts w:ascii="Arial" w:cs="Arial" w:eastAsia="Arial" w:hAnsi="Arial"/>
          <w:sz w:val="18"/>
          <w:szCs w:val="18"/>
          <w:color w:val="auto"/>
        </w:rPr>
        <w:t>California corporation and former operator of ASL Pharmacy; SinuTopic, Inc., a Delaware corporation and former operator of Sinus Dynamics Pharmacy; and Mycotoxins, LLC, a California limited liability company (incorporated herein by reference to Exhibit 10.1 to the Quarterly Report on Form 10-Q of Imprimis Pharmaceuticals, Inc. filed with the Securities and Exchange Commission on November 12, 2015)</w:t>
      </w:r>
    </w:p>
    <w:p>
      <w:pPr>
        <w:sectPr>
          <w:pgSz w:w="11900" w:h="16838" w:orient="portrait"/>
          <w:cols w:equalWidth="0" w:num="1">
            <w:col w:w="11420"/>
          </w:cols>
          <w:pgMar w:left="240" w:top="692" w:right="239" w:bottom="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10.30*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dated November 27, 2015, by and between Imprimis Pharmaceuticals, Inc. and Cantor Fitzgerald &amp; Co (incorporated herein by reference to Exhibit 1.1 to the Current Report on Form 8-K of Imprimis Pharmaceuticals, Inc. filed with the Securities and Exchange Commission on November 27, 2015)</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PCCA Commission Agreement, dated December 21, 2015, by and between Imprimis Pharmaceuticals, Inc. and Professional Compounding Centers of America, Inc.</w:t>
      </w:r>
    </w:p>
    <w:p>
      <w:pPr>
        <w:sectPr>
          <w:pgSz w:w="11900" w:h="16838" w:orient="portrait"/>
          <w:cols w:equalWidth="0" w:num="2">
            <w:col w:w="540" w:space="720"/>
            <w:col w:w="10160"/>
          </w:cols>
          <w:pgMar w:left="240" w:top="692" w:right="239" w:bottom="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10.31</w:t>
            </w:r>
          </w:p>
        </w:tc>
        <w:tc>
          <w:tcPr>
            <w:tcW w:w="10400" w:type="dxa"/>
            <w:vAlign w:val="bottom"/>
          </w:tcPr>
          <w:p>
            <w:pPr>
              <w:ind w:left="240"/>
              <w:spacing w:after="0"/>
              <w:rPr>
                <w:sz w:val="20"/>
                <w:szCs w:val="20"/>
                <w:color w:val="auto"/>
              </w:rPr>
            </w:pPr>
            <w:r>
              <w:rPr>
                <w:rFonts w:ascii="Arial" w:cs="Arial" w:eastAsia="Arial" w:hAnsi="Arial"/>
                <w:sz w:val="18"/>
                <w:szCs w:val="18"/>
                <w:color w:val="auto"/>
                <w:w w:val="91"/>
              </w:rPr>
              <w:t>8.00% Convertible Senior Secured Note issued on January 22, 2016 by Imprimis Pharmaceuticals, Inc. (incorporated herein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3"/>
              </w:rPr>
              <w:t>Exhibit 10.1 to the Current Report on Form 8-K of Imprimis Pharmaceuticals, Inc. filed with the Securities and Exchange Commission on</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January 25, 2016)</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10.32</w:t>
            </w:r>
          </w:p>
        </w:tc>
        <w:tc>
          <w:tcPr>
            <w:tcW w:w="10400" w:type="dxa"/>
            <w:vAlign w:val="bottom"/>
          </w:tcPr>
          <w:p>
            <w:pPr>
              <w:ind w:left="240"/>
              <w:spacing w:after="0"/>
              <w:rPr>
                <w:sz w:val="20"/>
                <w:szCs w:val="20"/>
                <w:color w:val="auto"/>
              </w:rPr>
            </w:pPr>
            <w:r>
              <w:rPr>
                <w:rFonts w:ascii="Arial" w:cs="Arial" w:eastAsia="Arial" w:hAnsi="Arial"/>
                <w:sz w:val="18"/>
                <w:szCs w:val="18"/>
                <w:color w:val="auto"/>
                <w:w w:val="92"/>
              </w:rPr>
              <w:t>Note Purchase Agreement dated January 22, 2016 between Imprimis Pharmaceuticals, Inc. and IMMY Funding LLC (incorporated herein</w:t>
            </w:r>
          </w:p>
        </w:tc>
      </w:tr>
      <w:tr>
        <w:trPr>
          <w:trHeight w:val="216"/>
        </w:trPr>
        <w:tc>
          <w:tcPr>
            <w:tcW w:w="10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4"/>
              </w:rPr>
              <w:t>by reference to Exhibit 10.2 to the Current Report on Form 8-K of Imprimis Pharmaceuticals, Inc. filed with the Securities and Exchange</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Commission on January 25, 2016)</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10.33</w:t>
            </w:r>
          </w:p>
        </w:tc>
        <w:tc>
          <w:tcPr>
            <w:tcW w:w="10400" w:type="dxa"/>
            <w:vAlign w:val="bottom"/>
          </w:tcPr>
          <w:p>
            <w:pPr>
              <w:ind w:left="240"/>
              <w:spacing w:after="0"/>
              <w:rPr>
                <w:sz w:val="20"/>
                <w:szCs w:val="20"/>
                <w:color w:val="auto"/>
              </w:rPr>
            </w:pPr>
            <w:r>
              <w:rPr>
                <w:rFonts w:ascii="Arial" w:cs="Arial" w:eastAsia="Arial" w:hAnsi="Arial"/>
                <w:sz w:val="18"/>
                <w:szCs w:val="18"/>
                <w:color w:val="auto"/>
                <w:w w:val="92"/>
              </w:rPr>
              <w:t>Second Amendment to Loan and Security Agreement dated January 22, 2016 between Imprimis Pharmaceuticals, Inc. and IMMY Funding</w:t>
            </w:r>
          </w:p>
        </w:tc>
      </w:tr>
      <w:tr>
        <w:trPr>
          <w:trHeight w:val="216"/>
        </w:trPr>
        <w:tc>
          <w:tcPr>
            <w:tcW w:w="10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4"/>
              </w:rPr>
              <w:t>LLC (incorporated herein by reference to Exhibit 10.3 to the Current Report on Form 8-K of Imprimis Pharmaceuticals, Inc. filed with the</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Securities and Exchange Commission on January 25, 2016)</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10.33</w:t>
            </w:r>
          </w:p>
        </w:tc>
        <w:tc>
          <w:tcPr>
            <w:tcW w:w="10400" w:type="dxa"/>
            <w:vAlign w:val="bottom"/>
          </w:tcPr>
          <w:p>
            <w:pPr>
              <w:ind w:left="240"/>
              <w:spacing w:after="0"/>
              <w:rPr>
                <w:sz w:val="20"/>
                <w:szCs w:val="20"/>
                <w:color w:val="auto"/>
              </w:rPr>
            </w:pPr>
            <w:r>
              <w:rPr>
                <w:rFonts w:ascii="Arial" w:cs="Arial" w:eastAsia="Arial" w:hAnsi="Arial"/>
                <w:sz w:val="18"/>
                <w:szCs w:val="18"/>
                <w:color w:val="auto"/>
                <w:w w:val="96"/>
              </w:rPr>
              <w:t>Amendment to Warrant to Purchase Stock dated January 22, 2016 between Imprimis Pharmaceuticals, Inc. and IMMY Funding LLC</w:t>
            </w:r>
          </w:p>
        </w:tc>
      </w:tr>
      <w:tr>
        <w:trPr>
          <w:trHeight w:val="216"/>
        </w:trPr>
        <w:tc>
          <w:tcPr>
            <w:tcW w:w="10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7"/>
              </w:rPr>
              <w:t>(incorporated herein by reference to Exhibit 10.4 to the Current Report on Form 8-K of Imprimis Pharmaceuticals, Inc. filed with the</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Securities and Exchange Commission on January 25, 2016)</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10.34</w:t>
            </w:r>
          </w:p>
        </w:tc>
        <w:tc>
          <w:tcPr>
            <w:tcW w:w="10400" w:type="dxa"/>
            <w:vAlign w:val="bottom"/>
          </w:tcPr>
          <w:p>
            <w:pPr>
              <w:ind w:left="240"/>
              <w:spacing w:after="0"/>
              <w:rPr>
                <w:sz w:val="20"/>
                <w:szCs w:val="20"/>
                <w:color w:val="auto"/>
              </w:rPr>
            </w:pPr>
            <w:r>
              <w:rPr>
                <w:rFonts w:ascii="Arial" w:cs="Arial" w:eastAsia="Arial" w:hAnsi="Arial"/>
                <w:sz w:val="18"/>
                <w:szCs w:val="18"/>
                <w:color w:val="auto"/>
                <w:w w:val="92"/>
              </w:rPr>
              <w:t>Underwriting Agreement, dated as of March 11, 2016, by and between Imprimis Pharmaceuticals, Inc. and National Securities Corporation</w:t>
            </w:r>
          </w:p>
        </w:tc>
      </w:tr>
      <w:tr>
        <w:trPr>
          <w:trHeight w:val="216"/>
        </w:trPr>
        <w:tc>
          <w:tcPr>
            <w:tcW w:w="10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w w:val="97"/>
              </w:rPr>
              <w:t>(incorporated herein by reference to Exhibit 10.1 to the Current Report on Form 8-K of Imprimis Pharmaceuticals, Inc. filed with the</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Securities and Exchange Commission on March 11, 2016)</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400" w:type="dxa"/>
            <w:vAlign w:val="bottom"/>
          </w:tcPr>
          <w:p>
            <w:pPr>
              <w:ind w:left="240"/>
              <w:spacing w:after="0"/>
              <w:rPr>
                <w:sz w:val="20"/>
                <w:szCs w:val="20"/>
                <w:color w:val="auto"/>
              </w:rPr>
            </w:pPr>
            <w:r>
              <w:rPr>
                <w:rFonts w:ascii="Arial" w:cs="Arial" w:eastAsia="Arial" w:hAnsi="Arial"/>
                <w:sz w:val="18"/>
                <w:szCs w:val="18"/>
                <w:color w:val="auto"/>
              </w:rPr>
              <w:t>List of Subsidiaries</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40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10400" w:type="dxa"/>
            <w:vAlign w:val="bottom"/>
          </w:tcPr>
          <w:p>
            <w:pPr>
              <w:ind w:left="240"/>
              <w:spacing w:after="0"/>
              <w:rPr>
                <w:sz w:val="20"/>
                <w:szCs w:val="20"/>
                <w:color w:val="auto"/>
              </w:rPr>
            </w:pPr>
            <w:r>
              <w:rPr>
                <w:rFonts w:ascii="Arial" w:cs="Arial" w:eastAsia="Arial" w:hAnsi="Arial"/>
                <w:sz w:val="18"/>
                <w:szCs w:val="18"/>
                <w:color w:val="auto"/>
              </w:rPr>
              <w:t>Power of Attorney (included on the signature page to this Annual Report)</w:t>
            </w:r>
          </w:p>
        </w:tc>
      </w:tr>
      <w:tr>
        <w:trPr>
          <w:trHeight w:val="47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240"/>
              <w:spacing w:after="0"/>
              <w:rPr>
                <w:sz w:val="20"/>
                <w:szCs w:val="20"/>
                <w:color w:val="auto"/>
              </w:rPr>
            </w:pPr>
            <w:r>
              <w:rPr>
                <w:rFonts w:ascii="Arial" w:cs="Arial" w:eastAsia="Arial" w:hAnsi="Arial"/>
                <w:sz w:val="18"/>
                <w:szCs w:val="18"/>
                <w:color w:val="auto"/>
                <w:w w:val="95"/>
              </w:rPr>
              <w:t>Certification of Mark L. Baum, Chief Executive Officer, pursuant to Rule 13a-14(a) or 15d-14(a) of the Securities and Exchange Act of</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240"/>
              <w:spacing w:after="0"/>
              <w:rPr>
                <w:sz w:val="20"/>
                <w:szCs w:val="20"/>
                <w:color w:val="auto"/>
              </w:rPr>
            </w:pPr>
            <w:r>
              <w:rPr>
                <w:rFonts w:ascii="Arial" w:cs="Arial" w:eastAsia="Arial" w:hAnsi="Arial"/>
                <w:sz w:val="18"/>
                <w:szCs w:val="18"/>
                <w:color w:val="auto"/>
                <w:w w:val="95"/>
              </w:rPr>
              <w:t>Certification of Andrew R. Boll, Chief Financial Officer, pursuant to Rule 13a-14(a) or 15d-14(a) of the Securities and Exchange Act of</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24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L. Baum, Chief Executive Officer.</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400" w:type="dxa"/>
            <w:vAlign w:val="bottom"/>
          </w:tcPr>
          <w:p>
            <w:pPr>
              <w:ind w:left="240"/>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 executed by</w:t>
            </w:r>
          </w:p>
        </w:tc>
      </w:tr>
      <w:tr>
        <w:trPr>
          <w:trHeight w:val="230"/>
        </w:trPr>
        <w:tc>
          <w:tcPr>
            <w:tcW w:w="10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Arial" w:cs="Arial" w:eastAsia="Arial" w:hAnsi="Arial"/>
                <w:sz w:val="18"/>
                <w:szCs w:val="18"/>
                <w:color w:val="auto"/>
              </w:rPr>
              <w:t>Andrew R. Boll, Chief Financial Officer.</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Instant Document</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right="6740" w:firstLine="8"/>
        <w:spacing w:after="0" w:line="501"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10200"/>
        <w:spacing w:after="0"/>
        <w:rPr>
          <w:sz w:val="20"/>
          <w:szCs w:val="20"/>
          <w:color w:val="auto"/>
        </w:rPr>
      </w:pPr>
      <w:r>
        <w:rPr>
          <w:rFonts w:ascii="Arial" w:cs="Arial" w:eastAsia="Arial" w:hAnsi="Arial"/>
          <w:sz w:val="18"/>
          <w:szCs w:val="18"/>
          <w:b w:val="1"/>
          <w:bCs w:val="1"/>
          <w:color w:val="auto"/>
        </w:rPr>
        <w:t>EXHIBIT 10.30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COMMISSION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COMMISSION AGREEMENT (this “Agreement”) effective as of December 21, 2015 (the “Effective Date”), is entered into between Imprimis Pharmaceuticals, INC., a Delaware corporation (“Imprimis”), having a place of business at 12264 El Camino Real, Suite 350, San Diego, California 92130, and Professional Compounding Centers of America, INC., a Texas corporation (“PCCA”), having a place of business at 9901 South Wilcrest Drive, Houston, Texas 77099. The parties hereby agree as follows:</w:t>
      </w:r>
    </w:p>
    <w:p>
      <w:pPr>
        <w:spacing w:after="0" w:line="187"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terms set forth in this Section 1 shall have the respective meanings set forth below:</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Acquired IP Rights</w:t>
      </w:r>
      <w:r>
        <w:rPr>
          <w:rFonts w:ascii="Arial" w:cs="Arial" w:eastAsia="Arial" w:hAnsi="Arial"/>
          <w:sz w:val="18"/>
          <w:szCs w:val="18"/>
          <w:color w:val="auto"/>
        </w:rPr>
        <w:t>” shall mean, with respect to a Member/Customer, those patent rights or other intellectual property rights of such Member/Customer that were specifically acquired by Imprimis pursuant to a Commission-Bearing Agreement.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commission calculated in accordance with Section 3.1.</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Commission-Bearing Agreements</w:t>
      </w:r>
      <w:r>
        <w:rPr>
          <w:rFonts w:ascii="Arial" w:cs="Arial" w:eastAsia="Arial" w:hAnsi="Arial"/>
          <w:sz w:val="18"/>
          <w:szCs w:val="18"/>
          <w:color w:val="auto"/>
        </w:rPr>
        <w:t>” shall mean, collectively, (a) the Asset Purchase Agreement dated as of June 11, 2013, entered into between Buderer Drug Co. and Imprimis, and (b) the Asset Purchase Agreement dated as of August 8, 2013, entered into by and among Novel Drug Solutions LLC, Eye Care Northwest, PA, and Imprimis, and a “</w:t>
      </w:r>
      <w:r>
        <w:rPr>
          <w:rFonts w:ascii="Arial" w:cs="Arial" w:eastAsia="Arial" w:hAnsi="Arial"/>
          <w:sz w:val="18"/>
          <w:szCs w:val="18"/>
          <w:u w:val="single" w:color="auto"/>
          <w:color w:val="auto"/>
        </w:rPr>
        <w:t>Commission-Bearing Agreement</w:t>
      </w:r>
      <w:r>
        <w:rPr>
          <w:rFonts w:ascii="Arial" w:cs="Arial" w:eastAsia="Arial" w:hAnsi="Arial"/>
          <w:sz w:val="18"/>
          <w:szCs w:val="18"/>
          <w:color w:val="auto"/>
        </w:rPr>
        <w:t>” shall mean any one of the Commission-Bearing Agreements.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Commission-Bearing Product</w:t>
      </w:r>
      <w:r>
        <w:rPr>
          <w:rFonts w:ascii="Arial" w:cs="Arial" w:eastAsia="Arial" w:hAnsi="Arial"/>
          <w:sz w:val="18"/>
          <w:szCs w:val="18"/>
          <w:color w:val="auto"/>
        </w:rPr>
        <w:t>” shall mean a product sold by Imprimis, its Sublicensee or their respective Affiliates which, if sold absent the license or other right, title or interest acquired in the applicable Acquired IP Rights pursuant to the applicable Commission-Bearing Agreement, would infringe a Valid Claim of such Acquired IP Rights.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Cost of Goods Sold</w:t>
      </w:r>
      <w:r>
        <w:rPr>
          <w:rFonts w:ascii="Arial" w:cs="Arial" w:eastAsia="Arial" w:hAnsi="Arial"/>
          <w:sz w:val="18"/>
          <w:szCs w:val="18"/>
          <w:color w:val="auto"/>
        </w:rPr>
        <w:t>” shall mean, with respect to a Commission-Bearing Product, the cost to Imprimis and its Affiliates incurred or accrued in connection with the production, inventory, supply, promotion, marketing, distribution and sale (including applicable sales commissions and related payments) of such Commission-Bearing Product, all as determined in accordance with accounting principles generally accepted in the United States of America and consistently applied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both"/>
        <w:ind w:firstLine="1297"/>
        <w:spacing w:after="0" w:line="264"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Development Recovery Amount</w:t>
      </w:r>
      <w:r>
        <w:rPr>
          <w:rFonts w:ascii="Arial" w:cs="Arial" w:eastAsia="Arial" w:hAnsi="Arial"/>
          <w:sz w:val="18"/>
          <w:szCs w:val="18"/>
          <w:color w:val="auto"/>
        </w:rPr>
        <w:t>” shall mean, with respect to any Commission-Bearing Product, the cost to Imprimis or its Affiliates incurred or accrued in connection with the acquisition, prosecution, licensing, enforcement or defense of the Acquired IP Rights relating to such Commission-Bearing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License Agreement</w:t>
      </w:r>
      <w:r>
        <w:rPr>
          <w:rFonts w:ascii="Arial" w:cs="Arial" w:eastAsia="Arial" w:hAnsi="Arial"/>
          <w:sz w:val="17"/>
          <w:szCs w:val="17"/>
          <w:color w:val="auto"/>
        </w:rPr>
        <w:t>” shall mean the License Agreement dated as of August 30, 2012, entered into between PCCA and Imprimis.</w:t>
      </w:r>
    </w:p>
    <w:p>
      <w:pPr>
        <w:spacing w:after="0" w:line="2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Member/Customers</w:t>
      </w:r>
      <w:r>
        <w:rPr>
          <w:rFonts w:ascii="Arial" w:cs="Arial" w:eastAsia="Arial" w:hAnsi="Arial"/>
          <w:sz w:val="18"/>
          <w:szCs w:val="18"/>
          <w:color w:val="auto"/>
        </w:rPr>
        <w:t>” shall mean, collectively, (a) Buderer Drug Co., and (b) Novel Drug Solutions LLC and Eye Care Northwest, PA, and “</w:t>
      </w:r>
      <w:r>
        <w:rPr>
          <w:rFonts w:ascii="Arial" w:cs="Arial" w:eastAsia="Arial" w:hAnsi="Arial"/>
          <w:sz w:val="18"/>
          <w:szCs w:val="18"/>
          <w:u w:val="single" w:color="auto"/>
          <w:color w:val="auto"/>
        </w:rPr>
        <w:t>Member/Customer</w:t>
      </w:r>
      <w:r>
        <w:rPr>
          <w:rFonts w:ascii="Arial" w:cs="Arial" w:eastAsia="Arial" w:hAnsi="Arial"/>
          <w:sz w:val="18"/>
          <w:szCs w:val="18"/>
          <w:color w:val="auto"/>
        </w:rPr>
        <w:t>” shall mean any one of the Member/Customers.</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Commission-Bearing Product, the gross sales price of such Commission-Bearing Product invoiced by Imprimis and its Affiliates to customers who are not Affiliates (or are Affiliates but are the end users of such Commission-Bearing Product) less</w:t>
      </w:r>
    </w:p>
    <w:p>
      <w:pPr>
        <w:jc w:val="both"/>
        <w:ind w:firstLine="8"/>
        <w:spacing w:after="0" w:line="295"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credits, allowances, discounts and rebates to, and chargebacks from the account of, such customers; (b) freight and insurance costs in transporting such Commission-Bearing Product; (c) cash, quantity and trade discounts, rebates and other price reductions for such Commission-Bearing Product; (d) sales, use, value-added and other direct taxes; (e) customs duties, tariffs, surcharges and other governmental charges incurred in exporting or importing such Commission-Bearing Product; (f) an allowance for uncollectible or bad debts determined in accordance with GAAP; and (g) Cost of Goods Sold.</w:t>
      </w:r>
    </w:p>
    <w:p>
      <w:pPr>
        <w:spacing w:after="0" w:line="16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Net Receipts</w:t>
      </w:r>
      <w:r>
        <w:rPr>
          <w:rFonts w:ascii="Arial" w:cs="Arial" w:eastAsia="Arial" w:hAnsi="Arial"/>
          <w:sz w:val="18"/>
          <w:szCs w:val="18"/>
          <w:color w:val="auto"/>
        </w:rPr>
        <w:t>” shall mean, with respect to any Commission-Bearing Product, the aggregate of the Net Sales thereof and Net Sublicensing Revenues therefrom in excess of the Development Recovery Amount therefor.</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Net Sublicensing Revenues</w:t>
      </w:r>
      <w:r>
        <w:rPr>
          <w:rFonts w:ascii="Arial" w:cs="Arial" w:eastAsia="Arial" w:hAnsi="Arial"/>
          <w:sz w:val="17"/>
          <w:szCs w:val="17"/>
          <w:color w:val="auto"/>
        </w:rPr>
        <w:t>” shall mean, with respect to any Commission-Bearing Product, the aggregate cash consideration received by Imprimis or its Affiliates in consideration for the (sub)license under the applicable Acquired IP Rights by Imprimis or its Affiliates to a Sublicensee with respect to such Commission-Bearing Product (excluding amounts received to reimburse Imprimis or its Affiliates for research, development or similar services conducted for such Commission-Bearing Product after signing the agreement with such Sublicensee, in reimbursement of patent or other out-of-pocket expenses relating to such Commission-Bearing Product, or in consideration for the purchase of any debt or securities of Imprimis or its Affiliates). Notwithstanding the foregoing, if the applicable Member/Customer and Imprimis have mutually agreed to a different definition of “Net Sublicensing Revenues” for purposes of calculating the royalties owing to such Member/Customer for a Commission-Bearing Product, then such different definition shall supersede the foregoing definition for purposes of calculating the commission owing to PCCA for such Commission-Bearing Product under this Agreement to allow for a uniform calculation of royalties owing to such Member/Customer and PCCA with respect thereto.</w:t>
      </w:r>
    </w:p>
    <w:p>
      <w:pPr>
        <w:spacing w:after="0" w:line="18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2" w:name="page83"/>
    <w:bookmarkEnd w:id="82"/>
    <w:p>
      <w:pPr>
        <w:jc w:val="both"/>
        <w:ind w:firstLine="1297"/>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Strategic Alliance Agreement</w:t>
      </w:r>
      <w:r>
        <w:rPr>
          <w:rFonts w:ascii="Arial" w:cs="Arial" w:eastAsia="Arial" w:hAnsi="Arial"/>
          <w:sz w:val="18"/>
          <w:szCs w:val="18"/>
          <w:color w:val="auto"/>
        </w:rPr>
        <w:t>” shall mean the Strategic Alliance Agreement effective as of February 18, 2013, entered into between Imprimis and PCCA.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Sublicensee</w:t>
      </w:r>
      <w:r>
        <w:rPr>
          <w:rFonts w:ascii="Arial" w:cs="Arial" w:eastAsia="Arial" w:hAnsi="Arial"/>
          <w:sz w:val="18"/>
          <w:szCs w:val="18"/>
          <w:color w:val="auto"/>
        </w:rPr>
        <w:t>” shall mean a Third Party to which Imprimis has granted a (sub)license under Acquired IP Rights.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PCCA, Imprimis and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(a) a claim of an issued and unexpired patent included within the Acquired IP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90"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claim of a pending patent application included within the Acquired IP Rights, which claim was filed in good faith, has been pending for a period or not more than seven (7) years, and has not been abandoned or finally disallowed without the possibility of appeal or refiling of such application.</w:t>
      </w:r>
    </w:p>
    <w:p>
      <w:pPr>
        <w:spacing w:after="0" w:line="162"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party represents and warrants to the other party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Organization</w:t>
      </w:r>
      <w:r>
        <w:rPr>
          <w:rFonts w:ascii="Arial" w:cs="Arial" w:eastAsia="Arial" w:hAnsi="Arial"/>
          <w:sz w:val="16"/>
          <w:szCs w:val="16"/>
          <w:color w:val="auto"/>
        </w:rPr>
        <w:t>. Such party is a corporation duly organized, validly existing and in good standing under the laws of the state in which it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required to be obtained by such party in connection with this Agreement have been obtained.</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24" w:lineRule="exact"/>
        <w:rPr>
          <w:sz w:val="20"/>
          <w:szCs w:val="20"/>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Commission</w:t>
      </w:r>
      <w:r>
        <w:rPr>
          <w:rFonts w:ascii="Arial" w:cs="Arial" w:eastAsia="Arial" w:hAnsi="Arial"/>
          <w:sz w:val="18"/>
          <w:szCs w:val="18"/>
          <w:color w:val="auto"/>
        </w:rPr>
        <w:t>. Subject to the terms and conditions of this Agreement, Imprimis shall pay to PCCA a commission equal to five and one-half percent (5½%) of the Net Receipts.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p>
      <w:pPr>
        <w:jc w:val="both"/>
        <w:ind w:firstLine="1297"/>
        <w:spacing w:after="0" w:line="29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xml:space="preserve">. If Imprimis, its Sublicensee or their respective Affiliates is required to pay royalties to any Third Party, however not including any royalty amounts paid to the Member/Customers, in order to exercise its rights to exploit any Acquired IP Rights or Commission-Bearing Products, then Imprimis shall have the right to credit fifty percent (50%) of such Third Party royalty payments against the Commissions owing to PCCA with respect to such Acquired IP Rights or Commission-Bearing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Imprimis shall not reduce the amount of the Commissions owing to PCCA by reason of this Section 3.2 with respect to such Acquired IP Rights or Commission-Bearing Product by more than fifty percent (50%).</w:t>
      </w:r>
    </w:p>
    <w:p>
      <w:pPr>
        <w:spacing w:after="0" w:line="15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Combination Products</w:t>
      </w:r>
      <w:r>
        <w:rPr>
          <w:rFonts w:ascii="Arial" w:cs="Arial" w:eastAsia="Arial" w:hAnsi="Arial"/>
          <w:sz w:val="18"/>
          <w:szCs w:val="18"/>
          <w:color w:val="auto"/>
        </w:rPr>
        <w:t>. If a Commission-Bearing Product consists of components that are covered by a Valid Claim and components that are not covered by a Valid Claim, then for purposes of the royalty payments under Section 3.1 for Net Receipts for such Commission-Bearing Product, prior to the royalty calculation set forth in Section 3.1, Net Receipts first shall be multiplied by the fraction A/(A+B), where A is the value of the component covered by the Valid Claim as reasonably determined by Imprimis, and B is the value of the component that is not covered by the Valid Claim as reasonably determined by Imprimis, and such resulting amount shall be the “Net Receipts” for purposes of the royalty calculation in Section 3.1 for such Commission-Bearing Product. Individual values shall be determined by using the listed sales price of A and B as standalone products, and if not possible or reasonably determined, based on the costs to manufacture A and B.</w:t>
      </w:r>
    </w:p>
    <w:p>
      <w:pPr>
        <w:spacing w:after="0" w:line="18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Commission Reports</w:t>
      </w:r>
      <w:r>
        <w:rPr>
          <w:rFonts w:ascii="Arial" w:cs="Arial" w:eastAsia="Arial" w:hAnsi="Arial"/>
          <w:sz w:val="16"/>
          <w:szCs w:val="16"/>
          <w:color w:val="auto"/>
        </w:rPr>
        <w:t>. Within forty five (45) days after the end of each calendar quarter during the term of this Agreement following the first to occur of the First Commercial Sale of a Commission-Bearing Product and the receipt by Imprimis or its Affiliates of Net Sublicensing Revenues, Imprimis shall furnish to PCCA a quarterly written report showing in reasonably specific detail (a) the calculation of all Commissions owing to PCCA;</w:t>
      </w:r>
    </w:p>
    <w:p>
      <w:pPr>
        <w:jc w:val="both"/>
        <w:ind w:firstLine="8"/>
        <w:spacing w:after="0" w:line="270" w:lineRule="auto"/>
        <w:tabs>
          <w:tab w:leader="none" w:pos="2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withholding taxes, if any, required by law to be deducted with respect to such sales; and (c) the exchange rates, if any, used in determining the amount of United States dollars. With respect to amounts received or costs incurred in United States dollars, all amounts shall be expressed in United States dollars. With respect to amounts received or costs incurred in a currency other than United States dollars, all amounts shall be expressed both in the currency in which the amounts were received or costs were incurred and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3.5.1 Upon the written request of PCCA and not more than once in each calendar year, Imprimis shall permit an independent certified public accounting firm of nationally recognized standing selected by PCCA and reasonably acceptable to Imprimis, at PCCA’s expense, to have access during normal business hours to such of the financial records of Imprimis as may be reasonably necessary to verify the accuracy of the payment reports hereunder for the eight (8) calendar quarters immediately prior to the date of such request (other than records for which PCCA has already conducted an audit under this Section 3.5).</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4" w:name="page85"/>
    <w:bookmarkEnd w:id="84"/>
    <w:p>
      <w:pPr>
        <w:jc w:val="both"/>
        <w:ind w:firstLine="1945"/>
        <w:spacing w:after="0" w:line="257" w:lineRule="auto"/>
        <w:rPr>
          <w:sz w:val="20"/>
          <w:szCs w:val="20"/>
          <w:color w:val="auto"/>
        </w:rPr>
      </w:pPr>
      <w:r>
        <w:rPr>
          <w:rFonts w:ascii="Arial" w:cs="Arial" w:eastAsia="Arial" w:hAnsi="Arial"/>
          <w:sz w:val="18"/>
          <w:szCs w:val="18"/>
          <w:color w:val="auto"/>
        </w:rPr>
        <w:t>3.5.2 If such accounting firm concludes that additional amounts were owed during the audited period, Imprimis shall pay such additional amounts within thirty (30) days after the date PCCA delivers to Imprimis such accounting firm’s written report so concluding. The fees charged by such accounting firm shall be paid by PCCA; provided, however, if the audit discloses that the commissions payable by Imprimis for such period are more than one hundred ten percent (110%) of the commissions actually paid for such period, then Imprimis shall pay the reasonable fees and expenses charged by such accounting firm.</w:t>
      </w:r>
    </w:p>
    <w:p>
      <w:pPr>
        <w:spacing w:after="0" w:line="188"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3.5.3 PCCA shall cause its accounting firm to retain all financial information subject to review under this Section 3.5 in strict confidence; provided, however, that Imprimis shall have the right to require that such accounting firm, prior to conducting such audit, enter into an appropriate non-disclosure agreement with Imprimis regarding such financial information. The accounting firm shall disclose to PCCA only whether the reports are correct or not and the amount of any discrepancy. No other information shall be shared. PCCA shall treat all such financial information as Imprimis’ confidential information.</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Payment Terms</w:t>
      </w:r>
      <w:r>
        <w:rPr>
          <w:rFonts w:ascii="Arial" w:cs="Arial" w:eastAsia="Arial" w:hAnsi="Arial"/>
          <w:sz w:val="18"/>
          <w:szCs w:val="18"/>
          <w:color w:val="auto"/>
        </w:rPr>
        <w:t>. Commissions shown to have accrued by each report provided under Section 3.2 shall be due on the date such report is due. Payment of such commissions in whole or in part may be made in advance of such due date.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Commissions with respect to any country where a Commission-Bearing Product is sold, then Imprimis shall have the right, in its sole discretion, to make such payments by depositing the amount thereof in local currency to PCCA’s account in a bank or other depository institution in such country. If the commission rate specified in this Agreement should exceed the permissible rate established in any country, the commission rate for sales in such country shall be adjusted to the highest legally permissible or government-approved rate.</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Withholding Taxes</w:t>
      </w:r>
      <w:r>
        <w:rPr>
          <w:rFonts w:ascii="Arial" w:cs="Arial" w:eastAsia="Arial" w:hAnsi="Arial"/>
          <w:sz w:val="18"/>
          <w:szCs w:val="18"/>
          <w:color w:val="auto"/>
        </w:rPr>
        <w:t>. Imprimis shall be entitled to deduct the amount of any withholding taxes, value-added taxes or other taxes, levies or charges with respect to such Commissions, other than United States taxes, payable by Imprimis or its Affiliates, or any taxes required to be withheld by Imprimis or its Affiliates, to the extent Imprimis or its Affiliates pay to the appropriate governmental authority on behalf of PCCA such taxes, levies or charges. Imprimis shall use reasonable efforts to minimize any such taxes, levies or charges required to be withheld on behalf of PCCA by Imprimis or its Affiliates. Imprimis promptly shall deliver to PCCA proof of payment of all such taxes, levies and other charges, together with copies of all communications from or with such governmental authority with respect thereto.</w:t>
      </w:r>
    </w:p>
    <w:p>
      <w:pPr>
        <w:spacing w:after="0" w:line="193" w:lineRule="exact"/>
        <w:rPr>
          <w:sz w:val="20"/>
          <w:szCs w:val="20"/>
          <w:color w:val="auto"/>
        </w:rPr>
      </w:pPr>
    </w:p>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NO EVENT SHALL EITHER PARTY BE LIABLE FOR SPECIAL, INCIDENTAL OR CONSEQUENTIAL DAMAGES ARISING OUT OF THIS AGREEMENT OR THE TRANSACTIONS CONTEMPLATED HEREBY (INCLUDING WITHOUT LIMITATION DAMAGES FOR LOST PROFITS, BUSINESS INTERRUPTION, LOSS OF GOODWILL, COMPUTER FAILURE OR MALFUNCTION OR OTHERWISE, ARISING FROM OR RELATING TO THIS AGREEMENT OR THE TRANSACTIONS CONTEMPLATED HEREBY), EVEN IF SUCH PARTY IS EXPRESSLY ADVISED OF THE POSSIBILITY OF SUCH DAMAGES.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p>
      <w:pPr>
        <w:ind w:left="840" w:hanging="184"/>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unless terminated earlier as provided below, shall terminate on the expiration of Imprimis’ obligation to pay Commissions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Termination by Mutual Agreement</w:t>
      </w:r>
      <w:r>
        <w:rPr>
          <w:rFonts w:ascii="Arial" w:cs="Arial" w:eastAsia="Arial" w:hAnsi="Arial"/>
          <w:sz w:val="17"/>
          <w:szCs w:val="17"/>
          <w:color w:val="auto"/>
        </w:rPr>
        <w:t>. The parties shall have the right to terminate this Agreement by mutual written agreement.</w:t>
      </w:r>
    </w:p>
    <w:p>
      <w:pPr>
        <w:spacing w:after="0" w:line="23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Termination of this Agreement shall not relieve the parties of any obligation accruing prior to such termination, and the provisions of Sections 3, 4, 5.3 and 6.5 shall survive the termination of this Agreement.</w:t>
      </w:r>
    </w:p>
    <w:p>
      <w:pPr>
        <w:spacing w:after="0" w:line="170"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of Prior Agreements</w:t>
      </w:r>
      <w:r>
        <w:rPr>
          <w:rFonts w:ascii="Arial" w:cs="Arial" w:eastAsia="Arial" w:hAnsi="Arial"/>
          <w:sz w:val="18"/>
          <w:szCs w:val="18"/>
          <w:color w:val="auto"/>
        </w:rPr>
        <w:t>. The parties hereby terminate the License Agreement and the Strategic Alliance Agreement by mutual agreement. Each party hereby releases and forever discharges the other party from any and all claims, demands, losses or liabilities arising from or relating to the License Agreement and the Strategic Alliance Agreement.</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580"/>
              <w:spacing w:after="0"/>
              <w:rPr>
                <w:sz w:val="20"/>
                <w:szCs w:val="20"/>
                <w:color w:val="auto"/>
              </w:rPr>
            </w:pPr>
            <w:r>
              <w:rPr>
                <w:rFonts w:ascii="Arial" w:cs="Arial" w:eastAsia="Arial" w:hAnsi="Arial"/>
                <w:sz w:val="18"/>
                <w:szCs w:val="18"/>
                <w:color w:val="auto"/>
              </w:rPr>
              <w:t>If to PCCA:</w:t>
            </w:r>
          </w:p>
        </w:tc>
        <w:tc>
          <w:tcPr>
            <w:tcW w:w="9440" w:type="dxa"/>
            <w:vAlign w:val="bottom"/>
          </w:tcPr>
          <w:p>
            <w:pPr>
              <w:ind w:left="320"/>
              <w:spacing w:after="0"/>
              <w:rPr>
                <w:sz w:val="20"/>
                <w:szCs w:val="20"/>
                <w:color w:val="auto"/>
              </w:rPr>
            </w:pPr>
            <w:r>
              <w:rPr>
                <w:rFonts w:ascii="Arial" w:cs="Arial" w:eastAsia="Arial" w:hAnsi="Arial"/>
                <w:sz w:val="18"/>
                <w:szCs w:val="18"/>
                <w:color w:val="auto"/>
              </w:rPr>
              <w:t>Professional Compounding Centers of America, Inc.</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9901 South Wilcrest Drive</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Houston, Texas 77099</w:t>
            </w:r>
          </w:p>
        </w:tc>
      </w:tr>
      <w:tr>
        <w:trPr>
          <w:trHeight w:val="230"/>
        </w:trPr>
        <w:tc>
          <w:tcPr>
            <w:tcW w:w="198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Attention: Marc DuPont, CPA</w:t>
            </w:r>
          </w:p>
        </w:tc>
      </w:tr>
      <w:tr>
        <w:trPr>
          <w:trHeight w:val="418"/>
        </w:trPr>
        <w:tc>
          <w:tcPr>
            <w:tcW w:w="1980" w:type="dxa"/>
            <w:vAlign w:val="bottom"/>
          </w:tcPr>
          <w:p>
            <w:pPr>
              <w:ind w:left="580"/>
              <w:spacing w:after="0"/>
              <w:rPr>
                <w:sz w:val="20"/>
                <w:szCs w:val="20"/>
                <w:color w:val="auto"/>
              </w:rPr>
            </w:pPr>
            <w:r>
              <w:rPr>
                <w:rFonts w:ascii="Arial" w:cs="Arial" w:eastAsia="Arial" w:hAnsi="Arial"/>
                <w:sz w:val="18"/>
                <w:szCs w:val="18"/>
                <w:color w:val="auto"/>
              </w:rPr>
              <w:t>with a copy to:</w:t>
            </w:r>
          </w:p>
        </w:tc>
        <w:tc>
          <w:tcPr>
            <w:tcW w:w="9440" w:type="dxa"/>
            <w:vAlign w:val="bottom"/>
          </w:tcPr>
          <w:p>
            <w:pPr>
              <w:ind w:left="320"/>
              <w:spacing w:after="0"/>
              <w:rPr>
                <w:sz w:val="20"/>
                <w:szCs w:val="20"/>
                <w:color w:val="auto"/>
              </w:rPr>
            </w:pPr>
            <w:r>
              <w:rPr>
                <w:rFonts w:ascii="Arial" w:cs="Arial" w:eastAsia="Arial" w:hAnsi="Arial"/>
                <w:sz w:val="18"/>
                <w:szCs w:val="18"/>
                <w:color w:val="auto"/>
              </w:rPr>
              <w:t>G. Walter Rockwell, P.C.</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9301 Southwest Freeway, Suite 225</w:t>
            </w:r>
          </w:p>
        </w:tc>
      </w:tr>
      <w:tr>
        <w:trPr>
          <w:trHeight w:val="230"/>
        </w:trPr>
        <w:tc>
          <w:tcPr>
            <w:tcW w:w="198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Houston, TX 77074</w:t>
            </w:r>
          </w:p>
        </w:tc>
      </w:tr>
      <w:tr>
        <w:trPr>
          <w:trHeight w:val="418"/>
        </w:trPr>
        <w:tc>
          <w:tcPr>
            <w:tcW w:w="1980" w:type="dxa"/>
            <w:vAlign w:val="bottom"/>
          </w:tcPr>
          <w:p>
            <w:pPr>
              <w:ind w:left="580"/>
              <w:spacing w:after="0"/>
              <w:rPr>
                <w:sz w:val="20"/>
                <w:szCs w:val="20"/>
                <w:color w:val="auto"/>
              </w:rPr>
            </w:pPr>
            <w:r>
              <w:rPr>
                <w:rFonts w:ascii="Arial" w:cs="Arial" w:eastAsia="Arial" w:hAnsi="Arial"/>
                <w:sz w:val="18"/>
                <w:szCs w:val="18"/>
                <w:color w:val="auto"/>
              </w:rPr>
              <w:t>If to Imprimis:</w:t>
            </w:r>
          </w:p>
        </w:tc>
        <w:tc>
          <w:tcPr>
            <w:tcW w:w="9440" w:type="dxa"/>
            <w:vAlign w:val="bottom"/>
          </w:tcPr>
          <w:p>
            <w:pPr>
              <w:ind w:left="320"/>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12264 El Camino Real, Suite 350</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San Diego, California 92130</w:t>
            </w:r>
          </w:p>
        </w:tc>
      </w:tr>
      <w:tr>
        <w:trPr>
          <w:trHeight w:val="230"/>
        </w:trPr>
        <w:tc>
          <w:tcPr>
            <w:tcW w:w="198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Attention: Mark Baum, Chief Executive Officer</w:t>
            </w:r>
          </w:p>
        </w:tc>
      </w:tr>
      <w:tr>
        <w:trPr>
          <w:trHeight w:val="418"/>
        </w:trPr>
        <w:tc>
          <w:tcPr>
            <w:tcW w:w="1980" w:type="dxa"/>
            <w:vAlign w:val="bottom"/>
          </w:tcPr>
          <w:p>
            <w:pPr>
              <w:ind w:left="580"/>
              <w:spacing w:after="0"/>
              <w:rPr>
                <w:sz w:val="20"/>
                <w:szCs w:val="20"/>
                <w:color w:val="auto"/>
              </w:rPr>
            </w:pPr>
            <w:r>
              <w:rPr>
                <w:rFonts w:ascii="Arial" w:cs="Arial" w:eastAsia="Arial" w:hAnsi="Arial"/>
                <w:sz w:val="18"/>
                <w:szCs w:val="18"/>
                <w:color w:val="auto"/>
              </w:rPr>
              <w:t>with a copy to:</w:t>
            </w:r>
          </w:p>
        </w:tc>
        <w:tc>
          <w:tcPr>
            <w:tcW w:w="9440" w:type="dxa"/>
            <w:vAlign w:val="bottom"/>
          </w:tcPr>
          <w:p>
            <w:pPr>
              <w:ind w:left="320"/>
              <w:spacing w:after="0"/>
              <w:rPr>
                <w:sz w:val="20"/>
                <w:szCs w:val="20"/>
                <w:color w:val="auto"/>
              </w:rPr>
            </w:pPr>
            <w:r>
              <w:rPr>
                <w:rFonts w:ascii="Arial" w:cs="Arial" w:eastAsia="Arial" w:hAnsi="Arial"/>
                <w:sz w:val="18"/>
                <w:szCs w:val="18"/>
                <w:color w:val="auto"/>
              </w:rPr>
              <w:t>Morrison &amp; Foerster LLP</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12531 High Bluff Drive, Suite 100</w:t>
            </w:r>
          </w:p>
        </w:tc>
      </w:tr>
      <w:tr>
        <w:trPr>
          <w:trHeight w:val="216"/>
        </w:trPr>
        <w:tc>
          <w:tcPr>
            <w:tcW w:w="19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San Diego, California 92130</w:t>
            </w:r>
          </w:p>
        </w:tc>
      </w:tr>
      <w:tr>
        <w:trPr>
          <w:trHeight w:val="230"/>
        </w:trPr>
        <w:tc>
          <w:tcPr>
            <w:tcW w:w="198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Attention: Mark R. Wicker</w:t>
            </w:r>
          </w:p>
        </w:tc>
      </w:tr>
      <w:tr>
        <w:trPr>
          <w:trHeight w:val="466"/>
        </w:trPr>
        <w:tc>
          <w:tcPr>
            <w:tcW w:w="19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692" w:right="239" w:bottom="1440" w:gutter="0" w:footer="0" w:header="0"/>
        </w:sectPr>
      </w:pPr>
    </w:p>
    <w:bookmarkStart w:id="86" w:name="page87"/>
    <w:bookmarkEnd w:id="86"/>
    <w:p>
      <w:pPr>
        <w:jc w:val="both"/>
        <w:ind w:firstLine="1297"/>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principles thereof.</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Confidentiality</w:t>
      </w:r>
      <w:r>
        <w:rPr>
          <w:rFonts w:ascii="Arial" w:cs="Arial" w:eastAsia="Arial" w:hAnsi="Arial"/>
          <w:sz w:val="17"/>
          <w:szCs w:val="17"/>
          <w:color w:val="auto"/>
        </w:rPr>
        <w:t>. Except as otherwise required by applicable law, regulation, rule or judicial order, neither party shall not disclose any terms or conditions of this Agreement, or the financial information provided hereunder, to any Third Party without the prior consent of the other party.</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have the right to assign its rights or obligations under this Agreement without the prior written consent of the other party; provided, however, that either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of control or similar transaction. Any permitted assignee shall assume all obligations of its assignor under this Agreement. Any purported assignment, transfer or delegation in violation of this Section 6.6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Waiver</w:t>
      </w:r>
      <w:r>
        <w:rPr>
          <w:rFonts w:ascii="Arial" w:cs="Arial" w:eastAsia="Arial" w:hAnsi="Arial"/>
          <w:sz w:val="17"/>
          <w:szCs w:val="17"/>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7" w:name="page88"/>
    <w:bookmarkEnd w:id="87"/>
    <w:p>
      <w:pPr>
        <w:ind w:firstLine="1297"/>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each caused this Agreement to be executed by their duly-authorized representatives as of the Effective Date.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COMPOUNDING CENTERS OF AMERICA,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Marc DuPont</w:t>
      </w:r>
    </w:p>
    <w:p>
      <w:pPr>
        <w:spacing w:after="0" w:line="3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Subsidiary</w:t>
            </w:r>
          </w:p>
        </w:tc>
        <w:tc>
          <w:tcPr>
            <w:tcW w:w="2280" w:type="dxa"/>
            <w:vAlign w:val="bottom"/>
          </w:tcPr>
          <w:p>
            <w:pPr>
              <w:spacing w:after="0"/>
              <w:rPr>
                <w:sz w:val="19"/>
                <w:szCs w:val="19"/>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 or Organization</w:t>
            </w:r>
          </w:p>
        </w:tc>
      </w:tr>
      <w:tr>
        <w:trPr>
          <w:trHeight w:val="419"/>
        </w:trPr>
        <w:tc>
          <w:tcPr>
            <w:tcW w:w="6860" w:type="dxa"/>
            <w:vAlign w:val="bottom"/>
            <w:gridSpan w:val="2"/>
          </w:tcPr>
          <w:p>
            <w:pPr>
              <w:jc w:val="center"/>
              <w:ind w:right="2280"/>
              <w:spacing w:after="0"/>
              <w:rPr>
                <w:sz w:val="20"/>
                <w:szCs w:val="20"/>
                <w:color w:val="auto"/>
              </w:rPr>
            </w:pPr>
            <w:r>
              <w:rPr>
                <w:rFonts w:ascii="Arial" w:cs="Arial" w:eastAsia="Arial" w:hAnsi="Arial"/>
                <w:sz w:val="18"/>
                <w:szCs w:val="18"/>
                <w:color w:val="auto"/>
                <w:w w:val="91"/>
              </w:rPr>
              <w:t>Pharmacy Creations, L.L.C.</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405"/>
        </w:trPr>
        <w:tc>
          <w:tcPr>
            <w:tcW w:w="6860" w:type="dxa"/>
            <w:vAlign w:val="bottom"/>
            <w:gridSpan w:val="2"/>
          </w:tcPr>
          <w:p>
            <w:pPr>
              <w:jc w:val="center"/>
              <w:ind w:right="2280"/>
              <w:spacing w:after="0"/>
              <w:rPr>
                <w:sz w:val="20"/>
                <w:szCs w:val="20"/>
                <w:color w:val="auto"/>
              </w:rPr>
            </w:pPr>
            <w:r>
              <w:rPr>
                <w:rFonts w:ascii="Arial" w:cs="Arial" w:eastAsia="Arial" w:hAnsi="Arial"/>
                <w:sz w:val="18"/>
                <w:szCs w:val="18"/>
                <w:color w:val="auto"/>
                <w:w w:val="90"/>
              </w:rPr>
              <w:t>South Coast Specialty Compounding, Inc.</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405"/>
        </w:trPr>
        <w:tc>
          <w:tcPr>
            <w:tcW w:w="6860" w:type="dxa"/>
            <w:vAlign w:val="bottom"/>
            <w:gridSpan w:val="2"/>
          </w:tcPr>
          <w:p>
            <w:pPr>
              <w:jc w:val="center"/>
              <w:ind w:right="2280"/>
              <w:spacing w:after="0"/>
              <w:rPr>
                <w:sz w:val="20"/>
                <w:szCs w:val="20"/>
                <w:color w:val="auto"/>
              </w:rPr>
            </w:pPr>
            <w:r>
              <w:rPr>
                <w:rFonts w:ascii="Arial" w:cs="Arial" w:eastAsia="Arial" w:hAnsi="Arial"/>
                <w:sz w:val="18"/>
                <w:szCs w:val="18"/>
                <w:color w:val="auto"/>
                <w:w w:val="94"/>
              </w:rPr>
              <w:t>ImprimisRx PA, Inc.</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05"/>
        </w:trPr>
        <w:tc>
          <w:tcPr>
            <w:tcW w:w="6860" w:type="dxa"/>
            <w:vAlign w:val="bottom"/>
            <w:gridSpan w:val="2"/>
          </w:tcPr>
          <w:p>
            <w:pPr>
              <w:jc w:val="center"/>
              <w:ind w:right="2260"/>
              <w:spacing w:after="0"/>
              <w:rPr>
                <w:sz w:val="20"/>
                <w:szCs w:val="20"/>
                <w:color w:val="auto"/>
              </w:rPr>
            </w:pPr>
            <w:r>
              <w:rPr>
                <w:rFonts w:ascii="Arial" w:cs="Arial" w:eastAsia="Arial" w:hAnsi="Arial"/>
                <w:sz w:val="18"/>
                <w:szCs w:val="18"/>
                <w:color w:val="auto"/>
                <w:w w:val="96"/>
              </w:rPr>
              <w:t>ImprimisRx TX, Inc.</w:t>
            </w:r>
          </w:p>
        </w:tc>
        <w:tc>
          <w:tcPr>
            <w:tcW w:w="45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453"/>
        </w:trPr>
        <w:tc>
          <w:tcPr>
            <w:tcW w:w="4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Nos. 333-159159, 333-183488 and 333-198674 on Form S-8 and Registration Statement No. 333-198675 on Form S-3 of our report dated March 23, 2016, relating to the consolidated financial statements of Imprimis Pharmaceuticals, Inc. and subsidiaries, appearing in this Annual Report on Form 10-K of Imprimis Pharmaceuticals, Inc.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2015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60" w:hanging="415"/>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60" w:hanging="415"/>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60" w:hanging="415"/>
        <w:spacing w:after="0" w:line="342" w:lineRule="auto"/>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15"/>
        <w:spacing w:after="0" w:line="26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hanging="415"/>
        <w:spacing w:after="0" w:line="308" w:lineRule="auto"/>
        <w:tabs>
          <w:tab w:leader="none" w:pos="12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15"/>
        <w:spacing w:after="0" w:line="277"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23, 2016</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2015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60" w:hanging="415"/>
        <w:spacing w:after="0" w:line="264"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60" w:hanging="415"/>
        <w:spacing w:after="0" w:line="264"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60" w:hanging="415"/>
        <w:spacing w:after="0" w:line="342" w:lineRule="auto"/>
        <w:tabs>
          <w:tab w:leader="none" w:pos="12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60" w:hanging="415"/>
        <w:spacing w:after="0" w:line="264"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hanging="415"/>
        <w:spacing w:after="0" w:line="308" w:lineRule="auto"/>
        <w:tabs>
          <w:tab w:leader="none" w:pos="12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60" w:hanging="415"/>
        <w:spacing w:after="0" w:line="277"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23, 2016</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connection with the Annual Report on Form 10-K of Imprimis Pharmaceuticals, Inc. (the “Company”) for the period ended December 31, 2015 as filed with the Securities and Exchange Commission on the date hereof (the “Report”), the undersigned, Mark L. Baum, Chief Executive Officer of the Company, hereby certifies, pursuant to 18 U.S.C. Section 1350, that to his knowledge:</w:t>
      </w:r>
    </w:p>
    <w:p>
      <w:pPr>
        <w:spacing w:after="0" w:line="181" w:lineRule="exact"/>
        <w:rPr>
          <w:sz w:val="20"/>
          <w:szCs w:val="20"/>
          <w:color w:val="auto"/>
        </w:rPr>
      </w:pPr>
    </w:p>
    <w:p>
      <w:pPr>
        <w:ind w:left="700" w:hanging="25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449"/>
        <w:spacing w:after="0" w:line="501" w:lineRule="auto"/>
        <w:tabs>
          <w:tab w:leader="none" w:pos="6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23, 2016</w:t>
      </w: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connection with the Annual Report on Form 10-K of Imprimis Pharmaceuticals, Inc. (the “Company”) for the period ended December 31, 2015 as filed with the Securities and Exchange Commission on the date hereof (the “Report”), the undersigned, Andrew R. Boll, Chief Financial Officer of the Company, hereby certifies, pursuant to 18 U.S.C. Section 1350, that to his knowledge:</w:t>
      </w:r>
    </w:p>
    <w:p>
      <w:pPr>
        <w:spacing w:after="0" w:line="181" w:lineRule="exact"/>
        <w:rPr>
          <w:sz w:val="20"/>
          <w:szCs w:val="20"/>
          <w:color w:val="auto"/>
        </w:rPr>
      </w:pPr>
    </w:p>
    <w:p>
      <w:pPr>
        <w:ind w:left="700" w:hanging="25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449"/>
        <w:spacing w:after="0" w:line="501" w:lineRule="auto"/>
        <w:tabs>
          <w:tab w:leader="none" w:pos="6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23, 2016</w:t>
      </w: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1"/>
    </w:lvl>
    <w:lvl w:ilvl="1">
      <w:lvlJc w:val="left"/>
      <w:lvlText w:val="(%2)"/>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2"/>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decimal"/>
      <w:start w:val="4"/>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decimal"/>
      <w:start w:val="6"/>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2020-01-19T22:11:09Z</dcterms:created>
  <dcterms:modified xsi:type="dcterms:W3CDTF">2020-01-19T22:11:09Z</dcterms:modified>
</cp:coreProperties>
</file>