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80" w:right="1960" w:hanging="3972"/>
        <w:spacing w:after="0" w:line="501" w:lineRule="auto"/>
        <w:tabs>
          <w:tab w:leader="none" w:pos="30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 reporting company, or an emerging growth company.</w:t>
      </w:r>
    </w:p>
    <w:p>
      <w:pPr>
        <w:spacing w:after="0" w:line="170"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486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486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[X]</w:t>
            </w:r>
          </w:p>
        </w:tc>
      </w:tr>
      <w:tr>
        <w:trPr>
          <w:trHeight w:val="230"/>
        </w:trPr>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60" w:type="dxa"/>
            <w:vAlign w:val="bottom"/>
          </w:tcPr>
          <w:p>
            <w:pPr>
              <w:ind w:left="23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8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Title of each class</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20" w:type="dxa"/>
            <w:vAlign w:val="bottom"/>
          </w:tcPr>
          <w:p>
            <w:pPr>
              <w:spacing w:after="0"/>
              <w:rPr>
                <w:sz w:val="20"/>
                <w:szCs w:val="20"/>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1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As of August 13, 2019, there were 25,165,965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20" w:type="dxa"/>
            <w:vAlign w:val="bottom"/>
            <w:gridSpan w:val="6"/>
          </w:tcPr>
          <w:p>
            <w:pPr>
              <w:jc w:val="center"/>
              <w:ind w:right="2720"/>
              <w:spacing w:after="0"/>
              <w:rPr>
                <w:sz w:val="20"/>
                <w:szCs w:val="20"/>
                <w:color w:val="auto"/>
              </w:rPr>
            </w:pPr>
            <w:r>
              <w:rPr>
                <w:rFonts w:ascii="Arial" w:cs="Arial" w:eastAsia="Arial" w:hAnsi="Arial"/>
                <w:sz w:val="18"/>
                <w:szCs w:val="18"/>
                <w:b w:val="1"/>
                <w:bCs w:val="1"/>
                <w:color w:val="auto"/>
              </w:rPr>
              <w:t>HARROW HEALTH,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20" w:type="dxa"/>
            <w:vAlign w:val="bottom"/>
            <w:gridSpan w:val="6"/>
          </w:tcPr>
          <w:p>
            <w:pPr>
              <w:jc w:val="center"/>
              <w:ind w:right="270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020" w:type="dxa"/>
            <w:vAlign w:val="bottom"/>
            <w:tcBorders>
              <w:top w:val="single" w:sz="8" w:color="auto"/>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Part I</w:t>
            </w:r>
          </w:p>
        </w:tc>
        <w:tc>
          <w:tcPr>
            <w:tcW w:w="9880" w:type="dxa"/>
            <w:vAlign w:val="bottom"/>
            <w:gridSpan w:val="17"/>
            <w:shd w:val="clear" w:color="auto" w:fill="CCEEFF"/>
          </w:tcPr>
          <w:p>
            <w:pPr>
              <w:ind w:left="80"/>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6.</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0" w:type="dxa"/>
            <w:vAlign w:val="bottom"/>
            <w:gridSpan w:val="16"/>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620" w:type="dxa"/>
            <w:vAlign w:val="bottom"/>
            <w:tcBorders>
              <w:top w:val="single" w:sz="8" w:color="CCEEFF"/>
              <w:bottom w:val="single" w:sz="8" w:color="auto"/>
            </w:tcBorders>
            <w:gridSpan w:val="12"/>
          </w:tcPr>
          <w:p>
            <w:pPr>
              <w:jc w:val="center"/>
              <w:ind w:left="3250"/>
              <w:spacing w:after="0"/>
              <w:rPr>
                <w:sz w:val="20"/>
                <w:szCs w:val="20"/>
                <w:color w:val="auto"/>
              </w:rPr>
            </w:pPr>
            <w:r>
              <w:rPr>
                <w:rFonts w:ascii="Arial" w:cs="Arial" w:eastAsia="Arial" w:hAnsi="Arial"/>
                <w:sz w:val="18"/>
                <w:szCs w:val="18"/>
                <w:color w:val="auto"/>
                <w:w w:val="79"/>
              </w:rPr>
              <w:t>2</w:t>
            </w:r>
          </w:p>
        </w:tc>
        <w:tc>
          <w:tcPr>
            <w:tcW w:w="1080" w:type="dxa"/>
            <w:vAlign w:val="bottom"/>
            <w:tcBorders>
              <w:top w:val="single" w:sz="8" w:color="CCEEFF"/>
              <w:bottom w:val="single" w:sz="8" w:color="auto"/>
            </w:tcBorders>
          </w:tcPr>
          <w:p>
            <w:pPr>
              <w:spacing w:after="0"/>
              <w:rPr>
                <w:sz w:val="24"/>
                <w:szCs w:val="24"/>
                <w:color w:val="auto"/>
              </w:rPr>
            </w:pPr>
          </w:p>
        </w:tc>
        <w:tc>
          <w:tcPr>
            <w:tcW w:w="33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center"/>
              <w:ind w:right="64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2019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color w:val="auto"/>
                <w:w w:val="90"/>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28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27,650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21,420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2,652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5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38,119</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32,843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6,069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Investment in Surface Pharmaceuticals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4,443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Melt Pharmaceuticals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2,227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182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6,943</w:t>
            </w:r>
          </w:p>
        </w:tc>
        <w:tc>
          <w:tcPr>
            <w:tcW w:w="34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8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note payable, net of unamortized debt discount</w:t>
            </w: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28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finance lease obligations, net of unamortized discount</w:t>
            </w:r>
          </w:p>
        </w:tc>
        <w:tc>
          <w:tcPr>
            <w:tcW w:w="2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5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9,856</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11,901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net of current portion</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Finance lease obligations, net of current portion and unamortized discount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28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13,498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11,999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54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6"/>
              </w:rPr>
              <w:t>Common stock, $0.001 par value, 50,000,000 shares authorized, 25,138,958 and 24,339,610</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shares issued and outstanding at June 30, 2019 and December 31, 2018, respectively</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(65,231)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(74,211)</w:t>
            </w:r>
          </w:p>
        </w:tc>
        <w:tc>
          <w:tcPr>
            <w:tcW w:w="0" w:type="dxa"/>
            <w:vAlign w:val="bottom"/>
          </w:tcPr>
          <w:p>
            <w:pPr>
              <w:spacing w:after="0"/>
              <w:rPr>
                <w:sz w:val="1"/>
                <w:szCs w:val="1"/>
                <w:color w:val="auto"/>
              </w:rPr>
            </w:pPr>
          </w:p>
        </w:tc>
      </w:tr>
      <w:tr>
        <w:trPr>
          <w:trHeight w:val="216"/>
        </w:trPr>
        <w:tc>
          <w:tcPr>
            <w:tcW w:w="7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INC. STOCKHOLDERS’ EQUITY</w:t>
            </w: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35,065</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360"/>
              <w:spacing w:after="0" w:line="203" w:lineRule="exact"/>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65,157</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49,451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5"/>
          </w:tcPr>
          <w:p>
            <w:pPr>
              <w:jc w:val="right"/>
              <w:ind w:right="640"/>
              <w:spacing w:after="0"/>
              <w:rPr>
                <w:sz w:val="20"/>
                <w:szCs w:val="20"/>
                <w:color w:val="auto"/>
              </w:rPr>
            </w:pPr>
            <w:r>
              <w:rPr>
                <w:rFonts w:ascii="Arial" w:cs="Arial" w:eastAsia="Arial" w:hAnsi="Arial"/>
                <w:sz w:val="18"/>
                <w:szCs w:val="18"/>
                <w:color w:val="auto"/>
                <w:w w:val="98"/>
              </w:rPr>
              <w:t>For the Three Months Ended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right"/>
              <w:ind w:right="64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Sales, net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13,509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10,374</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25,792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revenues</w:t>
            </w:r>
          </w:p>
        </w:tc>
        <w:tc>
          <w:tcPr>
            <w:tcW w:w="3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13,516</w:t>
            </w:r>
          </w:p>
        </w:tc>
        <w:tc>
          <w:tcPr>
            <w:tcW w:w="3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10,384</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25,806</w:t>
            </w:r>
          </w:p>
        </w:tc>
        <w:tc>
          <w:tcPr>
            <w:tcW w:w="3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19,249</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0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0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tcPr>
          <w:p>
            <w:pPr>
              <w:spacing w:after="0" w:line="203" w:lineRule="exact"/>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8,291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6,227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16,683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11,021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8,248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6,779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16,791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1,215</w:t>
            </w: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0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0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tcPr>
          <w:p>
            <w:pPr>
              <w:spacing w:after="0" w:line="203" w:lineRule="exact"/>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9,058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6,851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18,006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3" w:lineRule="exact"/>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Investment gain (loss) from Melt Pharmaceuticals, net</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5,199</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gain (loss) from Surface Pharmaceuticals, net</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w:t>
            </w: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Investment gain (loss) from Eton Pharmaceuticals, net</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(1,146)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6,230</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0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0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18"/>
                <w:szCs w:val="18"/>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(1,653</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3,146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10,236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income (loss) including noncontrolling interests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Harrow Health, Inc.</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 of common stock</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(loss) per share of common stock</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17"/>
        </w:trPr>
        <w:tc>
          <w:tcPr>
            <w:tcW w:w="482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34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2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32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Weighted average number of shares of common stock</w:t>
            </w: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25,216,565</w:t>
            </w:r>
          </w:p>
        </w:tc>
        <w:tc>
          <w:tcPr>
            <w:tcW w:w="340" w:type="dxa"/>
            <w:vAlign w:val="bottom"/>
            <w:vMerge w:val="restart"/>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21,190,794</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25,030,012</w:t>
            </w:r>
          </w:p>
        </w:tc>
        <w:tc>
          <w:tcPr>
            <w:tcW w:w="320" w:type="dxa"/>
            <w:vAlign w:val="bottom"/>
            <w:shd w:val="clear" w:color="auto" w:fill="CCEEFF"/>
          </w:tcPr>
          <w:p>
            <w:pPr>
              <w:spacing w:after="0"/>
              <w:rPr>
                <w:sz w:val="13"/>
                <w:szCs w:val="13"/>
                <w:color w:val="auto"/>
              </w:rPr>
            </w:pP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21,070,644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basic</w:t>
            </w: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Weighted average number of shares of common stock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25,216,565</w:t>
            </w:r>
          </w:p>
        </w:tc>
        <w:tc>
          <w:tcPr>
            <w:tcW w:w="320" w:type="dxa"/>
            <w:vAlign w:val="bottom"/>
          </w:tcPr>
          <w:p>
            <w:pPr>
              <w:spacing w:after="0"/>
              <w:rPr>
                <w:sz w:val="13"/>
                <w:szCs w:val="13"/>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23,175,431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26,696,683</w:t>
            </w: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21,070,644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820" w:type="dxa"/>
            <w:vAlign w:val="bottom"/>
            <w:gridSpan w:val="2"/>
          </w:tcPr>
          <w:p>
            <w:pPr>
              <w:spacing w:after="0"/>
              <w:rPr>
                <w:sz w:val="20"/>
                <w:szCs w:val="20"/>
                <w:color w:val="auto"/>
              </w:rPr>
            </w:pPr>
            <w:r>
              <w:rPr>
                <w:rFonts w:ascii="Arial" w:cs="Arial" w:eastAsia="Arial" w:hAnsi="Arial"/>
                <w:sz w:val="18"/>
                <w:szCs w:val="18"/>
                <w:color w:val="auto"/>
              </w:rPr>
              <w:t>outstanding, diluted</w:t>
            </w:r>
          </w:p>
        </w:tc>
        <w:tc>
          <w:tcPr>
            <w:tcW w:w="3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Total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Harrow</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99"/>
              <w:spacing w:after="0"/>
              <w:rPr>
                <w:sz w:val="20"/>
                <w:szCs w:val="20"/>
                <w:color w:val="auto"/>
              </w:rPr>
            </w:pPr>
            <w:r>
              <w:rPr>
                <w:rFonts w:ascii="Arial" w:cs="Arial" w:eastAsia="Arial" w:hAnsi="Arial"/>
                <w:sz w:val="16"/>
                <w:szCs w:val="16"/>
                <w:color w:val="auto"/>
                <w:w w:val="95"/>
              </w:rPr>
              <w:t>Total</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color w:val="auto"/>
                <w:w w:val="96"/>
              </w:rPr>
              <w:t>Additional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Health, Inc.</w:t>
            </w:r>
          </w:p>
        </w:tc>
        <w:tc>
          <w:tcPr>
            <w:tcW w:w="80" w:type="dxa"/>
            <w:vAlign w:val="bottom"/>
          </w:tcPr>
          <w:p>
            <w:pPr>
              <w:spacing w:after="0"/>
              <w:rPr>
                <w:sz w:val="17"/>
                <w:szCs w:val="17"/>
                <w:color w:val="auto"/>
              </w:rPr>
            </w:pPr>
          </w:p>
        </w:tc>
        <w:tc>
          <w:tcPr>
            <w:tcW w:w="1300" w:type="dxa"/>
            <w:vAlign w:val="bottom"/>
            <w:gridSpan w:val="3"/>
          </w:tcPr>
          <w:p>
            <w:pPr>
              <w:jc w:val="center"/>
              <w:ind w:right="119"/>
              <w:spacing w:after="0"/>
              <w:rPr>
                <w:sz w:val="20"/>
                <w:szCs w:val="20"/>
                <w:color w:val="auto"/>
              </w:rPr>
            </w:pPr>
            <w:r>
              <w:rPr>
                <w:rFonts w:ascii="Arial" w:cs="Arial" w:eastAsia="Arial" w:hAnsi="Arial"/>
                <w:sz w:val="16"/>
                <w:szCs w:val="16"/>
                <w:color w:val="auto"/>
                <w:w w:val="95"/>
              </w:rPr>
              <w:t>Noncontrolling</w:t>
            </w:r>
          </w:p>
        </w:tc>
        <w:tc>
          <w:tcPr>
            <w:tcW w:w="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6"/>
                <w:szCs w:val="16"/>
                <w:color w:val="auto"/>
              </w:rPr>
              <w:t>Common Stock</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Paid-in</w:t>
            </w:r>
          </w:p>
        </w:tc>
        <w:tc>
          <w:tcPr>
            <w:tcW w:w="100" w:type="dxa"/>
            <w:vAlign w:val="bottom"/>
          </w:tcPr>
          <w:p>
            <w:pPr>
              <w:spacing w:after="0"/>
              <w:rPr>
                <w:sz w:val="22"/>
                <w:szCs w:val="22"/>
                <w:color w:val="auto"/>
              </w:rPr>
            </w:pPr>
          </w:p>
        </w:tc>
        <w:tc>
          <w:tcPr>
            <w:tcW w:w="1080" w:type="dxa"/>
            <w:vAlign w:val="bottom"/>
            <w:gridSpan w:val="3"/>
          </w:tcPr>
          <w:p>
            <w:pPr>
              <w:jc w:val="center"/>
              <w:ind w:right="39"/>
              <w:spacing w:after="0"/>
              <w:rPr>
                <w:sz w:val="20"/>
                <w:szCs w:val="20"/>
                <w:color w:val="auto"/>
              </w:rPr>
            </w:pPr>
            <w:r>
              <w:rPr>
                <w:rFonts w:ascii="Arial" w:cs="Arial" w:eastAsia="Arial" w:hAnsi="Arial"/>
                <w:sz w:val="16"/>
                <w:szCs w:val="16"/>
                <w:color w:val="auto"/>
                <w:w w:val="95"/>
              </w:rPr>
              <w:t>Accumulated</w:t>
            </w:r>
          </w:p>
        </w:tc>
        <w:tc>
          <w:tcPr>
            <w:tcW w:w="80" w:type="dxa"/>
            <w:vAlign w:val="bottom"/>
          </w:tcPr>
          <w:p>
            <w:pPr>
              <w:spacing w:after="0"/>
              <w:rPr>
                <w:sz w:val="22"/>
                <w:szCs w:val="22"/>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color w:val="auto"/>
                <w:w w:val="93"/>
              </w:rPr>
              <w:t>Stockholders’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2"/>
          </w:tcPr>
          <w:p>
            <w:pPr>
              <w:jc w:val="center"/>
              <w:ind w:right="199"/>
              <w:spacing w:after="0"/>
              <w:rPr>
                <w:sz w:val="20"/>
                <w:szCs w:val="20"/>
                <w:color w:val="auto"/>
              </w:rPr>
            </w:pPr>
            <w:r>
              <w:rPr>
                <w:rFonts w:ascii="Arial" w:cs="Arial" w:eastAsia="Arial" w:hAnsi="Arial"/>
                <w:sz w:val="16"/>
                <w:szCs w:val="16"/>
                <w:color w:val="auto"/>
                <w:w w:val="93"/>
              </w:rPr>
              <w:t>Interest</w:t>
            </w:r>
          </w:p>
        </w:tc>
        <w:tc>
          <w:tcPr>
            <w:tcW w:w="110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color w:val="auto"/>
              </w:rPr>
              <w:t>Shares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8"/>
              </w:rPr>
              <w:t>Par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Capital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19"/>
              <w:spacing w:after="0"/>
              <w:rPr>
                <w:sz w:val="20"/>
                <w:szCs w:val="20"/>
                <w:color w:val="auto"/>
              </w:rPr>
            </w:pPr>
            <w:r>
              <w:rPr>
                <w:rFonts w:ascii="Arial" w:cs="Arial" w:eastAsia="Arial" w:hAnsi="Arial"/>
                <w:sz w:val="16"/>
                <w:szCs w:val="16"/>
                <w:color w:val="auto"/>
                <w:w w:val="98"/>
              </w:rPr>
              <w:t>Deficit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Equity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99"/>
              <w:spacing w:after="0"/>
              <w:rPr>
                <w:sz w:val="20"/>
                <w:szCs w:val="20"/>
                <w:color w:val="auto"/>
              </w:rPr>
            </w:pPr>
            <w:r>
              <w:rPr>
                <w:rFonts w:ascii="Arial" w:cs="Arial" w:eastAsia="Arial" w:hAnsi="Arial"/>
                <w:sz w:val="16"/>
                <w:szCs w:val="16"/>
                <w:color w:val="auto"/>
                <w:w w:val="94"/>
              </w:rPr>
              <w:t>Equity</w:t>
            </w: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20,813,205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92,411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(92,349)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in connection with:</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Arial" w:cs="Arial" w:eastAsia="Arial" w:hAnsi="Arial"/>
                <w:sz w:val="16"/>
                <w:szCs w:val="16"/>
                <w:color w:val="auto"/>
              </w:rPr>
              <w:t>Sale of stock, net of costs (ATM)</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236,243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2,522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2018</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21,049,448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(89,827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Total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Harrow</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99"/>
              <w:spacing w:after="0"/>
              <w:rPr>
                <w:sz w:val="20"/>
                <w:szCs w:val="20"/>
                <w:color w:val="auto"/>
              </w:rPr>
            </w:pPr>
            <w:r>
              <w:rPr>
                <w:rFonts w:ascii="Arial" w:cs="Arial" w:eastAsia="Arial" w:hAnsi="Arial"/>
                <w:sz w:val="16"/>
                <w:szCs w:val="16"/>
                <w:color w:val="auto"/>
                <w:w w:val="89"/>
              </w:rPr>
              <w:t>Total</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Additional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Health, Inc.</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99"/>
              <w:spacing w:after="0"/>
              <w:rPr>
                <w:sz w:val="20"/>
                <w:szCs w:val="20"/>
                <w:color w:val="auto"/>
              </w:rPr>
            </w:pPr>
            <w:r>
              <w:rPr>
                <w:rFonts w:ascii="Arial" w:cs="Arial" w:eastAsia="Arial" w:hAnsi="Arial"/>
                <w:sz w:val="16"/>
                <w:szCs w:val="16"/>
                <w:color w:val="auto"/>
                <w:w w:val="97"/>
              </w:rPr>
              <w:t>Noncontrolling</w:t>
            </w:r>
          </w:p>
        </w:tc>
        <w:tc>
          <w:tcPr>
            <w:tcW w:w="8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980" w:type="dxa"/>
            <w:vAlign w:val="bottom"/>
            <w:gridSpan w:val="6"/>
          </w:tcPr>
          <w:p>
            <w:pPr>
              <w:jc w:val="right"/>
              <w:ind w:right="480"/>
              <w:spacing w:after="0"/>
              <w:rPr>
                <w:sz w:val="20"/>
                <w:szCs w:val="20"/>
                <w:color w:val="auto"/>
              </w:rPr>
            </w:pPr>
            <w:r>
              <w:rPr>
                <w:rFonts w:ascii="Arial" w:cs="Arial" w:eastAsia="Arial" w:hAnsi="Arial"/>
                <w:sz w:val="16"/>
                <w:szCs w:val="16"/>
                <w:color w:val="auto"/>
              </w:rPr>
              <w:t>Common Stock</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Paid-in</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Accumulated</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Stockholders’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2"/>
          </w:tcPr>
          <w:p>
            <w:pPr>
              <w:jc w:val="center"/>
              <w:ind w:right="99"/>
              <w:spacing w:after="0"/>
              <w:rPr>
                <w:sz w:val="20"/>
                <w:szCs w:val="20"/>
                <w:color w:val="auto"/>
              </w:rPr>
            </w:pPr>
            <w:r>
              <w:rPr>
                <w:rFonts w:ascii="Arial" w:cs="Arial" w:eastAsia="Arial" w:hAnsi="Arial"/>
                <w:sz w:val="16"/>
                <w:szCs w:val="16"/>
                <w:color w:val="auto"/>
                <w:w w:val="89"/>
              </w:rPr>
              <w:t>Interest</w:t>
            </w:r>
          </w:p>
        </w:tc>
        <w:tc>
          <w:tcPr>
            <w:tcW w:w="80" w:type="dxa"/>
            <w:vAlign w:val="bottom"/>
          </w:tcPr>
          <w:p>
            <w:pPr>
              <w:spacing w:after="0"/>
              <w:rPr>
                <w:sz w:val="22"/>
                <w:szCs w:val="22"/>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20" w:type="dxa"/>
            <w:vAlign w:val="bottom"/>
            <w:tcBorders>
              <w:top w:val="single" w:sz="8" w:color="auto"/>
            </w:tcBorders>
            <w:gridSpan w:val="2"/>
          </w:tcPr>
          <w:p>
            <w:pPr>
              <w:ind w:left="260"/>
              <w:spacing w:after="0"/>
              <w:rPr>
                <w:sz w:val="20"/>
                <w:szCs w:val="20"/>
                <w:color w:val="auto"/>
              </w:rPr>
            </w:pPr>
            <w:r>
              <w:rPr>
                <w:rFonts w:ascii="Arial" w:cs="Arial" w:eastAsia="Arial" w:hAnsi="Arial"/>
                <w:sz w:val="16"/>
                <w:szCs w:val="16"/>
                <w:color w:val="auto"/>
              </w:rPr>
              <w:t>Shares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ParValue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9"/>
              <w:spacing w:after="0"/>
              <w:rPr>
                <w:sz w:val="20"/>
                <w:szCs w:val="20"/>
                <w:color w:val="auto"/>
              </w:rPr>
            </w:pPr>
            <w:r>
              <w:rPr>
                <w:rFonts w:ascii="Arial" w:cs="Arial" w:eastAsia="Arial" w:hAnsi="Arial"/>
                <w:sz w:val="16"/>
                <w:szCs w:val="16"/>
                <w:color w:val="auto"/>
              </w:rPr>
              <w:t>Deficit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Equity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99"/>
              <w:spacing w:after="0"/>
              <w:rPr>
                <w:sz w:val="20"/>
                <w:szCs w:val="20"/>
                <w:color w:val="auto"/>
              </w:rPr>
            </w:pPr>
            <w:r>
              <w:rPr>
                <w:rFonts w:ascii="Arial" w:cs="Arial" w:eastAsia="Arial" w:hAnsi="Arial"/>
                <w:sz w:val="16"/>
                <w:szCs w:val="16"/>
                <w:color w:val="auto"/>
                <w:w w:val="98"/>
              </w:rPr>
              <w:t>Equity</w:t>
            </w:r>
          </w:p>
        </w:tc>
        <w:tc>
          <w:tcPr>
            <w:tcW w:w="8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24,718,649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99,887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37,059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in connection with:</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Arial" w:cs="Arial" w:eastAsia="Arial" w:hAnsi="Arial"/>
                <w:sz w:val="16"/>
                <w:szCs w:val="16"/>
                <w:color w:val="auto"/>
              </w:rPr>
              <w:t>Exercise of warrants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399,354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 of employee stock options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20,955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367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7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9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10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9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80" w:type="dxa"/>
            <w:vAlign w:val="bottom"/>
            <w:gridSpan w:val="2"/>
          </w:tcPr>
          <w:p>
            <w:pPr>
              <w:spacing w:after="0"/>
              <w:rPr>
                <w:sz w:val="20"/>
                <w:szCs w:val="20"/>
                <w:color w:val="auto"/>
              </w:rPr>
            </w:pPr>
            <w:r>
              <w:rPr>
                <w:rFonts w:ascii="Arial" w:cs="Arial" w:eastAsia="Arial" w:hAnsi="Arial"/>
                <w:sz w:val="16"/>
                <w:szCs w:val="16"/>
                <w:color w:val="auto"/>
              </w:rPr>
              <w:t>Balance at June 30, 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25,138,958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(65,231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Total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6"/>
                <w:szCs w:val="16"/>
                <w:color w:val="auto"/>
                <w:w w:val="96"/>
              </w:rPr>
              <w:t>Additional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Harrow</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99"/>
              <w:spacing w:after="0"/>
              <w:rPr>
                <w:sz w:val="20"/>
                <w:szCs w:val="20"/>
                <w:color w:val="auto"/>
              </w:rPr>
            </w:pPr>
            <w:r>
              <w:rPr>
                <w:rFonts w:ascii="Arial" w:cs="Arial" w:eastAsia="Arial" w:hAnsi="Arial"/>
                <w:sz w:val="16"/>
                <w:szCs w:val="16"/>
                <w:color w:val="auto"/>
                <w:w w:val="95"/>
              </w:rPr>
              <w:t>Total</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Health, Inc.</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6"/>
                <w:szCs w:val="16"/>
                <w:color w:val="auto"/>
                <w:w w:val="93"/>
              </w:rPr>
              <w:t>Noncontrolling</w:t>
            </w:r>
          </w:p>
        </w:tc>
        <w:tc>
          <w:tcPr>
            <w:tcW w:w="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6"/>
                <w:szCs w:val="16"/>
                <w:color w:val="auto"/>
              </w:rPr>
              <w:t>Common Stock</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Paid-in</w:t>
            </w:r>
          </w:p>
        </w:tc>
        <w:tc>
          <w:tcPr>
            <w:tcW w:w="100" w:type="dxa"/>
            <w:vAlign w:val="bottom"/>
          </w:tcPr>
          <w:p>
            <w:pPr>
              <w:spacing w:after="0"/>
              <w:rPr>
                <w:sz w:val="20"/>
                <w:szCs w:val="20"/>
                <w:color w:val="auto"/>
              </w:rPr>
            </w:pPr>
          </w:p>
        </w:tc>
        <w:tc>
          <w:tcPr>
            <w:tcW w:w="1080" w:type="dxa"/>
            <w:vAlign w:val="bottom"/>
            <w:gridSpan w:val="3"/>
          </w:tcPr>
          <w:p>
            <w:pPr>
              <w:jc w:val="center"/>
              <w:ind w:right="39"/>
              <w:spacing w:after="0"/>
              <w:rPr>
                <w:sz w:val="20"/>
                <w:szCs w:val="20"/>
                <w:color w:val="auto"/>
              </w:rPr>
            </w:pPr>
            <w:r>
              <w:rPr>
                <w:rFonts w:ascii="Arial" w:cs="Arial" w:eastAsia="Arial" w:hAnsi="Arial"/>
                <w:sz w:val="16"/>
                <w:szCs w:val="16"/>
                <w:color w:val="auto"/>
                <w:w w:val="95"/>
              </w:rPr>
              <w:t>Accumulated</w:t>
            </w:r>
          </w:p>
        </w:tc>
        <w:tc>
          <w:tcPr>
            <w:tcW w:w="80" w:type="dxa"/>
            <w:vAlign w:val="bottom"/>
          </w:tcPr>
          <w:p>
            <w:pPr>
              <w:spacing w:after="0"/>
              <w:rPr>
                <w:sz w:val="20"/>
                <w:szCs w:val="20"/>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color w:val="auto"/>
                <w:w w:val="93"/>
              </w:rPr>
              <w:t>Stockholders’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199"/>
              <w:spacing w:after="0"/>
              <w:rPr>
                <w:sz w:val="20"/>
                <w:szCs w:val="20"/>
                <w:color w:val="auto"/>
              </w:rPr>
            </w:pPr>
            <w:r>
              <w:rPr>
                <w:rFonts w:ascii="Arial" w:cs="Arial" w:eastAsia="Arial" w:hAnsi="Arial"/>
                <w:sz w:val="16"/>
                <w:szCs w:val="16"/>
                <w:color w:val="auto"/>
                <w:w w:val="93"/>
              </w:rPr>
              <w:t>Interest</w:t>
            </w:r>
          </w:p>
        </w:tc>
        <w:tc>
          <w:tcPr>
            <w:tcW w:w="110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color w:val="auto"/>
              </w:rPr>
              <w:t>Shares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8"/>
              </w:rPr>
              <w:t>Par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Capital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19"/>
              <w:spacing w:after="0"/>
              <w:rPr>
                <w:sz w:val="20"/>
                <w:szCs w:val="20"/>
                <w:color w:val="auto"/>
              </w:rPr>
            </w:pPr>
            <w:r>
              <w:rPr>
                <w:rFonts w:ascii="Arial" w:cs="Arial" w:eastAsia="Arial" w:hAnsi="Arial"/>
                <w:sz w:val="16"/>
                <w:szCs w:val="16"/>
                <w:color w:val="auto"/>
                <w:w w:val="98"/>
              </w:rPr>
              <w:t>Deficit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Equity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99"/>
              <w:spacing w:after="0"/>
              <w:rPr>
                <w:sz w:val="20"/>
                <w:szCs w:val="20"/>
                <w:color w:val="auto"/>
              </w:rPr>
            </w:pPr>
            <w:r>
              <w:rPr>
                <w:rFonts w:ascii="Arial" w:cs="Arial" w:eastAsia="Arial" w:hAnsi="Arial"/>
                <w:sz w:val="16"/>
                <w:szCs w:val="16"/>
                <w:color w:val="auto"/>
                <w:w w:val="94"/>
              </w:rPr>
              <w:t>Equity</w:t>
            </w: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20,623,129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91,430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(88,836)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in connection with:</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Arial" w:cs="Arial" w:eastAsia="Arial" w:hAnsi="Arial"/>
                <w:sz w:val="16"/>
                <w:szCs w:val="16"/>
                <w:color w:val="auto"/>
              </w:rPr>
              <w:t>Vesting of RSUs, net of tax withholding</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Sale of stock, net of costs (ATM)</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305,619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Arial" w:cs="Arial" w:eastAsia="Arial" w:hAnsi="Arial"/>
                <w:sz w:val="16"/>
                <w:szCs w:val="16"/>
                <w:color w:val="auto"/>
              </w:rPr>
              <w:t>Stock-based payment for services provided</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60,700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at June 30, 2018</w:t>
            </w: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21,049,448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93,538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(89,827</w:t>
            </w:r>
          </w:p>
        </w:tc>
        <w:tc>
          <w:tcPr>
            <w:tcW w:w="120" w:type="dxa"/>
            <w:vAlign w:val="bottom"/>
            <w:vMerge w:val="continue"/>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Total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Harrow</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99"/>
              <w:spacing w:after="0"/>
              <w:rPr>
                <w:sz w:val="20"/>
                <w:szCs w:val="20"/>
                <w:color w:val="auto"/>
              </w:rPr>
            </w:pPr>
            <w:r>
              <w:rPr>
                <w:rFonts w:ascii="Arial" w:cs="Arial" w:eastAsia="Arial" w:hAnsi="Arial"/>
                <w:sz w:val="16"/>
                <w:szCs w:val="16"/>
                <w:color w:val="auto"/>
                <w:w w:val="89"/>
              </w:rPr>
              <w:t>Total</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Additional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Health, Inc.</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99"/>
              <w:spacing w:after="0"/>
              <w:rPr>
                <w:sz w:val="20"/>
                <w:szCs w:val="20"/>
                <w:color w:val="auto"/>
              </w:rPr>
            </w:pPr>
            <w:r>
              <w:rPr>
                <w:rFonts w:ascii="Arial" w:cs="Arial" w:eastAsia="Arial" w:hAnsi="Arial"/>
                <w:sz w:val="16"/>
                <w:szCs w:val="16"/>
                <w:color w:val="auto"/>
                <w:w w:val="97"/>
              </w:rPr>
              <w:t>Noncontrolling</w:t>
            </w:r>
          </w:p>
        </w:tc>
        <w:tc>
          <w:tcPr>
            <w:tcW w:w="8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980" w:type="dxa"/>
            <w:vAlign w:val="bottom"/>
            <w:gridSpan w:val="6"/>
          </w:tcPr>
          <w:p>
            <w:pPr>
              <w:jc w:val="right"/>
              <w:ind w:right="480"/>
              <w:spacing w:after="0"/>
              <w:rPr>
                <w:sz w:val="20"/>
                <w:szCs w:val="20"/>
                <w:color w:val="auto"/>
              </w:rPr>
            </w:pPr>
            <w:r>
              <w:rPr>
                <w:rFonts w:ascii="Arial" w:cs="Arial" w:eastAsia="Arial" w:hAnsi="Arial"/>
                <w:sz w:val="16"/>
                <w:szCs w:val="16"/>
                <w:color w:val="auto"/>
              </w:rPr>
              <w:t>Common Stock</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Paid-in</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Accumulated</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Stockholders’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2"/>
          </w:tcPr>
          <w:p>
            <w:pPr>
              <w:jc w:val="center"/>
              <w:ind w:right="99"/>
              <w:spacing w:after="0"/>
              <w:rPr>
                <w:sz w:val="20"/>
                <w:szCs w:val="20"/>
                <w:color w:val="auto"/>
              </w:rPr>
            </w:pPr>
            <w:r>
              <w:rPr>
                <w:rFonts w:ascii="Arial" w:cs="Arial" w:eastAsia="Arial" w:hAnsi="Arial"/>
                <w:sz w:val="16"/>
                <w:szCs w:val="16"/>
                <w:color w:val="auto"/>
                <w:w w:val="89"/>
              </w:rPr>
              <w:t>Interest</w:t>
            </w:r>
          </w:p>
        </w:tc>
        <w:tc>
          <w:tcPr>
            <w:tcW w:w="80" w:type="dxa"/>
            <w:vAlign w:val="bottom"/>
          </w:tcPr>
          <w:p>
            <w:pPr>
              <w:spacing w:after="0"/>
              <w:rPr>
                <w:sz w:val="22"/>
                <w:szCs w:val="22"/>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20" w:type="dxa"/>
            <w:vAlign w:val="bottom"/>
            <w:tcBorders>
              <w:top w:val="single" w:sz="8" w:color="auto"/>
            </w:tcBorders>
            <w:gridSpan w:val="2"/>
          </w:tcPr>
          <w:p>
            <w:pPr>
              <w:ind w:left="260"/>
              <w:spacing w:after="0"/>
              <w:rPr>
                <w:sz w:val="20"/>
                <w:szCs w:val="20"/>
                <w:color w:val="auto"/>
              </w:rPr>
            </w:pPr>
            <w:r>
              <w:rPr>
                <w:rFonts w:ascii="Arial" w:cs="Arial" w:eastAsia="Arial" w:hAnsi="Arial"/>
                <w:sz w:val="16"/>
                <w:szCs w:val="16"/>
                <w:color w:val="auto"/>
              </w:rPr>
              <w:t>Shares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Par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9"/>
              <w:spacing w:after="0"/>
              <w:rPr>
                <w:sz w:val="20"/>
                <w:szCs w:val="20"/>
                <w:color w:val="auto"/>
              </w:rPr>
            </w:pPr>
            <w:r>
              <w:rPr>
                <w:rFonts w:ascii="Arial" w:cs="Arial" w:eastAsia="Arial" w:hAnsi="Arial"/>
                <w:sz w:val="16"/>
                <w:szCs w:val="16"/>
                <w:color w:val="auto"/>
              </w:rPr>
              <w:t>Deficit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Equity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99"/>
              <w:spacing w:after="0"/>
              <w:rPr>
                <w:sz w:val="20"/>
                <w:szCs w:val="20"/>
                <w:color w:val="auto"/>
              </w:rPr>
            </w:pPr>
            <w:r>
              <w:rPr>
                <w:rFonts w:ascii="Arial" w:cs="Arial" w:eastAsia="Arial" w:hAnsi="Arial"/>
                <w:sz w:val="16"/>
                <w:szCs w:val="16"/>
                <w:color w:val="auto"/>
                <w:w w:val="98"/>
              </w:rPr>
              <w:t>Equity</w:t>
            </w:r>
          </w:p>
        </w:tc>
        <w:tc>
          <w:tcPr>
            <w:tcW w:w="8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24,339,610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(74,211)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24,751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in connection with:</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Arial" w:cs="Arial" w:eastAsia="Arial" w:hAnsi="Arial"/>
                <w:sz w:val="16"/>
                <w:szCs w:val="16"/>
                <w:color w:val="auto"/>
              </w:rPr>
              <w:t>Exercise of warrants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763,393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 of employee stock options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20,955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Arial" w:cs="Arial" w:eastAsia="Arial" w:hAnsi="Arial"/>
                <w:sz w:val="16"/>
                <w:szCs w:val="16"/>
                <w:color w:val="auto"/>
              </w:rPr>
              <w:t>Stock-based payment for services provided</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8,980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8,980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at June 30, 2019</w:t>
            </w: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25,138,958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100,271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(65,231</w:t>
            </w:r>
          </w:p>
        </w:tc>
        <w:tc>
          <w:tcPr>
            <w:tcW w:w="120" w:type="dxa"/>
            <w:vAlign w:val="bottom"/>
            <w:vMerge w:val="continue"/>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240" w:type="dxa"/>
            <w:vAlign w:val="bottom"/>
            <w:tcBorders>
              <w:bottom w:val="single" w:sz="8" w:color="auto"/>
            </w:tcBorders>
            <w:gridSpan w:val="4"/>
          </w:tcPr>
          <w:p>
            <w:pPr>
              <w:jc w:val="right"/>
              <w:ind w:right="26"/>
              <w:spacing w:after="0"/>
              <w:rPr>
                <w:sz w:val="20"/>
                <w:szCs w:val="20"/>
                <w:color w:val="auto"/>
              </w:rPr>
            </w:pPr>
            <w:r>
              <w:rPr>
                <w:rFonts w:ascii="Arial" w:cs="Arial" w:eastAsia="Arial" w:hAnsi="Arial"/>
                <w:sz w:val="18"/>
                <w:szCs w:val="18"/>
                <w:color w:val="auto"/>
              </w:rPr>
              <w:t>For the Six Months Ended June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86"/>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8,913</w:t>
            </w:r>
          </w:p>
        </w:tc>
        <w:tc>
          <w:tcPr>
            <w:tcW w:w="360" w:type="dxa"/>
            <w:vAlign w:val="bottom"/>
          </w:tcPr>
          <w:p>
            <w:pPr>
              <w:spacing w:after="0"/>
              <w:rPr>
                <w:sz w:val="18"/>
                <w:szCs w:val="18"/>
                <w:color w:val="auto"/>
              </w:rPr>
            </w:pPr>
          </w:p>
        </w:tc>
        <w:tc>
          <w:tcPr>
            <w:tcW w:w="1140" w:type="dxa"/>
            <w:vAlign w:val="bottom"/>
          </w:tcPr>
          <w:p>
            <w:pPr>
              <w:jc w:val="right"/>
              <w:ind w:right="1026"/>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Adjustments to reconcile net income (loss) to net cash provided by (used in) operating activities: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plant and equipment</w:t>
            </w:r>
          </w:p>
        </w:tc>
        <w:tc>
          <w:tcPr>
            <w:tcW w:w="1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968</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Amortization of operating lease right-of-use assets</w:t>
            </w:r>
          </w:p>
        </w:tc>
        <w:tc>
          <w:tcPr>
            <w:tcW w:w="1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256</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 and discount</w:t>
            </w:r>
          </w:p>
        </w:tc>
        <w:tc>
          <w:tcPr>
            <w:tcW w:w="1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1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Investment (gain) loss from Eton, net</w:t>
            </w:r>
          </w:p>
        </w:tc>
        <w:tc>
          <w:tcPr>
            <w:tcW w:w="1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(6,230)</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(gain) from Melt, net</w:t>
            </w:r>
          </w:p>
        </w:tc>
        <w:tc>
          <w:tcPr>
            <w:tcW w:w="1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(5,199)</w:t>
            </w:r>
          </w:p>
        </w:tc>
        <w:tc>
          <w:tcPr>
            <w:tcW w:w="1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Investment (gain) loss from Surface, net</w:t>
            </w:r>
          </w:p>
        </w:tc>
        <w:tc>
          <w:tcPr>
            <w:tcW w:w="1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504</w:t>
            </w:r>
          </w:p>
        </w:tc>
        <w:tc>
          <w:tcPr>
            <w:tcW w:w="1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and disposal of assets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Stock-based payment of consulting services</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3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Accounts payable, accrued expenses, and other liabilities</w:t>
            </w:r>
          </w:p>
        </w:tc>
        <w:tc>
          <w:tcPr>
            <w:tcW w:w="1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830</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1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w:t>
            </w:r>
          </w:p>
        </w:tc>
        <w:tc>
          <w:tcPr>
            <w:tcW w:w="1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Deferred revenue and customer deposits</w:t>
            </w:r>
          </w:p>
        </w:tc>
        <w:tc>
          <w:tcPr>
            <w:tcW w:w="11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360" w:type="dxa"/>
            <w:vAlign w:val="bottom"/>
            <w:tcBorders>
              <w:top w:val="single" w:sz="8" w:color="CCEEFF"/>
              <w:bottom w:val="single" w:sz="8" w:color="CCEEFF"/>
              <w:right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note receivable</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Investment in patent and trademark assets</w:t>
            </w:r>
          </w:p>
        </w:tc>
        <w:tc>
          <w:tcPr>
            <w:tcW w:w="1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1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1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tcBorders>
              <w:bottom w:val="single" w:sz="8" w:color="auto"/>
            </w:tcBorders>
            <w:shd w:val="clear" w:color="auto" w:fill="000000"/>
          </w:tcPr>
          <w:p>
            <w:pPr>
              <w:spacing w:after="0" w:line="20" w:lineRule="exact"/>
              <w:rPr>
                <w:sz w:val="1"/>
                <w:szCs w:val="1"/>
                <w:color w:val="auto"/>
              </w:rPr>
            </w:pPr>
          </w:p>
        </w:tc>
        <w:tc>
          <w:tcPr>
            <w:tcW w:w="5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160" w:type="dxa"/>
            <w:vAlign w:val="bottom"/>
          </w:tcPr>
          <w:p>
            <w:pPr>
              <w:spacing w:after="0"/>
              <w:rPr>
                <w:sz w:val="18"/>
                <w:szCs w:val="18"/>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(785</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(700</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Payments on capital lease obligations</w:t>
            </w:r>
          </w:p>
        </w:tc>
        <w:tc>
          <w:tcPr>
            <w:tcW w:w="1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1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Park deferred acquisition obligation</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Principal payments on note payable</w:t>
            </w:r>
          </w:p>
        </w:tc>
        <w:tc>
          <w:tcPr>
            <w:tcW w:w="1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costs related to amendment of note payable</w:t>
            </w:r>
          </w:p>
        </w:tc>
        <w:tc>
          <w:tcPr>
            <w:tcW w:w="1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1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Net proceeds from ATM sales of common stock</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warrants</w:t>
            </w:r>
          </w:p>
        </w:tc>
        <w:tc>
          <w:tcPr>
            <w:tcW w:w="1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60" w:type="dxa"/>
            <w:vAlign w:val="bottom"/>
            <w:tcBorders>
              <w:bottom w:val="single" w:sz="8" w:color="CCEEFF"/>
              <w:right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40" w:type="dxa"/>
            <w:vAlign w:val="bottom"/>
            <w:gridSpan w:val="2"/>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1160" w:type="dxa"/>
            <w:vAlign w:val="bottom"/>
          </w:tcPr>
          <w:p>
            <w:pPr>
              <w:spacing w:after="0"/>
              <w:rPr>
                <w:sz w:val="18"/>
                <w:szCs w:val="18"/>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(1,228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(2,645)</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CASH, CASH EQUIVALENTS AND RESTRICTED CASH, beginning of period</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6,838</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 end of period</w:t>
            </w: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3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1026"/>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CASH, CASH EQUIVALENTS AND RESTRICTED CASH</w:t>
            </w: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3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ind w:right="1026"/>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1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3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1026"/>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140" w:type="dxa"/>
            <w:vAlign w:val="bottom"/>
            <w:shd w:val="clear" w:color="auto" w:fill="CCEEFF"/>
          </w:tcPr>
          <w:p>
            <w:pPr>
              <w:jc w:val="right"/>
              <w:ind w:right="1026"/>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for interest</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Borders>
              <w:bottom w:val="single" w:sz="8" w:color="CCEEFF"/>
            </w:tcBorders>
            <w:vMerge w:val="continue"/>
          </w:tcPr>
          <w:p>
            <w:pPr>
              <w:spacing w:after="0"/>
              <w:rPr>
                <w:sz w:val="20"/>
                <w:szCs w:val="20"/>
                <w:color w:val="auto"/>
              </w:rPr>
            </w:pPr>
          </w:p>
        </w:tc>
        <w:tc>
          <w:tcPr>
            <w:tcW w:w="1160" w:type="dxa"/>
            <w:vAlign w:val="bottom"/>
            <w:tcBorders>
              <w:bottom w:val="single" w:sz="8" w:color="auto"/>
            </w:tcBorders>
          </w:tcPr>
          <w:p>
            <w:pPr>
              <w:jc w:val="right"/>
              <w:ind w:right="97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1,053</w:t>
            </w:r>
          </w:p>
        </w:tc>
        <w:tc>
          <w:tcPr>
            <w:tcW w:w="3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026"/>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2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SUPPLEMENTAL DISCLOSURES OF NON-CASH INVESTING AND FINANCING</w:t>
            </w:r>
          </w:p>
        </w:tc>
        <w:tc>
          <w:tcPr>
            <w:tcW w:w="1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Acquisition of equipment with finance lease obligation</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0"/>
                <w:szCs w:val="20"/>
                <w:color w:val="auto"/>
              </w:rPr>
            </w:pPr>
          </w:p>
        </w:tc>
        <w:tc>
          <w:tcPr>
            <w:tcW w:w="1140" w:type="dxa"/>
            <w:vAlign w:val="bottom"/>
          </w:tcPr>
          <w:p>
            <w:pPr>
              <w:jc w:val="right"/>
              <w:ind w:right="1026"/>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vMerge w:val="restart"/>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Issuance of stock and stock options for consulting services included in accounts payable and</w:t>
            </w: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520" w:type="dxa"/>
            <w:vAlign w:val="bottom"/>
            <w:vMerge w:val="continue"/>
            <w:shd w:val="clear" w:color="auto" w:fill="CCEEFF"/>
          </w:tcPr>
          <w:p>
            <w:pPr>
              <w:spacing w:after="0"/>
              <w:rPr>
                <w:sz w:val="13"/>
                <w:szCs w:val="13"/>
                <w:color w:val="auto"/>
              </w:rPr>
            </w:pPr>
          </w:p>
        </w:tc>
        <w:tc>
          <w:tcPr>
            <w:tcW w:w="1160" w:type="dxa"/>
            <w:vAlign w:val="bottom"/>
            <w:vMerge w:val="restart"/>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026"/>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1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56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Purchases of property and equipment included in accrued expenses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ind w:right="97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36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ind w:right="1026"/>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Harrow Health, Inc. (together with its subsidiaries, unless the context indicates or otherwise requires, the “Company” or “Harrow”) specializes in the development, production and sale of innovative medications that offer unique competitive advantages and serve unmet needs in the marketplace through its subsidiaries and deconsolidated companies. The Company owns one of the nation’s leading ophthalmology pharmaceutical businesses, ImprimisRx. In addition to wholly owning ImprimisRx, the Company also has equity positions in Eton Pharmaceuticals, Inc. (“Eton”), Surface Pharmaceuticals, Inc. (“Surface”), and Melt Pharmaceuticals, Inc. (“Melt”). More recently, the Company founded its subsidiaries Mayfield Pharmaceuticals, Inc. (“Mayfield”), Radley Pharmaceuticals, Inc. (“Radley”), and Stowe Pharmaceuticals, Inc. (“Stowe”). The Company owns royalty rights in certain 505(b)(2) drug candidates being developed by Surface, Melt, Radley and Mayfield. Harrow intends to continue to create new subsidiaries, and found, and hold equity and royalty rights in, new businesses that commercialize drug candidates that are internally developed or otherwise acquired or licensed from third parties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2019, the Company entered into an agreement with Elle Pharmaceutical, Inc. (“Elle”) in which Mayfield issued 1,000,000 shares of its common stock to Elle (see Note 14).</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July 2019, the Company entered into an agreement with Noice Rx, LLC (“Noice”) to sell substantially all the assets associated with its non-ophthalmology pharmaceutical compounding business conducted by the Company’s subsidiary Park Compounding, Inc. (“Park”) for a purchase price of $8,000. The closing of the Park sale is contingent upon Noice being issued a temporary pharmacy and sterile license from the California State Board of Pharmacy and other customary conditions and terms (see Note 16). In connection with the sale of Park, the Company will issue Noice a seller’s note for $8,000.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six months ended June 30, 2019 are not necessarily indicative of the results that may be expected for the year ending December 31, 2019 or for any other period. For further information, refer to the Company’s audited consolidated financial statements and footnotes thereto included in the Company’s Annual Report on Form 10-K for the year ended December 31, 2018.</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accounts of Harrow and its wholly owned subsidiaries, as well as Mayfield, a 72% majority owned subsidiary of Harrow, as of June 30, 2019. The remaining 28% of Mayfield is owned by Elle. Mayfield was organized to develop women’s health focused drug candidates. All inter-company accounts and transactions have been eliminated in consolidation.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Harrow consolidates entities in which we have a controlling financial interest. We consolidate subsidiaries in which we hold, directly or indirectly, more than 50% of the voting rights.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balance sheets at June 30, 2019 and December 31, 2018 and the condensed consolidated statements of operations, stockholders’ equity and cash flows for the periods ended June 30, 2019 include our accounts and those of our wholly owned subsidiaries as well as Mayfield. The condensed consolidated statements of operations, stockholders’ equity and cash flows for the periods ended June 30, 2018 include our accounts and those of our wholly owned subsidiaries.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three and six months ended June 30, 2019 to the significant accounting policies described in the Company’s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net income (loss) of $8,980 and $(991) for the six months ended June 30, 2019 and 2018, respectively, and had an accumulated deficit of $65,231 and $74,211 as of June 30, 2019 and December 31, 2018, respectively. In addition, the Company used cash in operating activities of $(632) for the six months ended June 30, 2019, while during the six months ended June 30, 2018, operating activities provided cash of $400.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there is no assurance, management of the Company believes existing cash resources and restricted cash of $4,193 at June 30, 2019,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may seek to increase liquidity and capital resources through a variety of means which may include, but are not limited to: the sale of assets, investments and/or businesses, obtaining financing through the issuance of equity, debt, or convertible securities; and working to increase revenue growth through sales. There is no guarantee that the Company will be able to obtain capital when needed on terms management deems acceptable, or at all.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chief operating decision-maker is its Chief Executive Officer who makes resource allocation decisions and assesses performance based on financial information presented on as operating segments. The Company has identified two operating segments as reportable segments. See Note 15 for more information regarding the Company’s reportable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any noncontrolling interest as a separate line item in equity in the condensed consolidated financial statements. A noncontrolling interest represents the portion of equity ownership in a less-than-wholly owned subsidiary not attributable to the Company. Generally, any interest that holds less than 50% of the outstanding voting shares is deemed to be a noncontrolling interest; however, there are other factors, such as decision-making rights, that are considered as well. The Company includes the amount of net income (loss) attributable to noncontrolling interests in consolidated net income (loss) on the face of the condensed consolidated statements of operations.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in the condensed consolidated statements of stockholders’ equity a reconciliation at the beginning and the end of the period of the carrying amount of total equity, equity attributable to the parent, and equity attributable to the noncontrolling interest that separately discloses:</w:t>
      </w:r>
    </w:p>
    <w:p>
      <w:pPr>
        <w:spacing w:after="0" w:line="14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or loss;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owners acting in their capacity as owners, showing separately contributions from and distributions to owners;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component of other income or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common share is computed by dividing income (loss) attributable to common stockholders for the period by the weighted average number of common shares outstanding during the period. Diluted income (loss) per share is computed by dividing the income (loss) attributable to common stockholders for the period by the weighted average number of common and common equivalent shares, such as stock options and warrants, outstanding during the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both"/>
        <w:spacing w:after="0" w:line="272" w:lineRule="auto"/>
        <w:rPr>
          <w:sz w:val="20"/>
          <w:szCs w:val="20"/>
          <w:color w:val="auto"/>
        </w:rPr>
      </w:pPr>
      <w:r>
        <w:rPr>
          <w:rFonts w:ascii="Arial" w:cs="Arial" w:eastAsia="Arial" w:hAnsi="Arial"/>
          <w:sz w:val="17"/>
          <w:szCs w:val="17"/>
          <w:color w:val="auto"/>
        </w:rPr>
        <w:t>Basic and diluted net income (loss) per share is computed using the weighted average number of shares of common stock outstanding during the period. Common stock equivalents (using the treasury stock or “if converted” method) from deferred acquisition obligations, convertible note payable, stock options, unvested restricted stock units (“RSUs”) and warrants were 5,331,883 and 10,245,280 at June 30, 2019 and 2018, respectively, and, except for the six months ended June 30, 2019 and the three months ended June 30, 2018, are excluded from the calculation of diluted net income (loss) per share for the periods presented, because the effect is anti-dilutive. Included in the basic and diluted net income (loss) per share calculation were RSUs awarded to directors that had vested, but the issuance and delivery of the shares are deferred until the director resigns. The number of shares underlying vested RSUs at June 30, 2019 and 2018 was 304,873 and 168,513,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basic net income (loss) per share of common stock for the three and six months ended June 30, 2019 and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5"/>
          </w:tcPr>
          <w:p>
            <w:pPr>
              <w:jc w:val="right"/>
              <w:ind w:right="700"/>
              <w:spacing w:after="0"/>
              <w:rPr>
                <w:sz w:val="20"/>
                <w:szCs w:val="20"/>
                <w:color w:val="auto"/>
              </w:rPr>
            </w:pPr>
            <w:r>
              <w:rPr>
                <w:rFonts w:ascii="Arial" w:cs="Arial" w:eastAsia="Arial" w:hAnsi="Arial"/>
                <w:sz w:val="18"/>
                <w:szCs w:val="18"/>
                <w:color w:val="auto"/>
                <w:w w:val="98"/>
              </w:rPr>
              <w:t>For the Three Months Ended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right"/>
              <w:ind w:right="60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Numerator – net income (loss) attributable to Harrow Health,</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2,522</w:t>
            </w:r>
          </w:p>
        </w:tc>
        <w:tc>
          <w:tcPr>
            <w:tcW w:w="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8,980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Denominator – weighted average number of shares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25,216,565</w:t>
            </w:r>
          </w:p>
        </w:tc>
        <w:tc>
          <w:tcPr>
            <w:tcW w:w="3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21,190,794</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25,030,012</w:t>
            </w:r>
          </w:p>
        </w:tc>
        <w:tc>
          <w:tcPr>
            <w:tcW w:w="320" w:type="dxa"/>
            <w:vAlign w:val="bottom"/>
          </w:tcPr>
          <w:p>
            <w:pPr>
              <w:spacing w:after="0"/>
              <w:rPr>
                <w:sz w:val="13"/>
                <w:szCs w:val="13"/>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21,070,644</w:t>
            </w:r>
          </w:p>
        </w:tc>
        <w:tc>
          <w:tcPr>
            <w:tcW w:w="0" w:type="dxa"/>
            <w:vAlign w:val="bottom"/>
          </w:tcPr>
          <w:p>
            <w:pPr>
              <w:spacing w:after="0"/>
              <w:rPr>
                <w:sz w:val="1"/>
                <w:szCs w:val="1"/>
                <w:color w:val="auto"/>
              </w:rPr>
            </w:pPr>
          </w:p>
        </w:tc>
      </w:tr>
      <w:tr>
        <w:trPr>
          <w:trHeight w:val="224"/>
        </w:trPr>
        <w:tc>
          <w:tcPr>
            <w:tcW w:w="4820" w:type="dxa"/>
            <w:vAlign w:val="bottom"/>
            <w:gridSpan w:val="2"/>
          </w:tcPr>
          <w:p>
            <w:pPr>
              <w:spacing w:after="0"/>
              <w:rPr>
                <w:sz w:val="20"/>
                <w:szCs w:val="20"/>
                <w:color w:val="auto"/>
              </w:rPr>
            </w:pPr>
            <w:r>
              <w:rPr>
                <w:rFonts w:ascii="Arial" w:cs="Arial" w:eastAsia="Arial" w:hAnsi="Arial"/>
                <w:sz w:val="18"/>
                <w:szCs w:val="18"/>
                <w:color w:val="auto"/>
              </w:rPr>
              <w:t>outstanding, basic</w:t>
            </w:r>
          </w:p>
        </w:tc>
        <w:tc>
          <w:tcPr>
            <w:tcW w:w="3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basic</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six months ended June 30, 2019 and the three months ended June 30, 2018, the Company had net income. As a result, the Company computed diluted net income per share using the weighted-average number of common shares and dilutive common equivalent shares outstanding during those periods. Diluted common equivalent shares for the six months ended June 30, 2019 and the three months ended June 30, 2018, consisted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For the</w:t>
            </w:r>
          </w:p>
        </w:tc>
      </w:tr>
      <w:tr>
        <w:trPr>
          <w:trHeight w:val="216"/>
        </w:trPr>
        <w:tc>
          <w:tcPr>
            <w:tcW w:w="532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Three Months</w:t>
            </w: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Six Months</w:t>
            </w:r>
          </w:p>
        </w:tc>
      </w:tr>
      <w:tr>
        <w:trPr>
          <w:trHeight w:val="216"/>
        </w:trPr>
        <w:tc>
          <w:tcPr>
            <w:tcW w:w="532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Ended</w:t>
            </w:r>
          </w:p>
        </w:tc>
      </w:tr>
      <w:tr>
        <w:trPr>
          <w:trHeight w:val="237"/>
        </w:trPr>
        <w:tc>
          <w:tcPr>
            <w:tcW w:w="5320" w:type="dxa"/>
            <w:vAlign w:val="bottom"/>
          </w:tcPr>
          <w:p>
            <w:pPr>
              <w:spacing w:after="0"/>
              <w:rPr>
                <w:sz w:val="20"/>
                <w:szCs w:val="20"/>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June 30, 2018</w:t>
            </w: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June 30, 2019</w:t>
            </w: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related to:</w:t>
            </w:r>
          </w:p>
        </w:tc>
        <w:tc>
          <w:tcPr>
            <w:tcW w:w="1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20" w:type="dxa"/>
            <w:vAlign w:val="bottom"/>
            <w:gridSpan w:val="2"/>
          </w:tcPr>
          <w:p>
            <w:pPr>
              <w:jc w:val="right"/>
              <w:ind w:right="280"/>
              <w:spacing w:after="0"/>
              <w:rPr>
                <w:sz w:val="20"/>
                <w:szCs w:val="20"/>
                <w:color w:val="auto"/>
              </w:rPr>
            </w:pPr>
            <w:r>
              <w:rPr>
                <w:rFonts w:ascii="Arial" w:cs="Arial" w:eastAsia="Arial" w:hAnsi="Arial"/>
                <w:sz w:val="18"/>
                <w:szCs w:val="18"/>
                <w:color w:val="auto"/>
              </w:rPr>
              <w:t>1,093,006</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1,028,780</w:t>
            </w:r>
          </w:p>
        </w:tc>
        <w:tc>
          <w:tcPr>
            <w:tcW w:w="60" w:type="dxa"/>
            <w:vAlign w:val="bottom"/>
          </w:tcPr>
          <w:p>
            <w:pPr>
              <w:spacing w:after="0"/>
              <w:rPr>
                <w:sz w:val="18"/>
                <w:szCs w:val="18"/>
                <w:color w:val="auto"/>
              </w:rPr>
            </w:pPr>
          </w:p>
        </w:tc>
      </w:tr>
      <w:tr>
        <w:trPr>
          <w:trHeight w:val="23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and RSUs</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891,631</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637,891</w:t>
            </w:r>
          </w:p>
        </w:tc>
        <w:tc>
          <w:tcPr>
            <w:tcW w:w="60" w:type="dxa"/>
            <w:vAlign w:val="bottom"/>
            <w:shd w:val="clear" w:color="auto" w:fill="CCEEFF"/>
          </w:tcPr>
          <w:p>
            <w:pPr>
              <w:spacing w:after="0"/>
              <w:rPr>
                <w:sz w:val="20"/>
                <w:szCs w:val="20"/>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Dilutive common equivalent shares</w:t>
            </w: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1,984,637</w:t>
            </w:r>
          </w:p>
        </w:tc>
        <w:tc>
          <w:tcPr>
            <w:tcW w:w="280" w:type="dxa"/>
            <w:vAlign w:val="bottom"/>
            <w:tcBorders>
              <w:top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1,666,671</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computation of diluted net income (loss) per share of common stock for the three and six months ended June 30, 2019 and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5"/>
          </w:tcPr>
          <w:p>
            <w:pPr>
              <w:jc w:val="right"/>
              <w:ind w:right="700"/>
              <w:spacing w:after="0"/>
              <w:rPr>
                <w:sz w:val="20"/>
                <w:szCs w:val="20"/>
                <w:color w:val="auto"/>
              </w:rPr>
            </w:pPr>
            <w:r>
              <w:rPr>
                <w:rFonts w:ascii="Arial" w:cs="Arial" w:eastAsia="Arial" w:hAnsi="Arial"/>
                <w:sz w:val="18"/>
                <w:szCs w:val="18"/>
                <w:color w:val="auto"/>
                <w:w w:val="98"/>
              </w:rPr>
              <w:t>For the Three Months Ended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right"/>
              <w:ind w:right="60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Numerator – net income (loss) attributable to Harrow Health,</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2,522</w:t>
            </w:r>
          </w:p>
        </w:tc>
        <w:tc>
          <w:tcPr>
            <w:tcW w:w="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8,980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Denominator – weighted average number of shares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outstanding, basic</w:t>
            </w:r>
          </w:p>
        </w:tc>
        <w:tc>
          <w:tcPr>
            <w:tcW w:w="3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25,216,565</w:t>
            </w: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21,190,794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25,030,012</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21,070,644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equivalents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1,984,637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Number of shares used for diluted earnings per share</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25,216,565</w:t>
            </w:r>
          </w:p>
        </w:tc>
        <w:tc>
          <w:tcPr>
            <w:tcW w:w="34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23,175,431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26,696,683</w:t>
            </w:r>
          </w:p>
        </w:tc>
        <w:tc>
          <w:tcPr>
            <w:tcW w:w="320" w:type="dxa"/>
            <w:vAlign w:val="bottom"/>
          </w:tcPr>
          <w:p>
            <w:pPr>
              <w:spacing w:after="0"/>
              <w:rPr>
                <w:sz w:val="15"/>
                <w:szCs w:val="15"/>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21,070,644</w:t>
            </w:r>
          </w:p>
        </w:tc>
        <w:tc>
          <w:tcPr>
            <w:tcW w:w="0" w:type="dxa"/>
            <w:vAlign w:val="bottom"/>
          </w:tcPr>
          <w:p>
            <w:pPr>
              <w:spacing w:after="0"/>
              <w:rPr>
                <w:sz w:val="1"/>
                <w:szCs w:val="1"/>
                <w:color w:val="auto"/>
              </w:rPr>
            </w:pPr>
          </w:p>
        </w:tc>
      </w:tr>
      <w:tr>
        <w:trPr>
          <w:trHeight w:val="224"/>
        </w:trPr>
        <w:tc>
          <w:tcPr>
            <w:tcW w:w="4820" w:type="dxa"/>
            <w:vAlign w:val="bottom"/>
            <w:gridSpan w:val="2"/>
          </w:tcPr>
          <w:p>
            <w:pPr>
              <w:spacing w:after="0"/>
              <w:rPr>
                <w:sz w:val="20"/>
                <w:szCs w:val="20"/>
                <w:color w:val="auto"/>
              </w:rPr>
            </w:pPr>
            <w:r>
              <w:rPr>
                <w:rFonts w:ascii="Arial" w:cs="Arial" w:eastAsia="Arial" w:hAnsi="Arial"/>
                <w:sz w:val="18"/>
                <w:szCs w:val="18"/>
                <w:color w:val="auto"/>
              </w:rPr>
              <w:t>computation</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diluted</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Investment in Eton Pharmaceuticals, Inc. – Related Party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owns 3,500,000 shares of Eton common stock, which represents approximately 19.7% of the equity and voting interests of Eton as of June 30, 2019. At June 30, 2019, the fair market value of Eton’s common stock was $7.90 per share, the closing share price of Eton common stock on June 28, 2019, the last trading day of the period ended June 30, 2019. In accordance with the Accounting Standards Update (“ASU”) 2016-01, </w:t>
      </w:r>
      <w:r>
        <w:rPr>
          <w:rFonts w:ascii="Arial" w:cs="Arial" w:eastAsia="Arial" w:hAnsi="Arial"/>
          <w:sz w:val="17"/>
          <w:szCs w:val="17"/>
          <w:i w:val="1"/>
          <w:iCs w:val="1"/>
          <w:color w:val="auto"/>
        </w:rPr>
        <w:t>Financial Instruments-Overall (Subtopic 825-10): Recognition and Measurement of Financial Assets and Financial Liabilities</w:t>
      </w:r>
      <w:r>
        <w:rPr>
          <w:rFonts w:ascii="Arial" w:cs="Arial" w:eastAsia="Arial" w:hAnsi="Arial"/>
          <w:sz w:val="17"/>
          <w:szCs w:val="17"/>
          <w:color w:val="auto"/>
        </w:rPr>
        <w:t>, for the three months ended June 30, 2019,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recorded an investment loss from its Eton common stock position of $350, related to the change in fair market value of the Company’s investment in Eton during the measurement period. For the six months ended June 30, 2019, the Company recorded an investment gain from its Eton common stock position of $6,230, related to the change in fair market value of the Company’s investment in Eton during the measurement period. As of June 30, 2019, the fair market value of the Company’s investment in Eton was $27,650.</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2018, the Company entered into a lock-up agreement that prohibits the sale of any of its Eton common stock until November 2019 without the approval of National Securities Corporation, the underwriter of Eton’s initial public offering of its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 Baum, the Company’s Chief Executive Officer, is a member of the board of directors of Eton.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the Company formed Melt as a wholly owned subsidiary. In January and March of 2019, Melt entered into definitive stock purchase agreements (collectively, the “Melt Series A Preferred Stock Agreement”) with certain investors and closed on the purchase and sale of Melt’s Series A Preferred Stock (the “Melt Series A Stock”), totaling approximately $11,400 of proceeds (collectively the “Melt Series A Round”) at a purchase price of $5.00 per share. As a result, the Company lost voting and ownership control of Melt and ceased consolidating Melt’s financial statements. In connection with the Melt Series A Preferred Stock Agreement, Melt also entered into a Registration Rights Agreement and agreed to use commercially reasonable efforts to file, or confidentially submit, a registration statement on Form S-1 with the United States Securities and Exchange Commission by September 30, 2020 relating to an initial public offering of its common stock.</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At the time of deconsolidation, the Company recorded a gain of $5,810 and adjusted the carrying value in Melt to reflect the increased valuation of Melt and the Company’s new ownership interest in accordance with Accounting Standard Codification (“ASC”) 810-10-40-4(c), </w:t>
      </w:r>
      <w:r>
        <w:rPr>
          <w:rFonts w:ascii="Arial" w:cs="Arial" w:eastAsia="Arial" w:hAnsi="Arial"/>
          <w:sz w:val="17"/>
          <w:szCs w:val="17"/>
          <w:i w:val="1"/>
          <w:iCs w:val="1"/>
          <w:color w:val="auto"/>
        </w:rPr>
        <w:t>Consolidation</w:t>
      </w:r>
      <w:r>
        <w:rPr>
          <w:rFonts w:ascii="Arial" w:cs="Arial" w:eastAsia="Arial" w:hAnsi="Arial"/>
          <w:sz w:val="17"/>
          <w:szCs w:val="17"/>
          <w:color w:val="auto"/>
        </w:rPr>
        <w:t>.</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owns 3,500,000 common shares (which is approximately 44% of the equity interest as of June 30, 2019) of Melt and uses the equity method of accounting for this investment, as management has determined that the Company has the ability to exercise significant influence over the operating and financial decisions of Melt. Under this method, the Company recognizes earnings and losses of Melt in its consolidated financial statements and adjusts the carrying amount of its investment in Melt accordingly. The Company’s share of earnings and losses are based on the Company’s ownership interest of Melt. Any intra-entity profits and losses are eliminated. During the three and six months ended June 30, 2019, the Company recorded equity in net loss of Melt of $326 and $611, respectively. As of June 30, 2019, the carrying value of the Company’s investment in Melt was $5,199.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Investment in Surface Pharmaceuticals, Inc.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the Company formed Surface as a wholly owned subsidiary. In May and July 2018, Surface entered into a definitive stock purchase agreement with an institutional investor for the purchase of Surface’s Series A Preferred Stock (the “Surface Series A Stock”) and closed on the sale, resulting in total proceeds to Surface of approximately $21,000. At the time of the first closing in May 2018, the Company lost voting and ownership control of Surface and it ceased consolidating Surface’s financial statements. The Surface Series A Stock (i) was issued at a purchase price of $3.30 per share; (ii) will vote together with the common stock and all other shares of stock of Surface having general voting power; (iii) will be entitled to the number of votes equal to the number of shares of preferred stock held; (iv) will hold liquidation preference over all other equity interests in Surface; and (v) will have mandatory conversion requirements into Surface common stock upon events including an underwritten initial public offering (“IPO”) of Surface common stock or similar transaction.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At the time of deconsolidation, the Company recorded a gain of $5,320 and adjusted the carrying value in Surface to reflect the increased valuation of Surface and the Company’s new ownership interest in accordance with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owns 3,500,000 common shares (which is approximately 30% of the equity interest as of June 30, 2019)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of Surface in its consolidated financial statements and adjusts the carrying amount of its investment in Surface accordingly. The Company’s share of earnings and losses are based on the Company’s ownership interest of Surface. Any intra-entity profits and losses are eliminated. The Company recorded equity in net loss of Surface of $261 and $504 during the three and six months ended June 30, 2019. The Company recorded equity in net loss of Surface of $102 during the three and six months ended June 30, 2018. As of June 30, 2019, the carrying value of the Company’s investment in Surface was $4,443.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new guidance was initiated as a joint project with the International Accounting Standards Board to simplify lease accounting and improve the quality of and comparability of financial information for users. This new guidance would eliminate the concept of off-balance sheet treatment for “operating leases” for lessees for the vast majority of lease contracts. Under ASU No. 2016-02, at inception, a lessee must classify all leases with a term of over one year as either finance or operating, with both classifications resulting in the recognition of a defined “right-of-use” asset and a lease liability on the balance sheet. However, recognition in the income statement will differ depending on the lease classification, with finance leases recognizing the amortization of the right-of-use asset separate from the interest on the lease liability and operating leases recognizing a single total lease expense. Lessor accounting under ASU No. 2016-02 would be substantially unchanged from the previous lease requirements under GAAP. ASU No. 2016-02 took effect for public companies in fiscal years beginning after December 15, 2018, including interim periods within those fiscal years. On January 1, 2019, the Company adopted Topic 842 using the modified retrospective transition method with no impact to stockholders’ equity. As of June 30, 2019, the Company held on its condensed consolidated balance sheet $6,069 for the right-of-use asset and $6,472 for the related lease liability related to operating leases. The difference between the right of use asset and related lease liability is predominantly deferred rent and other related lease expenses under the new lease accounting standard. For additional information regarding how the Company is accounting for leases under Topic 842, refer to Note 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does not expect ASU 2017-04 to have a material effect on the Company’s financial position, results of operations and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accounts for contracts with customers in accordance with ASC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The Company has two primary streams of revenues: (1) revenues recognized from our sale of products within our pharmacy services and (2) revenues recognized from intellectual property license and asset purchase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Revenues from our pharmacy services divisions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ASC 606, we have identified the following:</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the contract(s) with a customer: A contract exists with a customer at the time the prescription or order is received by the Company.</w:t>
      </w:r>
    </w:p>
    <w:p>
      <w:pPr>
        <w:spacing w:after="0" w:line="236"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five intellectual property license and related agreements in which the Company has promised to grant a license or sale which provides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 the revenue of which is recognized at the point of time the performance obligation is met.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revenue source for the three and six months ended June 30, 2019 and 2018,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For the Three Months Ended</w:t>
            </w:r>
          </w:p>
        </w:tc>
        <w:tc>
          <w:tcPr>
            <w:tcW w:w="280" w:type="dxa"/>
            <w:vAlign w:val="bottom"/>
          </w:tcPr>
          <w:p>
            <w:pPr>
              <w:spacing w:after="0"/>
              <w:rPr>
                <w:sz w:val="18"/>
                <w:szCs w:val="18"/>
                <w:color w:val="auto"/>
              </w:rPr>
            </w:pPr>
          </w:p>
        </w:tc>
        <w:tc>
          <w:tcPr>
            <w:tcW w:w="2800" w:type="dxa"/>
            <w:vAlign w:val="bottom"/>
            <w:gridSpan w:val="5"/>
          </w:tcPr>
          <w:p>
            <w:pPr>
              <w:ind w:left="200"/>
              <w:spacing w:after="0"/>
              <w:rPr>
                <w:sz w:val="20"/>
                <w:szCs w:val="20"/>
                <w:color w:val="auto"/>
              </w:rPr>
            </w:pPr>
            <w:r>
              <w:rPr>
                <w:rFonts w:ascii="Arial" w:cs="Arial" w:eastAsia="Arial" w:hAnsi="Arial"/>
                <w:sz w:val="18"/>
                <w:szCs w:val="18"/>
                <w:b w:val="1"/>
                <w:bCs w:val="1"/>
                <w:color w:val="auto"/>
              </w:rPr>
              <w:t>For the Six Months Ended</w:t>
            </w:r>
          </w:p>
        </w:tc>
      </w:tr>
      <w:tr>
        <w:trPr>
          <w:trHeight w:val="241"/>
        </w:trPr>
        <w:tc>
          <w:tcPr>
            <w:tcW w:w="2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13,509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19,229</w:t>
            </w:r>
          </w:p>
        </w:tc>
        <w:tc>
          <w:tcPr>
            <w:tcW w:w="80" w:type="dxa"/>
            <w:vAlign w:val="bottom"/>
            <w:shd w:val="clear" w:color="auto" w:fill="CCEEFF"/>
          </w:tcPr>
          <w:p>
            <w:pPr>
              <w:spacing w:after="0"/>
              <w:rPr>
                <w:sz w:val="18"/>
                <w:szCs w:val="18"/>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License revenues</w:t>
            </w: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16"/>
        </w:trPr>
        <w:tc>
          <w:tcPr>
            <w:tcW w:w="2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13,516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revenue and customer deposits at June 30, 2019 and December 31, 2018, was $224 and $119, retrospectively. All deferred revenue and customer deposit amounts at December 31, 2018 were recognized as revenue during the six months ended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MELT PHARMACEUTICALS, INC. AND AGREEMENTS - RELATED PARTY TRANSACTIONS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royalty payments to the Company up to eight percent (8%) of net sales of the Melt Products while any patent rights remain outstanding, as well as other conditions. In January and March 2019, the Company entered into the Melt Series A Preferred Stock Agreement.</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2019, the Company and Melt entered into a Management Services Agreement (the “Melt MSA”), whereby the Company provides to Melt certain administrative services and support, including bookkeeping, web services and human resources related activities, and Melt pays the Company a monthly amount of $10.</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2019, the Company was due $714 from Melt for reimbursable expenses and amounts due under the Melt MSA and included in prepaid expenses and other current assets on the accompanying condensed consolidated balance sheets.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Chief Executive Officer, Mark L. Baum, and Chief Medical Officer, Larry Dillaha, are members of the Melt board of directors, and several employees of the Company (including Mr. Baum and the Company’s Chief Financial Officer, Andrew Boll) entered into consulting agreements and provide consulting services to Melt.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For the</w:t>
            </w:r>
          </w:p>
        </w:tc>
      </w:tr>
      <w:tr>
        <w:trPr>
          <w:trHeight w:val="216"/>
        </w:trPr>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Six months ended</w:t>
            </w:r>
          </w:p>
        </w:tc>
      </w:tr>
      <w:tr>
        <w:trPr>
          <w:trHeight w:val="237"/>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June 30, 2019</w:t>
            </w:r>
          </w:p>
        </w:tc>
      </w:tr>
      <w:tr>
        <w:trPr>
          <w:trHeight w:val="216"/>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1,382</w:t>
            </w:r>
          </w:p>
        </w:tc>
      </w:tr>
      <w:tr>
        <w:trPr>
          <w:trHeight w:val="216"/>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Melt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Non current assets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preferred stock and stockholders’ equity</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SURFACE PHARMACEUTICALS, INC. AND AGREEMENTS - RELATED PARTY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entered into an asset purchase and license agreement in 2017, and amended it in April 2018 (the “Surface License Agreements”) with Surface. Pursuant to the terms of the Surface License Agreements, the Company assigned and licensed to Surface certain intellectual property and related rights to develop, formulate, make, sell, and sub-license formulations of certain topical eye drop formulations that utilize a proprietary delivery vehicle and a proprietary doxycycline capsule (collectively, the “Surface Products”). Surface is required to make royalty payments to the Company of four to six percent (4%-6%) of net sales of the Surface Products while any patent rights remain outstanding.</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the Company and Surface entered into an amended Management Services Agreement (the “Surface MSA”), whereby the Company provided to Surface certain administrative services and support, including bookkeeping, web services and human resources related activities, and Surface paid the Company a monthly amount of $10. The Surface MSA was terminated effective July 31,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the Company was due $50 from Surface for reimbursable expenses and amounts due under the Surface MSA and included in prepaid expenses and other current assets on the accompanying condensed consolidated balance sheets.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2019, the Company owned 3,500,000 shares of Surface common stock (approximately 30% of the issued and outstanding equity interests). The Company’s director, Richard L. Lindstrom and the Company’s Chief Executive Officer, Mark L. Baum, are directors of Surface. In addition, the Company’s Chief Financial Officer, Andrew R. Boll, was a director of Surface and resigned as a director of Surface concurrent with the sale of the Surface Series A Stock. Several employees and a director of the Company (including Mr. Baum, Dr. Lindstrom and Mr. Boll) entered into consulting agreements and provided consulting services to Surface. Surface is required to make royalty payments to Dr. Lindstrom of three percent (3%) of net sales of certain Surface products while certain patent rights remain outstanding. Dr. Lindstrom is also a principal of Flying L Partners, an affiliate of the funding investor who purchased the Surface Series A Stock.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Six Months Ended</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June 30,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26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3"/>
        </w:trPr>
        <w:tc>
          <w:tcPr>
            <w:tcW w:w="3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Revenues, net</w:t>
            </w:r>
          </w:p>
        </w:tc>
        <w:tc>
          <w:tcPr>
            <w:tcW w:w="2440" w:type="dxa"/>
            <w:vAlign w:val="bottom"/>
            <w:gridSpan w:val="2"/>
            <w:shd w:val="clear" w:color="auto" w:fill="CCEEFF"/>
          </w:tcPr>
          <w:p>
            <w:pPr>
              <w:jc w:val="right"/>
              <w:ind w:right="545"/>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Loss from operations</w:t>
            </w:r>
          </w:p>
        </w:tc>
        <w:tc>
          <w:tcPr>
            <w:tcW w:w="1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1,680</w:t>
            </w:r>
          </w:p>
        </w:tc>
      </w:tr>
      <w:tr>
        <w:trPr>
          <w:trHeight w:val="216"/>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 current assets</w:t>
            </w:r>
          </w:p>
        </w:tc>
        <w:tc>
          <w:tcPr>
            <w:tcW w:w="15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June 30, 2019 and December 31, 2018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4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Work in progress</w:t>
            </w: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r>
      <w:tr>
        <w:trPr>
          <w:trHeight w:val="23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w:t>
            </w:r>
          </w:p>
        </w:tc>
        <w:tc>
          <w:tcPr>
            <w:tcW w:w="40" w:type="dxa"/>
            <w:vAlign w:val="bottom"/>
            <w:shd w:val="clear" w:color="auto" w:fill="CCEEFF"/>
          </w:tcPr>
          <w:p>
            <w:pPr>
              <w:spacing w:after="0"/>
              <w:rPr>
                <w:sz w:val="20"/>
                <w:szCs w:val="20"/>
                <w:color w:val="auto"/>
              </w:rPr>
            </w:pPr>
          </w:p>
        </w:tc>
      </w:tr>
      <w:tr>
        <w:trPr>
          <w:trHeight w:val="203"/>
        </w:trPr>
        <w:tc>
          <w:tcPr>
            <w:tcW w:w="4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2,652</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1,834</w:t>
            </w:r>
          </w:p>
        </w:tc>
        <w:tc>
          <w:tcPr>
            <w:tcW w:w="20" w:type="dxa"/>
            <w:vAlign w:val="bottom"/>
            <w:tcBorders>
              <w:top w:val="single" w:sz="8" w:color="CCEEFF"/>
              <w:bottom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December 31,</w:t>
            </w:r>
          </w:p>
        </w:tc>
        <w:tc>
          <w:tcPr>
            <w:tcW w:w="4000" w:type="dxa"/>
            <w:vAlign w:val="bottom"/>
          </w:tcPr>
          <w:p>
            <w:pPr>
              <w:spacing w:after="0"/>
              <w:rPr>
                <w:sz w:val="18"/>
                <w:szCs w:val="18"/>
                <w:color w:val="auto"/>
              </w:rPr>
            </w:pPr>
          </w:p>
        </w:tc>
      </w:tr>
      <w:tr>
        <w:trPr>
          <w:trHeight w:val="241"/>
        </w:trPr>
        <w:tc>
          <w:tcPr>
            <w:tcW w:w="46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00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00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prepaid expenses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w:t>
            </w:r>
          </w:p>
        </w:tc>
        <w:tc>
          <w:tcPr>
            <w:tcW w:w="40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Receivable due from Surface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Receivable due from Melt</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00" w:type="dxa"/>
            <w:vAlign w:val="bottom"/>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0"/>
                <w:szCs w:val="20"/>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00" w:type="dxa"/>
            <w:vAlign w:val="bottom"/>
          </w:tcPr>
          <w:p>
            <w:pPr>
              <w:spacing w:after="0"/>
              <w:rPr>
                <w:sz w:val="20"/>
                <w:szCs w:val="20"/>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1,401</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837</w:t>
            </w:r>
          </w:p>
        </w:tc>
        <w:tc>
          <w:tcPr>
            <w:tcW w:w="400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420"/>
        </w:trPr>
        <w:tc>
          <w:tcPr>
            <w:tcW w:w="4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NOTE 8. PROPERTY, PLANT AND EQUIPMENT</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w w:val="98"/>
              </w:rPr>
              <w:t>Property, plant and equipment consisted of the following:</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4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Pr>
          <w:p>
            <w:pPr>
              <w:spacing w:after="0"/>
              <w:rPr>
                <w:sz w:val="24"/>
                <w:szCs w:val="24"/>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 2018</w:t>
            </w:r>
          </w:p>
        </w:tc>
      </w:tr>
      <w:tr>
        <w:trPr>
          <w:trHeight w:val="216"/>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1,743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1,662</w:t>
            </w:r>
          </w:p>
        </w:tc>
        <w:tc>
          <w:tcPr>
            <w:tcW w:w="8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26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3,416</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3,184</w:t>
            </w:r>
          </w:p>
        </w:tc>
        <w:tc>
          <w:tcPr>
            <w:tcW w:w="80" w:type="dxa"/>
            <w:vAlign w:val="bottom"/>
          </w:tcPr>
          <w:p>
            <w:pPr>
              <w:spacing w:after="0"/>
              <w:rPr>
                <w:sz w:val="18"/>
                <w:szCs w:val="18"/>
                <w:color w:val="auto"/>
              </w:rPr>
            </w:pPr>
          </w:p>
        </w:tc>
      </w:tr>
      <w:tr>
        <w:trPr>
          <w:trHeight w:val="25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5,612</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80" w:type="dxa"/>
            <w:vAlign w:val="bottom"/>
            <w:shd w:val="clear" w:color="auto" w:fill="CCEEFF"/>
          </w:tcPr>
          <w:p>
            <w:pPr>
              <w:spacing w:after="0"/>
              <w:rPr>
                <w:sz w:val="21"/>
                <w:szCs w:val="21"/>
                <w:color w:val="auto"/>
              </w:rPr>
            </w:pPr>
          </w:p>
        </w:tc>
      </w:tr>
      <w:tr>
        <w:trPr>
          <w:trHeight w:val="203"/>
        </w:trPr>
        <w:tc>
          <w:tcPr>
            <w:tcW w:w="44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11,191</w:t>
            </w: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10,739</w:t>
            </w:r>
          </w:p>
        </w:tc>
        <w:tc>
          <w:tcPr>
            <w:tcW w:w="80" w:type="dxa"/>
            <w:vAlign w:val="bottom"/>
            <w:tcBorders>
              <w:top w:val="single" w:sz="8" w:color="CCEEFF"/>
            </w:tcBorders>
          </w:tcPr>
          <w:p>
            <w:pPr>
              <w:spacing w:after="0"/>
              <w:rPr>
                <w:sz w:val="17"/>
                <w:szCs w:val="17"/>
                <w:color w:val="auto"/>
              </w:rPr>
            </w:pPr>
          </w:p>
        </w:tc>
      </w:tr>
      <w:tr>
        <w:trPr>
          <w:trHeight w:val="25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(5,245)</w:t>
            </w:r>
          </w:p>
        </w:tc>
        <w:tc>
          <w:tcPr>
            <w:tcW w:w="1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(4,364)</w:t>
            </w:r>
          </w:p>
        </w:tc>
      </w:tr>
      <w:tr>
        <w:trPr>
          <w:trHeight w:val="217"/>
        </w:trPr>
        <w:tc>
          <w:tcPr>
            <w:tcW w:w="44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5,946</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w:t>
            </w:r>
          </w:p>
        </w:tc>
        <w:tc>
          <w:tcPr>
            <w:tcW w:w="80" w:type="dxa"/>
            <w:vAlign w:val="bottom"/>
            <w:tcBorders>
              <w:top w:val="single" w:sz="8" w:color="CCEEFF"/>
            </w:tcBorders>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2019, depreciation related to the property, plant and equipment was $491 and $968,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June 30, 2019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7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Amortization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620" w:type="dxa"/>
            <w:vAlign w:val="bottom"/>
          </w:tcPr>
          <w:p>
            <w:pPr>
              <w:spacing w:after="0"/>
              <w:rPr>
                <w:sz w:val="19"/>
                <w:szCs w:val="19"/>
                <w:color w:val="auto"/>
              </w:rPr>
            </w:pP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periods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Accumulated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Net</w:t>
            </w:r>
          </w:p>
        </w:tc>
      </w:tr>
      <w:tr>
        <w:trPr>
          <w:trHeight w:val="237"/>
        </w:trPr>
        <w:tc>
          <w:tcPr>
            <w:tcW w:w="1620" w:type="dxa"/>
            <w:vAlign w:val="bottom"/>
          </w:tcPr>
          <w:p>
            <w:pPr>
              <w:spacing w:after="0"/>
              <w:rPr>
                <w:sz w:val="20"/>
                <w:szCs w:val="20"/>
                <w:color w:val="auto"/>
              </w:rPr>
            </w:pP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 years)</w:t>
            </w:r>
          </w:p>
        </w:tc>
        <w:tc>
          <w:tcPr>
            <w:tcW w:w="34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Carrying value</w:t>
            </w:r>
          </w:p>
        </w:tc>
      </w:tr>
      <w:tr>
        <w:trPr>
          <w:trHeight w:val="216"/>
        </w:trPr>
        <w:tc>
          <w:tcPr>
            <w:tcW w:w="1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17-19 years</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Licenses</w:t>
            </w: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20 years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Indefinite</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Customer</w:t>
            </w: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relationships</w:t>
            </w: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3-15 years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1,868</w:t>
            </w:r>
          </w:p>
        </w:tc>
        <w:tc>
          <w:tcPr>
            <w:tcW w:w="80" w:type="dxa"/>
            <w:vAlign w:val="bottom"/>
          </w:tcPr>
          <w:p>
            <w:pPr>
              <w:spacing w:after="0"/>
              <w:rPr>
                <w:sz w:val="20"/>
                <w:szCs w:val="20"/>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5 years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Non-competition</w:t>
            </w: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clause</w:t>
            </w: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3-4 years</w:t>
            </w:r>
          </w:p>
        </w:tc>
        <w:tc>
          <w:tcPr>
            <w:tcW w:w="34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State pharmacy</w:t>
            </w:r>
          </w:p>
        </w:tc>
        <w:tc>
          <w:tcPr>
            <w:tcW w:w="2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2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25 years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2"/>
                <w:szCs w:val="22"/>
                <w:color w:val="auto"/>
              </w:rPr>
            </w:pPr>
          </w:p>
        </w:tc>
      </w:tr>
      <w:tr>
        <w:trPr>
          <w:trHeight w:val="217"/>
        </w:trPr>
        <w:tc>
          <w:tcPr>
            <w:tcW w:w="16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340" w:type="dxa"/>
            <w:vAlign w:val="bottom"/>
            <w:tcBorders>
              <w:top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and six months ended June 30, 2019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8"/>
                <w:szCs w:val="18"/>
                <w:color w:val="auto"/>
              </w:rPr>
              <w:t>For the Three Months Ended June 30,</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8"/>
                <w:szCs w:val="18"/>
                <w:color w:val="auto"/>
              </w:rPr>
              <w:t>For the Six Months Ended 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440" w:type="dxa"/>
            <w:vAlign w:val="bottom"/>
          </w:tcPr>
          <w:p>
            <w:pPr>
              <w:spacing w:after="0"/>
              <w:rPr>
                <w:sz w:val="20"/>
                <w:szCs w:val="20"/>
                <w:color w:val="auto"/>
              </w:rPr>
            </w:pPr>
          </w:p>
        </w:tc>
        <w:tc>
          <w:tcPr>
            <w:tcW w:w="1300" w:type="dxa"/>
            <w:vAlign w:val="bottom"/>
          </w:tcPr>
          <w:p>
            <w:pPr>
              <w:jc w:val="right"/>
              <w:ind w:right="177"/>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237"/>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65"/>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300" w:type="dxa"/>
            <w:vAlign w:val="bottom"/>
            <w:tcBorders>
              <w:top w:val="single" w:sz="8" w:color="auto"/>
            </w:tcBorders>
            <w:shd w:val="clear" w:color="auto" w:fill="CCEEFF"/>
          </w:tcPr>
          <w:p>
            <w:pPr>
              <w:jc w:val="right"/>
              <w:ind w:right="113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10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Licenses</w:t>
            </w:r>
          </w:p>
        </w:tc>
        <w:tc>
          <w:tcPr>
            <w:tcW w:w="13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Trade name</w:t>
            </w:r>
          </w:p>
        </w:tc>
        <w:tc>
          <w:tcPr>
            <w:tcW w:w="1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3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3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9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10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977"/>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Estimated future amortization expense for the Company’s intangible assets at June 30, 2019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2,018</w:t>
            </w:r>
          </w:p>
        </w:tc>
      </w:tr>
      <w:tr>
        <w:trPr>
          <w:trHeight w:val="230"/>
        </w:trPr>
        <w:tc>
          <w:tcPr>
            <w:tcW w:w="50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the carrying value of the Company’s goodwill during the three and six months ended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ACCOUNTS PAYABLE AND ACCRUED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w w:val="92"/>
              </w:rPr>
              <w:t>Accounts payable and accrued expenses consisted of the following:</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Pr>
          <w:p>
            <w:pPr>
              <w:spacing w:after="0"/>
              <w:rPr>
                <w:sz w:val="24"/>
                <w:szCs w:val="24"/>
                <w:color w:val="auto"/>
              </w:rPr>
            </w:pPr>
          </w:p>
        </w:tc>
        <w:tc>
          <w:tcPr>
            <w:tcW w:w="17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December 31, 2018</w:t>
            </w:r>
          </w:p>
        </w:tc>
      </w:tr>
      <w:tr>
        <w:trPr>
          <w:trHeight w:val="216"/>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Accrued litigation settlement (see Note 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733</w:t>
            </w: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r>
      <w:tr>
        <w:trPr>
          <w:trHeight w:val="25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exit fee for note payable</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21"/>
                <w:szCs w:val="21"/>
                <w:color w:val="auto"/>
              </w:rPr>
            </w:pPr>
          </w:p>
        </w:tc>
      </w:tr>
      <w:tr>
        <w:trPr>
          <w:trHeight w:val="203"/>
        </w:trPr>
        <w:tc>
          <w:tcPr>
            <w:tcW w:w="5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7,743</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7,050</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(6,943)</w:t>
            </w:r>
          </w:p>
        </w:tc>
        <w:tc>
          <w:tcPr>
            <w:tcW w:w="14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(6,250)</w:t>
            </w:r>
          </w:p>
        </w:tc>
      </w:tr>
      <w:tr>
        <w:trPr>
          <w:trHeight w:val="217"/>
        </w:trPr>
        <w:tc>
          <w:tcPr>
            <w:tcW w:w="5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Non-current total accrued expenses</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SWK Refinance – May 2019</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2019, the Company entered into a joinder and amendment (the “Amendment”) to its term loan and security agreement dated as of July 19, 2017 (the “SWK Loan”), with SWK Funding LLC and its partners (the “Lender”), as lender and collateral agent. A summary of the material changes contained in the Amendment are as follows:</w:t>
      </w:r>
    </w:p>
    <w:p>
      <w:pPr>
        <w:spacing w:after="0" w:line="181" w:lineRule="exact"/>
        <w:rPr>
          <w:sz w:val="20"/>
          <w:szCs w:val="20"/>
          <w:color w:val="auto"/>
        </w:rPr>
      </w:pPr>
    </w:p>
    <w:p>
      <w:pPr>
        <w:jc w:val="both"/>
        <w:ind w:left="700" w:hanging="354"/>
        <w:spacing w:after="0" w:line="279"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interest rate calculation that the loan bears is now equal to the three-month London Inter-Bank Offered Rate (subject to a minimum of 2.00%), plus an applicable margin of 10.00% (the “Margin Rate”); provided that, if, two days prior to a payment date, the Company provides the Lender evidence that the Company has achieved a leverage ratio as of such date of less than 4.00:1:00, the Margin Rate shall equal 9.00%; and if the Company has achieved a leverage ratio as of such date of less than 3.00:1:00, the Margin Rate shall equal 7.00%;</w:t>
      </w:r>
    </w:p>
    <w:p>
      <w:pPr>
        <w:spacing w:after="0" w:line="171" w:lineRule="exact"/>
        <w:rPr>
          <w:rFonts w:ascii="Arial" w:cs="Arial" w:eastAsia="Arial" w:hAnsi="Arial"/>
          <w:sz w:val="17"/>
          <w:szCs w:val="17"/>
          <w:color w:val="auto"/>
        </w:rPr>
      </w:pPr>
    </w:p>
    <w:p>
      <w:pPr>
        <w:jc w:val="both"/>
        <w:ind w:left="700" w:hanging="354"/>
        <w:spacing w:after="0" w:line="259"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ratio in the Amendment means, as of any date of determination, the ratio of: (a) indebtedness as of such date to (b) EBITDA (as defined in the SWK Loan), of the Company for the immediately preceding twelve (12) month period, adding-back (i) actual litigation expenses for the immediately preceding twelve (12) month period, minus (ii) actual litigation expenses for the immediately preceding three (3) month period multiplied by four (4);</w:t>
      </w:r>
    </w:p>
    <w:p>
      <w:pPr>
        <w:spacing w:after="0" w:line="186" w:lineRule="exact"/>
        <w:rPr>
          <w:rFonts w:ascii="Arial" w:cs="Arial" w:eastAsia="Arial" w:hAnsi="Arial"/>
          <w:sz w:val="18"/>
          <w:szCs w:val="18"/>
          <w:color w:val="auto"/>
        </w:rPr>
      </w:pPr>
    </w:p>
    <w:p>
      <w:pPr>
        <w:ind w:left="700" w:hanging="354"/>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May 14, 2020, permitting the Company to pay interest only on the principal amount loaned for the next four payments (payments are due on a quarterly basis) following the Amendment; and</w:t>
      </w:r>
    </w:p>
    <w:p>
      <w:pPr>
        <w:spacing w:after="0" w:line="170" w:lineRule="exact"/>
        <w:rPr>
          <w:rFonts w:ascii="Arial" w:cs="Arial" w:eastAsia="Arial" w:hAnsi="Arial"/>
          <w:sz w:val="18"/>
          <w:szCs w:val="18"/>
          <w:color w:val="auto"/>
        </w:rPr>
      </w:pPr>
    </w:p>
    <w:p>
      <w:pPr>
        <w:ind w:left="700" w:hanging="354"/>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the satisfaction of certain revenue and market capitalization requirements and conditions, the Lender agreed to make available to the Company an additional principal amount of up to $5,000.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terms described above, the Amendment joined the Company’s recently created subsidiaries to the SWK Loan and added definitions related to excluded subsidiaries that are not considered co-borrowers and are subsidiaries of the Company which the Company believes it will eventually deconsolidate from its financials and lose 50% or more of the equity interests of the subsidiary.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Related to the Amendment, the Company incurred expenses related to legal and lender costs of $282 that are included in debt discount and will be amortized over the term of the SWK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future minimum payments under the Company’s note payable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03"/>
        </w:trPr>
        <w:tc>
          <w:tcPr>
            <w:tcW w:w="6860" w:type="dxa"/>
            <w:vAlign w:val="bottom"/>
          </w:tcPr>
          <w:p>
            <w:pPr>
              <w:spacing w:after="0" w:line="203" w:lineRule="exact"/>
              <w:rPr>
                <w:sz w:val="20"/>
                <w:szCs w:val="20"/>
                <w:color w:val="auto"/>
              </w:rPr>
            </w:pPr>
            <w:r>
              <w:rPr>
                <w:rFonts w:ascii="Arial" w:cs="Arial" w:eastAsia="Arial" w:hAnsi="Arial"/>
                <w:sz w:val="18"/>
                <w:szCs w:val="18"/>
                <w:color w:val="auto"/>
              </w:rPr>
              <w:t>Total minimum payments</w:t>
            </w:r>
          </w:p>
        </w:tc>
        <w:tc>
          <w:tcPr>
            <w:tcW w:w="2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20,191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(4,941)</w:t>
            </w:r>
          </w:p>
        </w:tc>
      </w:tr>
      <w:tr>
        <w:trPr>
          <w:trHeight w:val="203"/>
        </w:trPr>
        <w:tc>
          <w:tcPr>
            <w:tcW w:w="6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 gross</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15,250</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2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(1,505)</w:t>
            </w:r>
          </w:p>
        </w:tc>
      </w:tr>
      <w:tr>
        <w:trPr>
          <w:trHeight w:val="203"/>
        </w:trPr>
        <w:tc>
          <w:tcPr>
            <w:tcW w:w="68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13,745</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net of unamortized discount</w:t>
            </w:r>
          </w:p>
        </w:tc>
        <w:tc>
          <w:tcPr>
            <w:tcW w:w="2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r>
      <w:tr>
        <w:trPr>
          <w:trHeight w:val="217"/>
        </w:trPr>
        <w:tc>
          <w:tcPr>
            <w:tcW w:w="6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2019, debt discount amortization related to note payable was $125 and $250,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adopted Topic 842 on January 1, 2019. Topic 842 allows the Company to elect a package of practical expedients, which include: (i) an entity need not reassess whether any expired or existing contracts are or contain leases; (ii) an entity need not reassess the lease classification for any expired or existing leases; and (iii) an entity need not reassess any initial direct costs for any existing leases. Another practical expedient allows the Company to use hindsight in determining the lease term when considering lessee options to extend or terminate the lease and to purchase the underlying asset. The Company has elected to utilize the package of practical expedients and has not elected the hindsight methodology in its implementation of Topic 842.</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elected to adopt this standard using the optional modified retrospective transition method and recognized a cumulative-effect adjustment to the condensed consolidated balance sheet on the date of adoption. Comparative periods have not been restated. With the adoption of Topic 842, the Company’s condensed consolidated balance sheet now contains the following line items: Right-of-use assets, Operating lease liabilities—short-term and Operating lease liabilities—long-term.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determined that it held the following significant operating leases of office and laboratory space as of January 1, 2019:</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10,200 square feet of office space in San Diego, California that expires in December 2021, with an option to extend the term for a five-year period;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operating lease for 4,500 square feet of office and lab space in Irvine, California that expires in December 2020, with an option to extend the term for up to two five-year periods. The Company expects this lease will be assigned if the sale of Park closes (see Note 16); and</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25,000 square feet of lab, warehouse and office space in Ledgewood, New Jersey that expires in July 2024, with an option to extend the term for two additional five-year periods.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t>The extensions within the San Diego, California and Ledgewood, New Jersey operating lease agreements were included within the Company’s calculation of the new lease standard as the Company is reasonably certain it will exercise its option to extend these leases. The Company has elected to not recognize right-of-use assets and lease liabilities arising from short-term leases, which are leases that, at the commencement date, have a lease term of 12 months or less and do not include an option to purchase the underlying asset that the lessee is reasonably certain to exercise.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previously classified capital leases are now classified as finance leases under the new standard. The Company has determined that the identified finance leases did not contain non-lease components and require no further allocation of the total lease cost. The Company has determined that the identified operating leases did contain non-lease components and elected an accounting policy to combine non-lease and lease components to determine the total lease cost. Additionally, the operating agreements in place did not contain information to determine the rate implicit in the leases. As such, the Company calculated the incremental borrowing rate based on the assumed remaining lease term for each lease in order to calculate the present value of the remaining lease payments. At June 30, 2019, the weighted average incremental borrowing rate and the weighted average remaining lease term for the operating leases held by the Company were 6.36% and 12.11 years, respectively.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Upon adoption of Topic 842, the Company recorded a $6,325 increase in operating lease right-of-use assets, a $388 decrease in accounts payable and accrued expenses and a $6,712 increase in operating lease liability. The Company did not record any cumulative effect adjustments to opening stockholders’ equity. As of June 30, 2019, right-of-use assets and liabilities arising from operating leases were $6,069 and $6,472, respectively. During the three and six months ended June 30, 2019, cash paid for amounts included for the operating lease liabilities was $230 and $448 and the Company recorded operating lease expense of $232 and $464 included in selling, general and administrative expenses,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operating leases as of June 30, 2019 were as follows</w:t>
      </w:r>
      <w:r>
        <w:rPr>
          <w:rFonts w:ascii="Arial" w:cs="Arial" w:eastAsia="Arial" w:hAnsi="Arial"/>
          <w:sz w:val="18"/>
          <w:szCs w:val="18"/>
          <w:b w:val="1"/>
          <w:bCs w:val="1"/>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Operating Leases</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930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824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w:t>
            </w:r>
          </w:p>
        </w:tc>
      </w:tr>
      <w:tr>
        <w:trPr>
          <w:trHeight w:val="237"/>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5,304</w:t>
            </w:r>
          </w:p>
        </w:tc>
        <w:tc>
          <w:tcPr>
            <w:tcW w:w="80" w:type="dxa"/>
            <w:vAlign w:val="bottom"/>
            <w:tcBorders>
              <w:bottom w:val="single" w:sz="8" w:color="CCEEFF"/>
            </w:tcBorders>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80" w:type="dxa"/>
            <w:vAlign w:val="bottom"/>
            <w:shd w:val="clear" w:color="auto" w:fill="CCEEFF"/>
          </w:tcPr>
          <w:p>
            <w:pPr>
              <w:spacing w:after="0"/>
              <w:rPr>
                <w:sz w:val="18"/>
                <w:szCs w:val="18"/>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(2,695)</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Less: current portion, operating lease liabilities</w:t>
            </w: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r>
      <w:tr>
        <w:trPr>
          <w:trHeight w:val="230"/>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40" w:right="2260" w:hanging="5622"/>
        <w:spacing w:after="0" w:line="528" w:lineRule="auto"/>
        <w:rPr>
          <w:sz w:val="20"/>
          <w:szCs w:val="20"/>
          <w:color w:val="auto"/>
        </w:rPr>
      </w:pPr>
      <w:r>
        <w:rPr>
          <w:rFonts w:ascii="Arial" w:cs="Arial" w:eastAsia="Arial" w:hAnsi="Arial"/>
          <w:sz w:val="18"/>
          <w:szCs w:val="18"/>
          <w:color w:val="auto"/>
        </w:rPr>
        <w:t>The Company also has two additional finance leases that are included in its lease accounting but are not considered significant.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Future lease payments under non-cancelable finance leases as of June 30, 2019 were as follows</w:t>
      </w:r>
      <w:r>
        <w:rPr>
          <w:rFonts w:ascii="Arial" w:cs="Arial" w:eastAsia="Arial" w:hAnsi="Arial"/>
          <w:sz w:val="18"/>
          <w:szCs w:val="18"/>
          <w:b w:val="1"/>
          <w:bCs w:val="1"/>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Finance Leases</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5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3"/>
        </w:trPr>
        <w:tc>
          <w:tcPr>
            <w:tcW w:w="6860" w:type="dxa"/>
            <w:vAlign w:val="bottom"/>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16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405</w:t>
            </w:r>
          </w:p>
        </w:tc>
        <w:tc>
          <w:tcPr>
            <w:tcW w:w="80" w:type="dxa"/>
            <w:vAlign w:val="bottom"/>
          </w:tcPr>
          <w:p>
            <w:pPr>
              <w:spacing w:after="0"/>
              <w:rPr>
                <w:sz w:val="17"/>
                <w:szCs w:val="17"/>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03"/>
        </w:trPr>
        <w:tc>
          <w:tcPr>
            <w:tcW w:w="6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399</w:t>
            </w:r>
          </w:p>
        </w:tc>
        <w:tc>
          <w:tcPr>
            <w:tcW w:w="80" w:type="dxa"/>
            <w:vAlign w:val="bottom"/>
            <w:tcBorders>
              <w:top w:val="single" w:sz="8" w:color="CCEEFF"/>
            </w:tcBorders>
          </w:tcPr>
          <w:p>
            <w:pPr>
              <w:spacing w:after="0"/>
              <w:rPr>
                <w:sz w:val="17"/>
                <w:szCs w:val="17"/>
                <w:color w:val="auto"/>
              </w:rPr>
            </w:pPr>
          </w:p>
        </w:tc>
      </w:tr>
      <w:tr>
        <w:trPr>
          <w:trHeight w:val="25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399</w:t>
            </w:r>
          </w:p>
        </w:tc>
        <w:tc>
          <w:tcPr>
            <w:tcW w:w="80" w:type="dxa"/>
            <w:vAlign w:val="bottom"/>
          </w:tcPr>
          <w:p>
            <w:pPr>
              <w:spacing w:after="0"/>
              <w:rPr>
                <w:sz w:val="17"/>
                <w:szCs w:val="17"/>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net of unamortized discount</w:t>
            </w: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r>
      <w:tr>
        <w:trPr>
          <w:trHeight w:val="217"/>
        </w:trPr>
        <w:tc>
          <w:tcPr>
            <w:tcW w:w="6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Finance lease obligation, net of current portion</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CCEEFF"/>
            </w:tcBorders>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2019, the weighted average incremental borrowing rate and the weighted average remaining lease term for the finance leases held by the Company were 9.71% and 0.70 years, respectively.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six months ended June 30, 2019, debt discount amortization related to a finance lease obligation was $6 and $13, respectively, and included in interest expense, net.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six months ended June 30, 2019, depreciation expense related to the equipment held under the finance lease obligations was $73 and $146, respectively.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six months ended June 30, 2019, cash paid and expense recognized for interest expense related to the finance lease obligation was $4 and $15,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operating leases and future minimum finance lease payments as of December 31, 2018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Pr>
          <w:p>
            <w:pPr>
              <w:spacing w:after="0"/>
              <w:rPr>
                <w:sz w:val="20"/>
                <w:szCs w:val="20"/>
                <w:color w:val="auto"/>
              </w:rPr>
            </w:pPr>
          </w:p>
        </w:tc>
        <w:tc>
          <w:tcPr>
            <w:tcW w:w="1740" w:type="dxa"/>
            <w:vAlign w:val="bottom"/>
          </w:tcPr>
          <w:p>
            <w:pPr>
              <w:jc w:val="right"/>
              <w:ind w:right="1"/>
              <w:spacing w:after="0"/>
              <w:rPr>
                <w:sz w:val="20"/>
                <w:szCs w:val="20"/>
                <w:color w:val="auto"/>
              </w:rPr>
            </w:pPr>
            <w:r>
              <w:rPr>
                <w:rFonts w:ascii="Arial" w:cs="Arial" w:eastAsia="Arial" w:hAnsi="Arial"/>
                <w:sz w:val="18"/>
                <w:szCs w:val="18"/>
                <w:b w:val="1"/>
                <w:bCs w:val="1"/>
                <w:color w:val="auto"/>
              </w:rPr>
              <w:t>Finance Leases</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16"/>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740" w:type="dxa"/>
            <w:vAlign w:val="bottom"/>
            <w:tcBorders>
              <w:top w:val="single" w:sz="8" w:color="auto"/>
            </w:tcBorders>
            <w:shd w:val="clear" w:color="auto" w:fill="CCEEFF"/>
          </w:tcPr>
          <w:p>
            <w:pPr>
              <w:jc w:val="right"/>
              <w:ind w:right="158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1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1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1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58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ind w:right="158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Less: Amounts representing interest</w:t>
            </w:r>
          </w:p>
        </w:tc>
        <w:tc>
          <w:tcPr>
            <w:tcW w:w="1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unamortized discount</w:t>
            </w:r>
          </w:p>
        </w:tc>
        <w:tc>
          <w:tcPr>
            <w:tcW w:w="17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obligation under capital leases</w:t>
            </w:r>
          </w:p>
        </w:tc>
        <w:tc>
          <w:tcPr>
            <w:tcW w:w="17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720</w:t>
            </w:r>
          </w:p>
        </w:tc>
        <w:tc>
          <w:tcPr>
            <w:tcW w:w="3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capital leases</w:t>
            </w:r>
          </w:p>
        </w:tc>
        <w:tc>
          <w:tcPr>
            <w:tcW w:w="17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w:t>
            </w: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5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Long term capital lease obligation</w:t>
            </w:r>
          </w:p>
        </w:tc>
        <w:tc>
          <w:tcPr>
            <w:tcW w:w="1740" w:type="dxa"/>
            <w:vAlign w:val="bottom"/>
            <w:tcBorders>
              <w:top w:val="single" w:sz="8" w:color="auto"/>
              <w:bottom w:val="single" w:sz="8" w:color="auto"/>
            </w:tcBorders>
          </w:tcPr>
          <w:p>
            <w:pPr>
              <w:jc w:val="right"/>
              <w:ind w:right="158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2019, the Company issued 15,000 shares of its restricted common stock, with a fair value of $75, as consideration for commission expenses incurred during the six months ended June 30,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During the six months ended June 30, 2019, the Company issued 20,955 shares of its common stock upon the cashless exercise of 57,933 options to purchase common stock, with exercise prices ranging from $1.70 to $4.09 per share.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2019, the Company issued 663,338 shares of its common stock upon the cashless exercise of 932,000 warrants to purchase common stock with an exercise price of $1.79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2019, the Company issued 100,055 shares of its common stock upon the exercise of 100,055 warrants to purchase common stock with an exercise price of $1.79 per share, and received net proceeds of $179.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2019, 68,180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June 30, 2019, the 2017 Plan provides for the issuance of a maximum of 2,000,000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 The Company had 997,280 shares available for future issuances under the 2017 Plan at June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for the six months ended June 30, 2019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 Avg.</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Weighted Avg.</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41"/>
        </w:trPr>
        <w:tc>
          <w:tcPr>
            <w:tcW w:w="4820" w:type="dxa"/>
            <w:vAlign w:val="bottom"/>
          </w:tcPr>
          <w:p>
            <w:pPr>
              <w:spacing w:after="0"/>
              <w:rPr>
                <w:sz w:val="20"/>
                <w:szCs w:val="20"/>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Number of shares</w:t>
            </w:r>
          </w:p>
        </w:tc>
        <w:tc>
          <w:tcPr>
            <w:tcW w:w="12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9"/>
              </w:rPr>
              <w:t>Exercise Price</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Contractual Life</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2019</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2,482,009</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3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Options granted</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352,000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6.17</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(50,471)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5.83</w:t>
            </w: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June 30, 2019</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2,725,605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CCEEFF"/>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w:t>
            </w:r>
          </w:p>
        </w:tc>
        <w:tc>
          <w:tcPr>
            <w:tcW w:w="16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4.69</w:t>
            </w:r>
          </w:p>
        </w:tc>
        <w:tc>
          <w:tcPr>
            <w:tcW w:w="16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5.98</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6,091</w:t>
            </w: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1,461,723</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620" w:type="dxa"/>
            <w:vAlign w:val="bottom"/>
            <w:tcBorders>
              <w:bottom w:val="single" w:sz="8" w:color="CCEEFF"/>
            </w:tcBorders>
            <w:gridSpan w:val="2"/>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2,607,104</w:t>
            </w: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gridSpan w:val="2"/>
            <w:shd w:val="clear" w:color="auto" w:fill="CCEEFF"/>
          </w:tcPr>
          <w:p>
            <w:pPr>
              <w:jc w:val="right"/>
              <w:ind w:right="360"/>
              <w:spacing w:after="0" w:line="190" w:lineRule="exact"/>
              <w:rPr>
                <w:sz w:val="20"/>
                <w:szCs w:val="20"/>
                <w:color w:val="auto"/>
              </w:rPr>
            </w:pPr>
            <w:r>
              <w:rPr>
                <w:rFonts w:ascii="Arial" w:cs="Arial" w:eastAsia="Arial" w:hAnsi="Arial"/>
                <w:sz w:val="18"/>
                <w:szCs w:val="18"/>
                <w:color w:val="auto"/>
              </w:rPr>
              <w:t>5.21</w:t>
            </w:r>
          </w:p>
        </w:tc>
        <w:tc>
          <w:tcPr>
            <w:tcW w:w="1680" w:type="dxa"/>
            <w:vAlign w:val="bottom"/>
            <w:tcBorders>
              <w:bottom w:val="single" w:sz="8" w:color="CCEEFF"/>
            </w:tcBorders>
            <w:gridSpan w:val="2"/>
            <w:shd w:val="clear" w:color="auto" w:fill="CCEEFF"/>
          </w:tcPr>
          <w:p>
            <w:pPr>
              <w:jc w:val="right"/>
              <w:ind w:right="320"/>
              <w:spacing w:after="0" w:line="190" w:lineRule="exact"/>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9,323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28, 2019, based on the closing price of the Company’s common stock of $8.70 on that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jc w:val="both"/>
        <w:spacing w:after="0" w:line="289" w:lineRule="auto"/>
        <w:rPr>
          <w:sz w:val="20"/>
          <w:szCs w:val="20"/>
          <w:color w:val="auto"/>
        </w:rPr>
      </w:pPr>
      <w:r>
        <w:rPr>
          <w:rFonts w:ascii="Arial" w:cs="Arial" w:eastAsia="Arial" w:hAnsi="Arial"/>
          <w:sz w:val="16"/>
          <w:szCs w:val="16"/>
          <w:color w:val="auto"/>
        </w:rPr>
        <w:t>During the six months ended June 30, 2019, the Company granted stock options to certain employees and a consultant.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six months ended June 30, 2019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100% of the shares subject to the option vest on a quarterly basis in equal installments over three years; and 90% of the shares subject to the option vest and become exercisable on the second month after the grant date and the remaining 10% of the shares subject to the option vest and become exercisable quarterly in equal installments thereafter over the next 11 months. Certain option awards provide for accelerated vesting if there is a change in control (as defined in the Plan) and in the event of certain modifications to the option award agreement.</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each option award is estimated on the date of grant using the Black-Scholes-Merton option pricing model. Beginning on April 1, 2018, the Company began calculating expected volatility based solely on the historical volatilities of the common stock of the Company. In the past, the expected volatility was based on the historical volatilities of the common stock of the Company and comparable publicly traded companies, the Company previously utilized this methodology based on its estimate that it had limited relevant historical data regarding the volatility of its stock price on which to base a meaningful estimate of expected volatility.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5.8 - 6.1</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- 67%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2.19% - 2.68%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June 30,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40" w:type="dxa"/>
            <w:vAlign w:val="bottom"/>
            <w:gridSpan w:val="3"/>
          </w:tcPr>
          <w:p>
            <w:pPr>
              <w:jc w:val="center"/>
              <w:ind w:left="79"/>
              <w:spacing w:after="0"/>
              <w:rPr>
                <w:sz w:val="20"/>
                <w:szCs w:val="20"/>
                <w:color w:val="auto"/>
              </w:rPr>
            </w:pPr>
            <w:r>
              <w:rPr>
                <w:rFonts w:ascii="Arial" w:cs="Arial" w:eastAsia="Arial" w:hAnsi="Arial"/>
                <w:sz w:val="16"/>
                <w:szCs w:val="16"/>
                <w:b w:val="1"/>
                <w:bCs w:val="1"/>
                <w:color w:val="auto"/>
                <w:w w:val="91"/>
              </w:rPr>
              <w:t>Options Outstanding</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6"/>
          </w:tcPr>
          <w:p>
            <w:pPr>
              <w:ind w:left="720"/>
              <w:spacing w:after="0"/>
              <w:rPr>
                <w:sz w:val="20"/>
                <w:szCs w:val="20"/>
                <w:color w:val="auto"/>
              </w:rPr>
            </w:pPr>
            <w:r>
              <w:rPr>
                <w:rFonts w:ascii="Arial" w:cs="Arial" w:eastAsia="Arial" w:hAnsi="Arial"/>
                <w:sz w:val="16"/>
                <w:szCs w:val="16"/>
                <w:b w:val="1"/>
                <w:bCs w:val="1"/>
                <w:color w:val="auto"/>
              </w:rPr>
              <w:t>Options Exercisable</w:t>
            </w:r>
          </w:p>
        </w:tc>
      </w:tr>
      <w:tr>
        <w:trPr>
          <w:trHeight w:val="189"/>
        </w:trPr>
        <w:tc>
          <w:tcPr>
            <w:tcW w:w="4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Remaining</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Average</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Average</w:t>
            </w:r>
          </w:p>
        </w:tc>
      </w:tr>
      <w:tr>
        <w:trPr>
          <w:trHeight w:val="210"/>
        </w:trPr>
        <w:tc>
          <w:tcPr>
            <w:tcW w:w="4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w:t>
            </w:r>
          </w:p>
        </w:tc>
        <w:tc>
          <w:tcPr>
            <w:tcW w:w="36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Contractual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8"/>
              </w:rPr>
              <w:t>Exercise</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Number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Exercise</w:t>
            </w:r>
          </w:p>
        </w:tc>
      </w:tr>
      <w:tr>
        <w:trPr>
          <w:trHeight w:val="229"/>
        </w:trPr>
        <w:tc>
          <w:tcPr>
            <w:tcW w:w="3560" w:type="dxa"/>
            <w:vAlign w:val="bottom"/>
            <w:gridSpan w:val="3"/>
          </w:tcPr>
          <w:p>
            <w:pPr>
              <w:spacing w:after="0"/>
              <w:rPr>
                <w:sz w:val="20"/>
                <w:szCs w:val="20"/>
                <w:color w:val="auto"/>
              </w:rPr>
            </w:pPr>
            <w:r>
              <w:rPr>
                <w:rFonts w:ascii="Arial" w:cs="Arial" w:eastAsia="Arial" w:hAnsi="Arial"/>
                <w:sz w:val="16"/>
                <w:szCs w:val="16"/>
                <w:b w:val="1"/>
                <w:bCs w:val="1"/>
                <w:color w:val="auto"/>
              </w:rPr>
              <w:t>Range of Exercise Prices</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Outstanding</w:t>
            </w:r>
          </w:p>
        </w:tc>
        <w:tc>
          <w:tcPr>
            <w:tcW w:w="360" w:type="dxa"/>
            <w:vAlign w:val="bottom"/>
          </w:tcPr>
          <w:p>
            <w:pPr>
              <w:spacing w:after="0"/>
              <w:rPr>
                <w:sz w:val="19"/>
                <w:szCs w:val="19"/>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Life in Years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Price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Exercisable</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r>
      <w:tr>
        <w:trPr>
          <w:trHeight w:val="203"/>
        </w:trPr>
        <w:tc>
          <w:tcPr>
            <w:tcW w:w="3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$1.47 - $2.60</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816,936</w:t>
            </w:r>
          </w:p>
        </w:tc>
        <w:tc>
          <w:tcPr>
            <w:tcW w:w="3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526,237</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400" w:type="dxa"/>
            <w:vAlign w:val="bottom"/>
          </w:tcPr>
          <w:p>
            <w:pPr>
              <w:spacing w:after="0"/>
              <w:rPr>
                <w:sz w:val="20"/>
                <w:szCs w:val="20"/>
                <w:color w:val="auto"/>
              </w:rPr>
            </w:pPr>
            <w:r>
              <w:rPr>
                <w:rFonts w:ascii="Arial" w:cs="Arial" w:eastAsia="Arial" w:hAnsi="Arial"/>
                <w:sz w:val="16"/>
                <w:szCs w:val="16"/>
                <w:color w:val="auto"/>
                <w:w w:val="94"/>
              </w:rPr>
              <w:t>$2.76</w:t>
            </w:r>
          </w:p>
        </w:tc>
        <w:tc>
          <w:tcPr>
            <w:tcW w:w="2940" w:type="dxa"/>
            <w:vAlign w:val="bottom"/>
          </w:tcPr>
          <w:p>
            <w:pPr>
              <w:ind w:left="20"/>
              <w:spacing w:after="0"/>
              <w:rPr>
                <w:sz w:val="20"/>
                <w:szCs w:val="20"/>
                <w:color w:val="auto"/>
              </w:rPr>
            </w:pPr>
            <w:r>
              <w:rPr>
                <w:rFonts w:ascii="Arial" w:cs="Arial" w:eastAsia="Arial" w:hAnsi="Arial"/>
                <w:sz w:val="16"/>
                <w:szCs w:val="16"/>
                <w:color w:val="auto"/>
              </w:rPr>
              <w:t>- $4.66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495,496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6.68</w:t>
            </w:r>
          </w:p>
        </w:tc>
        <w:tc>
          <w:tcPr>
            <w:tcW w:w="200" w:type="dxa"/>
            <w:vAlign w:val="bottom"/>
          </w:tcPr>
          <w:p>
            <w:pPr>
              <w:spacing w:after="0"/>
              <w:rPr>
                <w:sz w:val="17"/>
                <w:szCs w:val="17"/>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3.97</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441,452</w:t>
            </w:r>
          </w:p>
        </w:tc>
        <w:tc>
          <w:tcPr>
            <w:tcW w:w="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3.99</w:t>
            </w:r>
          </w:p>
        </w:tc>
      </w:tr>
      <w:tr>
        <w:trPr>
          <w:trHeight w:val="203"/>
        </w:trPr>
        <w:tc>
          <w:tcPr>
            <w:tcW w:w="400" w:type="dxa"/>
            <w:vAlign w:val="bottom"/>
            <w:shd w:val="clear" w:color="auto" w:fill="CCEEFF"/>
          </w:tcPr>
          <w:p>
            <w:pPr>
              <w:spacing w:after="0"/>
              <w:rPr>
                <w:sz w:val="20"/>
                <w:szCs w:val="20"/>
                <w:color w:val="auto"/>
              </w:rPr>
            </w:pPr>
            <w:r>
              <w:rPr>
                <w:rFonts w:ascii="Arial" w:cs="Arial" w:eastAsia="Arial" w:hAnsi="Arial"/>
                <w:sz w:val="16"/>
                <w:szCs w:val="16"/>
                <w:color w:val="auto"/>
                <w:w w:val="94"/>
              </w:rPr>
              <w:t>$5.61</w:t>
            </w:r>
          </w:p>
        </w:tc>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$6.30</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440,350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122,159</w:t>
            </w:r>
          </w:p>
        </w:tc>
        <w:tc>
          <w:tcPr>
            <w:tcW w:w="5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6.04</w:t>
            </w:r>
          </w:p>
        </w:tc>
      </w:tr>
      <w:tr>
        <w:trPr>
          <w:trHeight w:val="203"/>
        </w:trPr>
        <w:tc>
          <w:tcPr>
            <w:tcW w:w="400" w:type="dxa"/>
            <w:vAlign w:val="bottom"/>
          </w:tcPr>
          <w:p>
            <w:pPr>
              <w:spacing w:after="0"/>
              <w:rPr>
                <w:sz w:val="20"/>
                <w:szCs w:val="20"/>
                <w:color w:val="auto"/>
              </w:rPr>
            </w:pPr>
            <w:r>
              <w:rPr>
                <w:rFonts w:ascii="Arial" w:cs="Arial" w:eastAsia="Arial" w:hAnsi="Arial"/>
                <w:sz w:val="16"/>
                <w:szCs w:val="16"/>
                <w:color w:val="auto"/>
                <w:w w:val="94"/>
              </w:rPr>
              <w:t>$6.64</w:t>
            </w:r>
          </w:p>
        </w:tc>
        <w:tc>
          <w:tcPr>
            <w:tcW w:w="2940" w:type="dxa"/>
            <w:vAlign w:val="bottom"/>
          </w:tcPr>
          <w:p>
            <w:pPr>
              <w:ind w:left="20"/>
              <w:spacing w:after="0"/>
              <w:rPr>
                <w:sz w:val="20"/>
                <w:szCs w:val="20"/>
                <w:color w:val="auto"/>
              </w:rPr>
            </w:pPr>
            <w:r>
              <w:rPr>
                <w:rFonts w:ascii="Arial" w:cs="Arial" w:eastAsia="Arial" w:hAnsi="Arial"/>
                <w:sz w:val="16"/>
                <w:szCs w:val="16"/>
                <w:color w:val="auto"/>
              </w:rPr>
              <w:t>- $8.99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967,793</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2.44</w:t>
            </w:r>
          </w:p>
        </w:tc>
        <w:tc>
          <w:tcPr>
            <w:tcW w:w="200" w:type="dxa"/>
            <w:vAlign w:val="bottom"/>
          </w:tcPr>
          <w:p>
            <w:pPr>
              <w:spacing w:after="0"/>
              <w:rPr>
                <w:sz w:val="17"/>
                <w:szCs w:val="17"/>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8.01</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366,845</w:t>
            </w:r>
          </w:p>
        </w:tc>
        <w:tc>
          <w:tcPr>
            <w:tcW w:w="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8.24</w:t>
            </w:r>
          </w:p>
        </w:tc>
      </w:tr>
      <w:tr>
        <w:trPr>
          <w:trHeight w:val="233"/>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$42.80</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42.80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5,030</w:t>
            </w: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42.80</w:t>
            </w:r>
          </w:p>
        </w:tc>
      </w:tr>
      <w:tr>
        <w:trPr>
          <w:trHeight w:val="203"/>
        </w:trPr>
        <w:tc>
          <w:tcPr>
            <w:tcW w:w="400" w:type="dxa"/>
            <w:vAlign w:val="bottom"/>
          </w:tcPr>
          <w:p>
            <w:pPr>
              <w:spacing w:after="0"/>
              <w:rPr>
                <w:sz w:val="20"/>
                <w:szCs w:val="20"/>
                <w:color w:val="auto"/>
              </w:rPr>
            </w:pPr>
            <w:r>
              <w:rPr>
                <w:rFonts w:ascii="Arial" w:cs="Arial" w:eastAsia="Arial" w:hAnsi="Arial"/>
                <w:sz w:val="16"/>
                <w:szCs w:val="16"/>
                <w:color w:val="auto"/>
                <w:w w:val="94"/>
              </w:rPr>
              <w:t>$1.47</w:t>
            </w:r>
          </w:p>
        </w:tc>
        <w:tc>
          <w:tcPr>
            <w:tcW w:w="2940" w:type="dxa"/>
            <w:vAlign w:val="bottom"/>
          </w:tcPr>
          <w:p>
            <w:pPr>
              <w:ind w:left="20"/>
              <w:spacing w:after="0"/>
              <w:rPr>
                <w:sz w:val="20"/>
                <w:szCs w:val="20"/>
                <w:color w:val="auto"/>
              </w:rPr>
            </w:pPr>
            <w:r>
              <w:rPr>
                <w:rFonts w:ascii="Arial" w:cs="Arial" w:eastAsia="Arial" w:hAnsi="Arial"/>
                <w:sz w:val="16"/>
                <w:szCs w:val="16"/>
                <w:color w:val="auto"/>
              </w:rPr>
              <w:t>- $42.80</w:t>
            </w:r>
          </w:p>
        </w:tc>
        <w:tc>
          <w:tcPr>
            <w:tcW w:w="2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2,725,605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5.61</w:t>
            </w:r>
          </w:p>
        </w:tc>
        <w:tc>
          <w:tcPr>
            <w:tcW w:w="200" w:type="dxa"/>
            <w:vAlign w:val="bottom"/>
          </w:tcPr>
          <w:p>
            <w:pPr>
              <w:spacing w:after="0"/>
              <w:rPr>
                <w:sz w:val="17"/>
                <w:szCs w:val="17"/>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5.25</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1,461,723</w:t>
            </w:r>
          </w:p>
        </w:tc>
        <w:tc>
          <w:tcPr>
            <w:tcW w:w="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4.69</w:t>
            </w:r>
          </w:p>
        </w:tc>
      </w:tr>
      <w:tr>
        <w:trPr>
          <w:trHeight w:val="20"/>
        </w:trPr>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As of June 30, 2019, there was approximately $4,128 of total unrecognized compensation expense related to unvested stock options granted under the Plans. That expense is expected to be recognized over the weighted-average remaining vesting period of 3.94 years. The stock-based compensation expense for all stock options was $262 and $540 during the three and six months ended June 30, 2019,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2019, 185,000 RSUs with a fair market value of $1,139 were issued to certain employees; the RSUs vest in full on the third year anniversary of the grant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2019, the Company’s board of directors were granted 38,860 RSUs with a fair market value $300 which vests on a quarterly basis, over one year in equal installments.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six months ended June 30, 2019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Grant Date Fair</w:t>
            </w:r>
          </w:p>
        </w:tc>
      </w:tr>
      <w:tr>
        <w:trPr>
          <w:trHeight w:val="241"/>
        </w:trPr>
        <w:tc>
          <w:tcPr>
            <w:tcW w:w="388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 RSUs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2019</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1,275,680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RSUs granted</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223,860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6.43</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r>
      <w:tr>
        <w:trPr>
          <w:trHeight w:val="237"/>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cancelled/forfeited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30"/>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June 30, 2019</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1,431,360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w:t>
            </w:r>
          </w:p>
        </w:tc>
      </w:tr>
      <w:tr>
        <w:trPr>
          <w:trHeight w:val="20"/>
        </w:trPr>
        <w:tc>
          <w:tcPr>
            <w:tcW w:w="38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June 30, 2019, the total unrecognized compensation expense related to unvested RSUs was approximately $1,076, which is expected to be recognized over a weighted-average period of 0.37 years, based on estimated and actual vesting schedules of the applicable RSUs. The stock-based compensation for RSUs during the three and six months ended June 30, 2019 was $110 and $540,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and other non-employees for services rendered or to be rendered in the future, or pursuant to settlement agreements.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A summary of warrant activity for the six months ended June 30, 2019 is as follows:</w:t>
            </w: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Number of Shares</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Subject to Warrants</w:t>
            </w:r>
          </w:p>
        </w:tc>
        <w:tc>
          <w:tcPr>
            <w:tcW w:w="140" w:type="dxa"/>
            <w:vAlign w:val="bottom"/>
          </w:tcPr>
          <w:p>
            <w:pPr>
              <w:spacing w:after="0"/>
              <w:rPr>
                <w:sz w:val="18"/>
                <w:szCs w:val="18"/>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 Avg. Exercise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2019</w:t>
            </w: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2,206,973</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Granted</w:t>
            </w: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(1,032,055)</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Expired</w:t>
            </w: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June 30, 2019</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1,174,918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spacing w:after="0" w:line="195" w:lineRule="exact"/>
              <w:rPr>
                <w:sz w:val="20"/>
                <w:szCs w:val="20"/>
                <w:color w:val="auto"/>
              </w:rPr>
            </w:pPr>
            <w:r>
              <w:rPr>
                <w:rFonts w:ascii="Arial" w:cs="Arial" w:eastAsia="Arial" w:hAnsi="Arial"/>
                <w:sz w:val="18"/>
                <w:szCs w:val="18"/>
                <w:color w:val="auto"/>
                <w:w w:val="97"/>
              </w:rPr>
              <w:t>Weighted average remaining contractual life of the outstanding warrants in years - June 30,</w:t>
            </w: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08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Arial" w:cs="Arial" w:eastAsia="Arial" w:hAnsi="Arial"/>
                <w:sz w:val="18"/>
                <w:szCs w:val="18"/>
                <w:color w:val="auto"/>
              </w:rPr>
              <w:t>2019</w:t>
            </w: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vMerge w:val="restart"/>
          </w:tcPr>
          <w:p>
            <w:pPr>
              <w:jc w:val="right"/>
              <w:ind w:right="1190"/>
              <w:spacing w:after="0"/>
              <w:rPr>
                <w:sz w:val="20"/>
                <w:szCs w:val="20"/>
                <w:color w:val="auto"/>
              </w:rPr>
            </w:pPr>
            <w:r>
              <w:rPr>
                <w:rFonts w:ascii="Arial" w:cs="Arial" w:eastAsia="Arial" w:hAnsi="Arial"/>
                <w:sz w:val="18"/>
                <w:szCs w:val="18"/>
                <w:color w:val="auto"/>
              </w:rPr>
              <w:t>23</w:t>
            </w: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vMerge w:val="continue"/>
          </w:tcPr>
          <w:p>
            <w:pPr>
              <w:spacing w:after="0"/>
              <w:rPr>
                <w:sz w:val="24"/>
                <w:szCs w:val="24"/>
                <w:color w:val="auto"/>
              </w:rPr>
            </w:pPr>
          </w:p>
        </w:tc>
        <w:tc>
          <w:tcPr>
            <w:tcW w:w="7080" w:type="dxa"/>
            <w:vAlign w:val="bottom"/>
            <w:tcBorders>
              <w:bottom w:val="single" w:sz="8" w:color="auto"/>
            </w:tcBorders>
            <w:vMerge w:val="continue"/>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 list of the warrants outstanding as of June 30, 2019 is included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Warrants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Exercise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41"/>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Warrant Series</w:t>
            </w:r>
          </w:p>
        </w:tc>
        <w:tc>
          <w:tcPr>
            <w:tcW w:w="2520" w:type="dxa"/>
            <w:vAlign w:val="bottom"/>
            <w:gridSpan w:val="3"/>
          </w:tcPr>
          <w:p>
            <w:pPr>
              <w:ind w:left="700"/>
              <w:spacing w:after="0"/>
              <w:rPr>
                <w:sz w:val="20"/>
                <w:szCs w:val="20"/>
                <w:color w:val="auto"/>
              </w:rPr>
            </w:pPr>
            <w:r>
              <w:rPr>
                <w:rFonts w:ascii="Arial" w:cs="Arial" w:eastAsia="Arial" w:hAnsi="Arial"/>
                <w:sz w:val="18"/>
                <w:szCs w:val="18"/>
                <w:b w:val="1"/>
                <w:bCs w:val="1"/>
                <w:color w:val="auto"/>
              </w:rPr>
              <w:t>Issue Date</w:t>
            </w:r>
          </w:p>
        </w:tc>
        <w:tc>
          <w:tcPr>
            <w:tcW w:w="20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Outstanding</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Price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5/11/2015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5/11/2025</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Settlement warrants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8/16/2016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40,000</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3.75</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8/16/2021</w:t>
            </w:r>
          </w:p>
        </w:tc>
      </w:tr>
      <w:tr>
        <w:trPr>
          <w:trHeight w:val="202"/>
        </w:trPr>
        <w:tc>
          <w:tcPr>
            <w:tcW w:w="2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PIPE investor and placement</w:t>
            </w: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agent warrants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12/27/2016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394,532</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12/27/2019</w:t>
            </w:r>
          </w:p>
        </w:tc>
      </w:tr>
      <w:tr>
        <w:trPr>
          <w:trHeight w:val="237"/>
        </w:trPr>
        <w:tc>
          <w:tcPr>
            <w:tcW w:w="2640" w:type="dxa"/>
            <w:vAlign w:val="bottom"/>
            <w:gridSpan w:val="2"/>
          </w:tcPr>
          <w:p>
            <w:pPr>
              <w:spacing w:after="0"/>
              <w:rPr>
                <w:sz w:val="20"/>
                <w:szCs w:val="20"/>
                <w:color w:val="auto"/>
              </w:rPr>
            </w:pPr>
            <w:r>
              <w:rPr>
                <w:rFonts w:ascii="Arial" w:cs="Arial" w:eastAsia="Arial" w:hAnsi="Arial"/>
                <w:sz w:val="18"/>
                <w:szCs w:val="18"/>
                <w:color w:val="auto"/>
              </w:rPr>
              <w:t>Lender warrants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7/19/2017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615,386</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2.08</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7/19/2024</w:t>
            </w:r>
          </w:p>
        </w:tc>
      </w:tr>
      <w:tr>
        <w:trPr>
          <w:trHeight w:val="230"/>
        </w:trPr>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1,174,918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issued 1,000,000 shares of Mayfield’s common stock to Elle in connection with acquisition of certain drug candidate intellectual property and rights in February 2019. Following the issuance of Mayfield common stock to Elle, and as of June 30, 2019, the Company owned 72% of the equity interests in Mayfield. Mayfield is a consolidated subsidiary; the Company reports the operating results of Mayfield and allocates the noncontrolling interests to the non-majority partners.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jc w:val="right"/>
              <w:ind w:right="700"/>
              <w:spacing w:after="0"/>
              <w:rPr>
                <w:sz w:val="20"/>
                <w:szCs w:val="20"/>
                <w:color w:val="auto"/>
              </w:rPr>
            </w:pPr>
            <w:r>
              <w:rPr>
                <w:rFonts w:ascii="Arial" w:cs="Arial" w:eastAsia="Arial" w:hAnsi="Arial"/>
                <w:sz w:val="18"/>
                <w:szCs w:val="18"/>
                <w:color w:val="auto"/>
              </w:rPr>
              <w:t>For the Three Months Ended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6"/>
          </w:tcPr>
          <w:p>
            <w:pPr>
              <w:ind w:left="440"/>
              <w:spacing w:after="0"/>
              <w:rPr>
                <w:sz w:val="20"/>
                <w:szCs w:val="20"/>
                <w:color w:val="auto"/>
              </w:rPr>
            </w:pPr>
            <w:r>
              <w:rPr>
                <w:rFonts w:ascii="Arial" w:cs="Arial" w:eastAsia="Arial" w:hAnsi="Arial"/>
                <w:sz w:val="18"/>
                <w:szCs w:val="18"/>
                <w:color w:val="auto"/>
              </w:rPr>
              <w:t>For the Six Months Ended</w:t>
            </w:r>
          </w:p>
        </w:tc>
      </w:tr>
      <w:tr>
        <w:trPr>
          <w:trHeight w:val="237"/>
        </w:trPr>
        <w:tc>
          <w:tcPr>
            <w:tcW w:w="48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June 30, 2019</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1"/>
              </w:rPr>
              <w:t>June 30, 2018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June 30, 2019</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9"/>
              </w:rPr>
              <w:t>June 30, 2018</w:t>
            </w:r>
          </w:p>
        </w:tc>
        <w:tc>
          <w:tcPr>
            <w:tcW w:w="100" w:type="dxa"/>
            <w:vAlign w:val="bottom"/>
            <w:gridSpan w:val="2"/>
          </w:tcPr>
          <w:p>
            <w:pPr>
              <w:spacing w:after="0"/>
              <w:rPr>
                <w:sz w:val="20"/>
                <w:szCs w:val="20"/>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Directors - selling, general and administrative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r>
      <w:tr>
        <w:trPr>
          <w:trHeight w:val="25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general and administrative</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1"/>
                <w:szCs w:val="21"/>
                <w:color w:val="auto"/>
              </w:rPr>
            </w:pPr>
          </w:p>
        </w:tc>
      </w:tr>
      <w:tr>
        <w:trPr>
          <w:trHeight w:val="217"/>
        </w:trPr>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2016, Louis L. Sobol, M.D. (“Sobol”) filed a lawsuit in the U.S. District Court for the Eastern District of Michigan, Southern Division against the Company, asserting claims on behalf of himself and an as-yet-uncertified class of consumers. The claims allege violations under the Telephone Consumer Protection Act, 47 U.S.C. § 227 via the Company’s alleged transmittal of advertisements to its clients via facsimile. In February 2019, prior to a ruling on class certification, the Company entered into a proposed settlement agreement to award the class up to $1,400 in damages. The Court approved the proposed settlement agreement in the spring of 2019 and on or about August 14, 2019, the Court will make a final ruling on the total damage award. As a result of the low claim rate of approximately 1.4%, the Company does not expect total damages to exceed $640, which was accrued as an expense during the year ended December 31, 2018 (see Note 10).</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September 2017, Allergan USA, Inc. (“Allergan”) filed a lawsuit in the U.S. District Court for the Central District of California against the Company, primarily claiming violations under the federal Lanham Act and California’s Sherman Act. The Court granted in part and denied in part each parties’ motions for summary judgement, resolving all issues except for whether Allergan was entitled to damages related to the Company’s purported Lanham Act violations. The parties went to trial in May 2019 to litigate damages related to the Lanham Act, and a jury found the Company liable for only $48 in lost profit damages, which was accrued as an expense during the period ended June 30, 2019 (see Note 10). In July 2019, the Court entered a permanent injunction, the scope of which is limited to compounded drugs prepared in, dispensed from within, or shipped to the state of California. The injunction requires the Company to: (1) only dispense drugs from a 503(a) facility with a “Valid Prescription Order”; (2) abide by the FDA’s anticipatory compounding guidelines; and (3) only use bulk drug substances identified on a list established by the Secretary of Health and Human Services or FDA’s interim “Category 1” list. The Company believes its was already in compliance with the order, prior to the injunction being ordered.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(the “NDS APA”). In July 2019, NDS filed a second amended complaint which added a claim related to its purported termination of the NDS APA. On August 12, 2019, the Company notified NDS of its acceptance of their purported termination of the NDS APA. The Company does not expect the termination of the NDS APA to affect its operations or revenues. The Company believes the claims are meritless and has previously and will continue to dispute all claims asserted against it and intends to vigorously defend against these allegations. Nonetheless, the Company cannot predict the eventual outcome of this litigation and, it could result in substantial costs, losses and a diversion of management’s resources and attention, which could harm the Company’s business and the value of its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2018, the California Board of Pharmacy filed an accusation against Park related to a compounded formulation the Company believes was legally dispensed and was, without its knowledge, inappropriately administered to a patient unknown to Park, by the prescribing healthcare professional. Park filed a response to the accusation and requested a formal hearing. In April 2019, Park agreed to and the California State Board of Pharmacy approved terms of a settlement agreement (the “Settlement Agreement”) that became effective on May 29, 2019. Pursuant to the terms of the Settlement Agreement, Park is required to surrender its California pharmacy license by August 27, 2019; provided however, in the event of a sale of Park, the California State Board of Pharmacy agreed to expedite the issuance of a temporary license to the Park acquiror. The Company recently entered into an agreement to sell the Park business and is actively working on the transfer of the Park license to the acquiror (see Note 16). If a sale is not completed, the Company expects its New Jersey-based pharmacy to retain approximately half of the Park business and revenues.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In September 2018, co-defendant Dr. Kelly filed a cross-complaint against the Company and various Spectrum entities. The cross-complaint seeks indemnity and contribution from the Company and Spectrum. The Company answered the claims filed by Dr. Kelly in October 2018. The case is currently in the discovery phase. The Company believes the claims are meritless and has previously and will continue to dispute all claims asserted against it and intends to vigorously defend against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Anna Sue Gaukel et al.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2019, Anna Sue Gaukel and Lawrence Gaukel served the Company with a lawsuit filed in state court in Idaho against Imprimis Pharmaceuticals, Inc. asserting class action allegations and product liability claims related to Mrs. Gaukel’s doctor’s use of a compounded drug injection in each of her eyes. In June 2019, the Company removed the case to Federal Court and subsequently answered the complaint. The case is in the early phase. The Company believes the claims are meritless and has previously and will continue to dispute all claims asserted against it and intends to vigorously defend against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in April 2017 and as amended in April 2018,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Klarity License Agreement, the Company is required to make royalty payments to Dr. Lindstrom ranging from 3% - 6%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Payments totaling $22 and $37 were made during the three and six months ended June 30, 2019, respectively. $26 and $48 was incurred as royalty expense during the three and six months ended and included in accounts payable to Dr. Lindstrom at June 30,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the Company entered various sales and marketing agreements with certain organizations, to provide exclusive sales and marketing representation services to Harrow in select geographies in the U.S., in connection with our ophthalmic compounded formulations.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Under the terms of the sales and marketing agreements, the Company is required to make commission payments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$0 and $75 of stock-based payments were made and $640 and $1,182 were incurred under these agreements for commission expenses during the three and six months ended June 30,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$274 and $465 and $114 and $197 were incurred under these agreements as royalty expenses for the three and six months ended June 30, 2019 and 2018, respectively, and $274 and $114 were included in accounts payable at June 30, 2019 and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 AND CONCENTRATIONS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Beginning on January 1, 2019, the Company began evaluating performance of the Company based on operating segments. Segment performance for its two operating segments are based on segment contribution. The Company’s reportable segments consist of (i) its commercial stage pharmaceutical compounding business (Pharmaceutical Compounding), generally including the operations of ImprimisRx and Park businesses; and (ii) its start-up operations associated with pharmaceutical drug development business (Pharmaceutical Drug Development). Segment contribution for the segments represents net revenues less cost of sales, research and development, selling and marketing expenses, and select general and administrative expenses. The Company does not evaluate the following items at the segment level:</w:t>
      </w:r>
    </w:p>
    <w:p>
      <w:pPr>
        <w:spacing w:after="0" w:line="178" w:lineRule="exact"/>
        <w:rPr>
          <w:sz w:val="20"/>
          <w:szCs w:val="20"/>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The Company defines segment net revenues as pharmaceutical compounded drug sales, licenses and other revenue derived from related agreements.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net revenues, segment operating expenses and segment contribution information consisted of the following for the three and six months ended June 30,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8"/>
          </w:tcPr>
          <w:p>
            <w:pPr>
              <w:jc w:val="right"/>
              <w:ind w:right="85"/>
              <w:spacing w:after="0"/>
              <w:rPr>
                <w:sz w:val="20"/>
                <w:szCs w:val="20"/>
                <w:color w:val="auto"/>
              </w:rPr>
            </w:pPr>
            <w:r>
              <w:rPr>
                <w:rFonts w:ascii="Arial" w:cs="Arial" w:eastAsia="Arial" w:hAnsi="Arial"/>
                <w:sz w:val="18"/>
                <w:szCs w:val="18"/>
                <w:color w:val="auto"/>
              </w:rPr>
              <w:t>For the Three Months Ended June 30, 2019</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Pharmaceutical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Pharmaceutical</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Compounding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Drug Development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Cost of sales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(5,225)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(5,225)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5,804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5,847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8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top w:val="single" w:sz="8" w:color="CCEEFF"/>
              <w:bottom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Borders>
              <w:top w:val="single" w:sz="8" w:color="CCEEFF"/>
              <w:bottom w:val="single" w:sz="8" w:color="CCEEFF"/>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Operating loss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8"/>
          </w:tcPr>
          <w:p>
            <w:pPr>
              <w:jc w:val="right"/>
              <w:ind w:right="165"/>
              <w:spacing w:after="0"/>
              <w:rPr>
                <w:sz w:val="20"/>
                <w:szCs w:val="20"/>
                <w:color w:val="auto"/>
              </w:rPr>
            </w:pPr>
            <w:r>
              <w:rPr>
                <w:rFonts w:ascii="Arial" w:cs="Arial" w:eastAsia="Arial" w:hAnsi="Arial"/>
                <w:sz w:val="18"/>
                <w:szCs w:val="18"/>
                <w:color w:val="auto"/>
              </w:rPr>
              <w:t>For the Six Months Ended June 30, 2019</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Pharmaceutical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Pharmaceutical</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Compounding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Drug Development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Cost of sales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(9,123)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(9,123)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11,519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11,605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8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Borders>
              <w:top w:val="single" w:sz="8" w:color="CCEEFF"/>
              <w:bottom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Borders>
              <w:top w:val="single" w:sz="8" w:color="CCEEFF"/>
              <w:bottom w:val="single" w:sz="8" w:color="CCEEFF"/>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5,061</w:t>
            </w:r>
          </w:p>
        </w:tc>
        <w:tc>
          <w:tcPr>
            <w:tcW w:w="1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Operating loss</w:t>
            </w: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jc w:val="right"/>
              <w:ind w:right="19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are attributed to the U.S. All long-lived assets at June 30, 2019 and December 31, 2018 are located in the U.S.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There were no customers who comprised more than 10% of the Company’s total pharmacy sales for the three and six months ended June 30, 2019 and 2018.</w:t>
      </w:r>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69% and 65% of active pharmaceutical ingredient purchases during the three and six months ended June 30, 2019, respectively, and 54% and 52% during the three and six months ended June 30,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June 30, 2019 through the filing date of this Quarterly Report. Based on its evaluation, no events other than those described below need to be disclosed.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July 1, 2019 through the date of the filing of this Quarterly Report, the Company issued 25,135 shares of its common stock related to the cashless exercise of 32,532 common stock warrants with an exercise price of $1.79.</w:t>
      </w:r>
    </w:p>
    <w:p>
      <w:pPr>
        <w:spacing w:after="0" w:line="16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From July 1, 2019 through the date of the filing of this Quarterly Report, the Company issued 1,872 shares of its common stock upon the exercise of 1,872 options to purchase common stock, with exercise prices ranging from $1.70 to $3.20 per share, and received net proceeds of $5.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2019, Park entered into an Asset Purchase Agreement (the “Park APA”) with Noice. Under the terms of the Park APA, Park has agreed to sell substantially all of its assets associated with its non-ophthalmology pharmaceutical compounding business, including but not limited to, trademarks, copyrights, inventories, equipment, customer lists, databases, permits, licenses, and assignment of the Company’s lease obligation for its Irvine, California based pharmacy, for a total purchase price of $8,000 (the “Purchase Price”).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Related to the Park APA, Noice entered into a loan agreement with Park equal to the Purchase Price (the “Sellers Note”). The Sellers Note will bear interest at 9.5% per annum and will be secured by all the assets of Noice. Noice will make ninety-six (96) monthly cash payments to the Company over the eight years following the closing. The first twenty-four months of the Sellers Note will require interest only payments of $63, with a principal payment of $2,000 due on September 15, 2021. Beginning on October 15, 2021, monthly payments will include interest and amortization of the principal balance and be equal to $119. The Sellers Note includes a warrant that becomes exercisable in five years and is equal to 19.9% of the ownership interests of Noice.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closing of the Park APA is dependent on the California State Board of Pharmacy issuing a temporary pharmacy and sterile license permit to Noice,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Noice has applied for. If the license is issued, the closing is expected to occur on or before August 27, 2019, subject to other customary terms and conditions.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If the sale is closed, the Park business will be classified as discontinued operations in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License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2019, Mayfield entered into a License Agreement (the “TGV License”) with TGV-Health, LLC and TGV-Gyneconix, LLC (collectively, “TGV”), to acquire intellectual property rights for use in the women’s health field, related to Mayfield’s proprietary drug candidate MAY-66. The TGV License provides that TGV will cooperate with Mayfield in transferring all embodiments of the intellectual property (including know-how) related to the TGV License, assist in obtaining and protecting its patent rights for the acquired intellectual property and that Mayfield will use commercially reasonable efforts to research, develop and commercialize products based on the acquired intellectual property. In connection with the TGV License, Mayfield is obligated to make royalty payments to TGV equal to a low single digit percentage of net sales received by Mayfield in connection with the sale or licensing of any product based on the licensed intellectual property. In addition, Mayfield issued 300,000 shares of its common stock to TGV and is required to make certain milestone payments to TGV over the development of MAY-66 and any related products based on the licensed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License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2019, Stowe entered into a License Agreement (the “Stowe License”) with TGV-Health, LLC and TGV- Ophthalnix, LLC (collectively, “TGV-O”), to acquire intellectual property rights for use in the ophthalmology and otic health field, related to Stowe’s proprietary drug candidate STE-006. The Stowe License provides that TGV-O will cooperate with Stowe in transferring all embodiments of the intellectual property (including know-how) related to the Stowe License, assist in obtaining and protecting its patent rights for the acquired intellectual property and that Stowe will use commercially reasonable efforts to research, develop and commercialize products based on the acquired intellectual property. In connection with the Stowe License, Stowe is obligated to make royalty payments to TGV-O equal to a low single digit percentage of net sales received by Stowe in connection with the sale or licensing of any product based on the licensed intellectual property. In addition, Stowe agreed to issue 1,750,000 shares of its common stock to TGV-O and is required to make certain milestone payments to TGV-O over the development of STE-006 and any related products based on the licensed intellectual property.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2018 and subsequent reports, which discuss our business in greater detail. As used in this discussion and analysis, unless the context indicates otherwise, the terms the “Company”, “Harrow” “we”, “us” and “our” refer to Harrow Health, Inc. and its consolidated subsidiaries, consisting of Park Compounding, Inc., ImprimisRx, LLC, ImprimisRx NJ, LLC dba ImprimisRx, Imprimis NJOF, LLC, Radley Pharmaceuticals, Inc., Mayfield Pharmaceuticals, Inc., and Stowe Pharmaceuticals, Inc. In this discussion and analysis, we refer to our consolidated subsidiaries ImprimisRx, LLC, ImprimisRx NJ, LLC and Imprimis NJOF, LLC collectively as our “ImprimisRx compounding pharmacies.”</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successful completion and close of the sale of Park Compounding, Inc.; the successful transfer of assets and/or revenues among our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specializes in the development, production and sale of innovative medications that offer unique competitive advantages and serve unmet needs in the marketplace through our subsidiaries and deconsolidated companies. We own one of the nation’s leading ophthalmology pharmaceutical businesses, ImprimisRx. In addition to wholly owning ImprimisRx, we also have equity positions in Eton Pharmaceuticals, Inc. (“Eton”), Surface Pharmaceuticals, Inc. (“Surface”), and Melt Pharmaceuticals, Inc. (“Melt”). More recently, we founded our drug development subsidiaries Mayfield Pharmaceuticals, Inc. (“Mayfield”), Radley Pharmaceuticals, Inc. (“Radley”), and Stowe Pharmaceuticals, Inc. (“Stowe”). We also own royalty rights in certain 505(b)(2) drug candidates being developed by Surface, Melt, Radley and Mayfield. We intend to continue to pursue the creation of new subsidiaries, and found, and hold equity and royalty rights, in, new businesses that commercialize drug candidates that are internally developed or otherwise acquired or licensed from third parties.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U.S. Food and Drug Administration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and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ImprimisRx is our ophthalmology focused pharmaceutical compounding business. We offer our thousands of physician customers and their patients critical medicines to meet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pharmacies, or for in-office use, made according to current good manufacturing practices (or “cGMPs”) or other FDA guidance documents, in our FDA-registered outsourcing facility (“NJOF”).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Compounding</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Park Compounding, Inc. (“Park”), our wholly owned subsidiary pharmacy based in Irvine, California, is focused on primarily health and wellness related, customizable pharmaceutical compounding. Park dispenses sterile and non-sterile compounded medications prescribed by licensed practitioners when commercially available choices do not meet a patient’s needs. Park also produces and dispenses certain of our ophthalmology-based formulations. In July 2019, we entered into an asset purchase agreement to sell substantially all the assets of Park, contingent upon the California Board of Pharmacy issuing the buyer a temporary pharmacy permit and other customary terms and conditions. If a temporary license is issued, we expect to close the sale of Park on or before August 27, 2019 – as described more fully above under the sub-heading “Park Sale” (see Note 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Businesses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ownership interests in Eton, Surface, Melt, Mayfield and Radley and hold royalty interests in certain of their drug candidates. These companies are pursuing market approval for their drug candidates under the United States Federal Food, Drug, and Cosmetic Act (“FDCA”), including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In 2018 and 2019, we formed and created subsidiaries named Radley, Mayfield, and Stowe, which we intend to operate similar to Eton, Surface and Melt. In addition, we intend to create additional subsidiaries that will be focused on the development and FDA approval of certain proprietary drug formulations that we currently own, will in-license/acquire and/or otherwise develop.</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Eton Pharmaceuticals,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Eton is a pharmaceutical company focused on developing and commercializing innovative products utilizing the FDA’s 505(b)(2) regulatory pathway. Its pipeline includes several products and drug candidates in various stages of development across a variety of dosage forms. Eton’s pipeline is focused on innovative 505(b)(2) products and obtaining FDA marketing approval for currently marketed but unapproved drugs.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2017, Eton closed an offering of its Series A Preferred Stock and we lost our controlling interest in it. In November 2018, Eton completed an initial public offering of its common stock. We own 3,500,000 shares of Eton common stock, which we estimate is approximately 19.7% of the equity and voting interests issued and outstanding of Eton as of June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Surface is a development-stage 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Harrow entered into asset purchase and license agreements (the “Surface License Agreements”) and transferred to Surface its current drug pipeline, which consists of three proprietary drug candidates. Surface’s patent-pending topical eye drop drug candidates, SURF-100 and SURF-200, utilize a patented delivery vehicle known as Klarity Drops (“Klarity”), that was invented by Harrow board member and Surface’s chairman of the board and renowned ophthalmologist Dr. Richard Lindstrom. Klarity is designed to protect and rehabilitate the ocular surface pathology for patients with dry eye disease, or DED. Surface’s drug candidate SURF-300 is a patent-pending oral capsule that will target patients also suffering from DED signs and symptoms.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and July 2018, Surface closed on an offering of its Series A Preferred Stock. At that time, we lost our controlling interest and deconsolidated Surface from our consolidated financial statements. We own 3,500,000 shares of Surface which we estimate is approximately 30% of the equity and voting interests as of June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Melt Pharmaceuticals, Inc.</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Melt is a development-stage pharmaceutical company focused on the development and commercialization of proprietary non-intravenous, sedation and anesthesia therapeutics for human medical procedures in hospital, outpatient, and in-office settings. Melt intends to seek regulatory approval through the FDA’s 505(b)(2) regulatory pathway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 Pursuant to the terms of the Melt Asset Purchase Agreement, Melt is required to make royalty payments to the Company equal to five percent (5%) to eight (8%) of net sales of products described in the Melt Asset Purchase Agreement, while any patent rights remain outstanding, subject to other conditions.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January and March 2019, Melt closed on the sale of its Series A Preferred Stock. At the time of the closing of the Melt Series A Round, we lost our controlling interest, and deconsolidated Melt from our consolidated financial statements. We own 3,500,000 shares of Melt common stock, which we estimate is approximately 44% of the equity and voting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Mayfield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Mayfield, a consolidated subsidiary of Harrow, is a development-stage women’s health-focused pharmaceutical company. Mayfield is focused on enhancing women’s lives by developing products that address significant and conspicuous unmet needs. Its development programs focus on using known molecules in dosage forms for new indications, and by developing new chemical entities with known mechanisms of action. Mayfield recently licensed worldwide rights to a first in class drug candidate with antibacterial, antiviral and antifungal activity for the women’s health field. MAY-66 a patented new chemical entity drug candidate, is being studied to treat recurrent bacterial vaginosis. In February 2019, Mayfield acquired drug formulation assets and intellectual property, including three recently issued patents, for MAY-44, a drug candidate for the treatment of dyspareunia, or pain experienced by women during sexual intercourse. In addition to MAY-44, Mayfield is also developing MAY-88 for patients suffering from interstitial cystitis, which it will acquire from Harrow.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jc w:val="both"/>
        <w:ind w:firstLine="648"/>
        <w:spacing w:after="0" w:line="264" w:lineRule="auto"/>
        <w:rPr>
          <w:sz w:val="20"/>
          <w:szCs w:val="20"/>
          <w:color w:val="auto"/>
        </w:rPr>
      </w:pPr>
      <w:r>
        <w:rPr>
          <w:rFonts w:ascii="Arial" w:cs="Arial" w:eastAsia="Arial" w:hAnsi="Arial"/>
          <w:sz w:val="18"/>
          <w:szCs w:val="18"/>
          <w:color w:val="auto"/>
        </w:rPr>
        <w:t>Mayfield and Harrow acquired the intellectual property associated with MAY-44 in January 2019 from Elle Pharmaceutical LLC (the “Mayfield Asset Purchase Agreement”) in exchange for $25,000, with an additional $175,000 due upon third party financing of Mayfield, 1,000,000 shares of Mayfield common stock and a 7.5% royalty rate on sales of the product.</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July 2019, Mayfield entered into a License Agreement (the “TGV License”) with TGV-Health, LLC and TGV-Gyneconix, LLC (collectively, “TGV”), to acquire intellectual property rights for use in the women’s health field, related to Mayfield’s proprietary drug candidate MAY-66. The TGV License provides that TGV will cooperate with Mayfield in transferring all embodiments of the intellectual property (including know-how) related to the TGV License, assist in obtaining and protecting its patent rights for the acquired intellectual property and that Mayfield will use commercially reasonable efforts to research, develop and commercialize products based on the acquired intellectual property. In connection with the TGV License, Mayfield is obligated to make royalty payments to TGV equal to a low single digit percentage of net sales received by Mayfield in connection with the sale or licensing of any product based on the licensed intellectual property. In addition, Mayfield issued 300,000 shares of its common stock to TGV and is required to make certain milestone payments to TGV over the development of MAY-66 and any related products based on the licensed intellectual property.</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own 2,500,000 shares of Mayfield common stock, which was 72% of the equity and voting interests issued and outstanding of Mayfield at June 30, 2019. We intend to pursue a deconsolidating transaction for Mayfield during 2019. Once deconsolidated, we expect Mayfield to be run by experienced life science executive, Melissa Bradford-Klug.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Radley Pharmaceuticals, Inc.</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Radley, a consolidated subsidiary of Harrow, is a development-stage pharmaceutical company focused on the development of proprietary 505(b)(2) drug candidates focused on rare diseases. Radley currently has three proprietary drug candidates in its pipeline. During 2019, and prior to initiating significant development activities and costs related to these drug candidates, we intend to meet with the FDA to establish and understand the expected clinical and regulatory path to approval for these drug candidates. We are also pursuing investigator-initiated studies for some of Radley’s drug candidates with two well-known healthcare institutions based in the New York and Boston areas. We believe this approach will allow us to better understand and weigh the economic costs, clinical feasibility and potential benefits associated with pursuing development activities associated with these drug candidates. Radley is also pursuing additional asset acquisition and licensing opportunities with a focus in oncology related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Stowe Pharmaceuticals, Inc.</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Stowe is a consolidated subsidiary of Harrow that was formed in 2019, focused on the development of its proprietary ophthalmic drug candidate STE-006. STE-006 is a patented, new chemical entity, small molecule topical drug candidate intended to treat various bacterial, fungal, and viral infections in the eye. In initial preclinical models, STE-006 was shown to be significantly more effective compared to current conventional therapies against numerous bacterial and viral pathogens, including strains of methicillin-resistant staphylococcus aureus, or MRSA, and herpes simplex virus. STE-006 has several patents covering matter of composition, methods of production, methods of use and molecule, which are valid until 2038.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Reimbursement Options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third-payor payors in order to make our formulations available to more patients and at optimized pricing levels. However, if government and other third-party payors do not provide adequate coverage and reimbursement levels for our formulations, the market acceptance and opportunity for our formulations may be limited.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describes certain developments in 2019 to date that are important to understand our financial condition and results of operations. See the notes to our condensed consolidated financial statements included in this report for additional information about each of these developments.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Melt Pharmaceuticals Asset Purchase Agreement and Series A Round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more fully above under the sub-heading “Melt Pharmaceuticals, Inc.”, we entered into the Melt Asset Purchase Agreement with our previously wholly owned subsidiary, Melt. Following closing of the Melt Series A Round, in January 2019, we lost controlling interest in Melt. Pursuant to the terms of the Melt Asset Purchase Agreement, we assigned and licensed to Melt certain intellectual property and related rights to develop, formulate, make, sell, and sub-license its current drug candidate pipeline.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Mayfield Pharmaceuticals MAY-44 Asset Purchase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described more fully above under the sub-heading “Mayfield Pharmaceuticals, Inc.”, in February 2019, we along with our subsidiary, Mayfield, entered the Mayfield Asset Purchase Agreement with Elle Pharmaceuticals, Inc. to acquire intellectual property associated with its drug candidate, MAY-44.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SWK Refinance – May 2019</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2019, we entered into a joinder and amendment (the “Amendment”) to our term loan and security agreement dated as of July 19, 2017 (the “SWK Loan”), with SWK Funding LLC and its partners (the “Lender”), as lender and collateral agent. A summary of the material changes contained in the Amendment are as follows:</w:t>
      </w:r>
    </w:p>
    <w:p>
      <w:pPr>
        <w:spacing w:after="0" w:line="181"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rate calculation that the loan bears is now equal to the three-month London Inter-Bank Offered Rate (subject to a minimum of 2.00%), plus an applicable margin of 10.00% (the “Margin Rate”) provided that, if, two days prior to a payment date, we provide the Lender evidence that we have achieved a leverage ratio as of such date of less than 4.00:1:00, the Margin Rate shall equal 9.00%; and if we have achieved a leverage ratio as of such date of less than 3.00:1:00, the Margin Rate shall equal 7.00%;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jc w:val="both"/>
        <w:ind w:left="660" w:hanging="328"/>
        <w:spacing w:after="0" w:line="28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Leverage ratio in the Amendment means, as of any date of determination, the ratio of: (a) indebtedness as of such date to (b) EBITDA (as defined in the SWK Loan), of us for the immediately preceding twelve (12) month period, adding-back (i) actual litigation expenses for the immediately preceding twelve (12) month period, minus (ii) actual litigation expenses for the immediately preceding three (3) month period multiplied by four</w:t>
      </w:r>
    </w:p>
    <w:p>
      <w:pPr>
        <w:ind w:left="660"/>
        <w:spacing w:after="0"/>
        <w:rPr>
          <w:rFonts w:ascii="Arial" w:cs="Arial" w:eastAsia="Arial" w:hAnsi="Arial"/>
          <w:sz w:val="16"/>
          <w:szCs w:val="16"/>
          <w:color w:val="auto"/>
        </w:rPr>
      </w:pPr>
      <w:r>
        <w:rPr>
          <w:rFonts w:ascii="Arial" w:cs="Arial" w:eastAsia="Arial" w:hAnsi="Arial"/>
          <w:sz w:val="18"/>
          <w:szCs w:val="18"/>
          <w:color w:val="auto"/>
        </w:rPr>
        <w:t>(4);</w:t>
      </w:r>
    </w:p>
    <w:p>
      <w:pPr>
        <w:spacing w:after="0" w:line="21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May 14, 2020, permitting us to pay interest only on the principal amount loaned for the next four payments (payments are due on a quarterly basis) following the Amendment;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the satisfaction of certain revenue and market capitalization requirements and conditions, the Lender agreed to make available to us an additional principal amount of up to $5,000,000.</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terms described above, the Amendment joined our recently created subsidiaries to the SWK Loan and added definitions related to excluded subsidiaries that are not considered co-borrowers and are subsidiaries ours which we believe will eventually be deconsolidated from our financials and we will lose 50% or more of the equity interests of the subsidiary.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Sale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2019, we entered into an Asset Purchase Agreement (the “Park APA”) with NoiceRx, LLC (“Noice”). Under the terms of the Park APA, Park has agreed to sell substantially all its assets associated with its non-ophthalmology pharmaceutical compounding business, including but not limited to, trademarks, copyrights, inventories, equipment, customer lists, databases, permits, licenses, and assignment of the Company’s lease obligation for its Irvine, California based pharmacy, for a total purchase price of $8,000,000 (the “Purchase Price”).</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Related to the Park APA, Noice entered into a loan agreement with Park equal to the Purchase Price (the “Sellers Note”). The Sellers Note will bear interest at 9.5% per annum and will be secured by all the assets of Noice. Noice will make ninety-six (96) monthly cash payments to the Company over the eight years following the closing. The first twenty-four months of the Sellers Note will require interest only payments of $63,333 with a principal payment of $2,000 due on September 15, 2021. Beginning on October 15, 2021, monthly payments will include interest and amortization of the principal balance and be equal to $119,287. The Sellers Note included a warrant that becomes exercisable in five years and is equal to 19.99% of the ownership interests of Noice.</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closing of the Park APA is dependent on the California State Board of Pharmacy issuing a temporary pharmacy and sterile license permit to Noice, which Noice has applied for. If the license is issued, the closing is expected to occur on or before August 27, 2019, subject to other customary terms and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Mayfield Pharmaceuticals MAY-66 License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described more fully above under the sub-heading “Mayfield Pharmaceuticals, Inc.”, in July 2019, our subsidiary Mayfield, entered the TGV License Agreement to acquire intellectual property associated with its drug candidate, MAY-66.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Stowe License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July 2019, Stowe entered into a License Agreement (the “Stowe License”) with TGV-Health, LLC and TGV- Ophthalnix, LLC (collectively, “TGV-O”), to acquire intellectual property rights for use in the ophthalmology and otic health fields, related to Stowe’s proprietary drug candidate STE-006. The Stowe License provides that TGV-O will cooperate with Stowe in transferring all embodiments of the intellectual property (including know-how) related to the Stowe License, assist in obtaining and protecting its patent rights for the acquired intellectual property and that Stowe will use commercially reasonable efforts to research, develop and commercialize products based on the acquired intellectual property. In connection with the Stowe License, Stowe is obligated to make royalty payments to TGV-O equal to a low single digit percentage of net sales received by Stowe in connection with the sale or licensing of any product based on the licensed intellectual property. In addition, Stowe agreed to issue 1,750,000 shares of its common stock to TGV-O and is required to make certain milestone payments to TGV-O over the development of STE-006 and any related products based on the licensed intellectual property.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period-to-period comparisons of our financial results for the three and six months ended June 30, 2019 and 2018, are not necessarily indicative of results for the current period or any future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six months ended June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ind w:left="100"/>
              <w:spacing w:after="0"/>
              <w:rPr>
                <w:sz w:val="20"/>
                <w:szCs w:val="20"/>
                <w:color w:val="auto"/>
              </w:rPr>
            </w:pPr>
            <w:r>
              <w:rPr>
                <w:rFonts w:ascii="Arial" w:cs="Arial" w:eastAsia="Arial" w:hAnsi="Arial"/>
                <w:sz w:val="18"/>
                <w:szCs w:val="18"/>
                <w:b w:val="1"/>
                <w:bCs w:val="1"/>
                <w:color w:val="auto"/>
              </w:rPr>
              <w:t>For the Six Months Ended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23"/>
        </w:trPr>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Variance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Variance</w:t>
            </w:r>
          </w:p>
        </w:tc>
      </w:tr>
      <w:tr>
        <w:trPr>
          <w:trHeight w:val="216"/>
        </w:trPr>
        <w:tc>
          <w:tcPr>
            <w:tcW w:w="2540" w:type="dxa"/>
            <w:vAlign w:val="bottom"/>
            <w:tcBorders>
              <w:top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b w:val="1"/>
                <w:bCs w:val="1"/>
                <w:color w:val="auto"/>
                <w:w w:val="86"/>
              </w:rPr>
              <w:t>Product sales, net</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13,509,000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10,374,000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25,792,000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19,229,000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540" w:type="dxa"/>
            <w:vAlign w:val="bottom"/>
          </w:tcPr>
          <w:p>
            <w:pPr>
              <w:jc w:val="right"/>
              <w:ind w:right="1150"/>
              <w:spacing w:after="0"/>
              <w:rPr>
                <w:sz w:val="20"/>
                <w:szCs w:val="20"/>
                <w:color w:val="auto"/>
              </w:rPr>
            </w:pPr>
            <w:r>
              <w:rPr>
                <w:rFonts w:ascii="Arial" w:cs="Arial" w:eastAsia="Arial" w:hAnsi="Arial"/>
                <w:sz w:val="18"/>
                <w:szCs w:val="18"/>
                <w:b w:val="1"/>
                <w:bCs w:val="1"/>
                <w:color w:val="auto"/>
                <w:w w:val="84"/>
              </w:rPr>
              <w:t>License revenues</w:t>
            </w:r>
          </w:p>
        </w:tc>
        <w:tc>
          <w:tcPr>
            <w:tcW w:w="2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14,000</w:t>
            </w:r>
          </w:p>
        </w:tc>
        <w:tc>
          <w:tcPr>
            <w:tcW w:w="2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(6,000)</w:t>
            </w:r>
          </w:p>
        </w:tc>
      </w:tr>
      <w:tr>
        <w:trPr>
          <w:trHeight w:val="216"/>
        </w:trPr>
        <w:tc>
          <w:tcPr>
            <w:tcW w:w="2540" w:type="dxa"/>
            <w:vAlign w:val="bottom"/>
            <w:tcBorders>
              <w:top w:val="single" w:sz="8" w:color="CCEEFF"/>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13,516,000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10,384,000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25,806,000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19,249,000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revenues between periods was largely attributable to increased sales of our proprietary formulations and furtherance of our ophthalmology-related pharmaceutical compounded formulations. Our gross ophthalmology-related sales were approximately $12,098,000 and $23,074,000 for the three and six months ended June 30, 2019, compared to $8,262,000 and $15,242,000 during the same periods last year, respectively. Net revenues generated from NJOF totaled $8,285,000 and $15,683,000 during the three and six months ended June 30, 2019, respectively, and $5,909,000 and $10,498,000 during the three and six months ended June 30, 2018,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six months ended June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For the Three Months Ended</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1"/>
              </w:rPr>
              <w:t>For the Six Months Ended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2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7"/>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Variance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Variance</w:t>
            </w:r>
          </w:p>
        </w:tc>
      </w:tr>
      <w:tr>
        <w:trPr>
          <w:trHeight w:val="230"/>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1,068,000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our cost of sales between periods was largely attributable to an increase in production of new formulations and temporarily increase of waste associated with the costs of such new products.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gridSpan w:val="6"/>
          </w:tcPr>
          <w:p>
            <w:pPr>
              <w:jc w:val="center"/>
              <w:ind w:right="530"/>
              <w:spacing w:after="0"/>
              <w:rPr>
                <w:sz w:val="20"/>
                <w:szCs w:val="20"/>
                <w:color w:val="auto"/>
              </w:rPr>
            </w:pPr>
            <w:r>
              <w:rPr>
                <w:rFonts w:ascii="Arial" w:cs="Arial" w:eastAsia="Arial" w:hAnsi="Arial"/>
                <w:sz w:val="18"/>
                <w:szCs w:val="18"/>
                <w:b w:val="1"/>
                <w:bCs w:val="1"/>
                <w:color w:val="auto"/>
                <w:w w:val="91"/>
              </w:rPr>
              <w:t>For the Three Months Ended</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1"/>
              </w:rPr>
              <w:t>For the Six Months Ended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bottom w:val="single" w:sz="8" w:color="auto"/>
            </w:tcBorders>
            <w:gridSpan w:val="4"/>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2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Variance</w:t>
            </w:r>
          </w:p>
        </w:tc>
        <w:tc>
          <w:tcPr>
            <w:tcW w:w="1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0"/>
        </w:trPr>
        <w:tc>
          <w:tcPr>
            <w:tcW w:w="2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2,064,000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16,683,000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11,021,000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5,662,000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4"/>
              </w:rPr>
              <w:t>%</w:t>
            </w: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21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36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2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gross profit and gross margin between periods is largely attributable to increased efficiencies in our production process, extension of beyond using dating, or BUD, of some of our products, and utilization of capacities as a result of increased output and unit volumes. During the second quarter of 2019 we introduced new formulations that we believe temporarily decreased our overall efficiency, and we expect gross margins in the second half of 2019 to improve.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three and six months ended June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1"/>
              </w:rPr>
              <w:t>For the Three Months Ended</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0"/>
              </w:rPr>
              <w:t>For the Six Months Ended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7"/>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Variance</w:t>
            </w:r>
          </w:p>
        </w:tc>
        <w:tc>
          <w:tcPr>
            <w:tcW w:w="240" w:type="dxa"/>
            <w:vAlign w:val="bottom"/>
          </w:tcPr>
          <w:p>
            <w:pPr>
              <w:spacing w:after="0"/>
              <w:rPr>
                <w:sz w:val="20"/>
                <w:szCs w:val="20"/>
                <w:color w:val="auto"/>
              </w:rPr>
            </w:pPr>
          </w:p>
        </w:tc>
        <w:tc>
          <w:tcPr>
            <w:tcW w:w="1000" w:type="dxa"/>
            <w:vAlign w:val="bottom"/>
          </w:tcPr>
          <w:p>
            <w:pPr>
              <w:ind w:left="20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Variance</w:t>
            </w:r>
          </w:p>
        </w:tc>
      </w:tr>
      <w:tr>
        <w:trPr>
          <w:trHeight w:val="184"/>
        </w:trPr>
        <w:tc>
          <w:tcPr>
            <w:tcW w:w="21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Selling, general and</w:t>
            </w:r>
          </w:p>
        </w:tc>
        <w:tc>
          <w:tcPr>
            <w:tcW w:w="6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61"/>
        </w:trPr>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administrative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8,248,000</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6,779,000</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$ 1,469,000</w:t>
            </w:r>
          </w:p>
        </w:tc>
        <w:tc>
          <w:tcPr>
            <w:tcW w:w="3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16,791,000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13,267,000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$ 3,524,000</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selling, general and administrative expenses between periods was largely attributable to increased sales commission amounts and legal expenses incurred associated with ongoing litigation.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six months ended June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1"/>
              </w:rPr>
              <w:t>For the Three Months Ended</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0"/>
              </w:rPr>
              <w:t>For the Six Months Ended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2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7"/>
        </w:trPr>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Variance</w:t>
            </w: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Variance</w:t>
            </w:r>
          </w:p>
        </w:tc>
      </w:tr>
      <w:tr>
        <w:trPr>
          <w:trHeight w:val="230"/>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738,000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$ 1,056,000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research and development expenses between periods was primarily attributable to the increase in formulation development studies for new ophthalmic formulations and clinical programs related to our drug development segment during the three and six months ended June 30,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net was $716,000 and $1,319,000 for the three and six months ended June 30, 2019 compared to $671,000 and $1,334,000 during the same period last year. The decrease during the six-month period ending June 30, 2019 as compared to the same period in 2018 was primarily due to interest expense recognition related to a decrease in the amortization of our capital lease obligations. The increase during the three-month period ending June 30, 2019, as compared to the same period in 2018, was primarily due to the increase in interest expense recognition related to the refinance of our long term debt (see Note 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Melt,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2019, we recorded a net gain of $5,199,000 related to our investment in Melt. We recorded a gain of $5,810,000 for the deconsolidation of Melt, and a loss of $611,000 for our share of losses based on our ownership of Melt. We began using equity method accounting for our investment in Melt beginning on January 30, 2019, the date we no longer had a controlling interest. Prior to that date, Melt’s losses were consolidated within our statements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Investment Gain (Loss) from Surface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and six months ended June 30, 2019, we recorded a loss of $261,000 and $504,000, respectively, for our share of losses based on our ownership of Surface. During the three and six months ended June 30, 2018, we recorded a loss of $102,000, for our share of losses based on our ownership of Surface. During the three and six months ended June 30, 2018, we recorded a gain of $5,320,000 on the deconsolidation of surface. We began using equity method accounting for our investment in Surface beginning on June 11, 2018, the date we no longer had a controlling interest. Prior to that date, Surface’s losses were consolidated within our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Eton, net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recorded a loss of $(350,000) and gain of $6,230,000 related to the change in fair market value of Eton’s common stock for the three and six months ended June 30, 2019, respectively. During the three and six months ended June 30, 2018, we recorded a loss of $(1,146,000) and $(2,215,000), respectively, for our share of losses based on our ownership of Eton. We began recording our investment in Eton at fair market value, and ceased equity method accounting for our investment in Eton, in November 2018 following Eton’s IPO and our ownership percent falling below 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2019, we recorded other income, net of $630,000. This was the result of income of $630,000 related to expenses that were paid by us and will be reimbursed by Melt following its deconsolidation. During the three and six months ended June 30, 2018, we recorded other expense, net of $255,000. This was due to a loss of $393,000 related to the impairment and write-off of a note receivable, and income of $138,000 related to expenses that were paid by us and reimbursed by Surface following its deconsolidation.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net income (loss) for the three and six months ended June 30, 2019 and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ind w:left="200"/>
              <w:spacing w:after="0"/>
              <w:rPr>
                <w:sz w:val="20"/>
                <w:szCs w:val="20"/>
                <w:color w:val="auto"/>
              </w:rPr>
            </w:pPr>
            <w:r>
              <w:rPr>
                <w:rFonts w:ascii="Arial" w:cs="Arial" w:eastAsia="Arial" w:hAnsi="Arial"/>
                <w:sz w:val="18"/>
                <w:szCs w:val="18"/>
                <w:color w:val="auto"/>
              </w:rPr>
              <w:t>For the Three Months Ended</w:t>
            </w:r>
          </w:p>
        </w:tc>
        <w:tc>
          <w:tcPr>
            <w:tcW w:w="280" w:type="dxa"/>
            <w:vAlign w:val="bottom"/>
          </w:tcPr>
          <w:p>
            <w:pPr>
              <w:spacing w:after="0"/>
              <w:rPr>
                <w:sz w:val="18"/>
                <w:szCs w:val="18"/>
                <w:color w:val="auto"/>
              </w:rPr>
            </w:pPr>
          </w:p>
        </w:tc>
        <w:tc>
          <w:tcPr>
            <w:tcW w:w="2860" w:type="dxa"/>
            <w:vAlign w:val="bottom"/>
            <w:gridSpan w:val="5"/>
          </w:tcPr>
          <w:p>
            <w:pPr>
              <w:jc w:val="right"/>
              <w:ind w:right="62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Harrow Health, Inc.</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(2,378,000</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2,522,000</w:t>
            </w:r>
          </w:p>
        </w:tc>
        <w:tc>
          <w:tcPr>
            <w:tcW w:w="3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8,980,000</w:t>
            </w:r>
          </w:p>
        </w:tc>
        <w:tc>
          <w:tcPr>
            <w:tcW w:w="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Net income (loss) per share, basic</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3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0.12</w:t>
            </w:r>
          </w:p>
        </w:tc>
        <w:tc>
          <w:tcPr>
            <w:tcW w:w="3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3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(loss) per share, diluted</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3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3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Beginning on January 1, 2019, we began evaluating performance of the Company based on operating segments. Segment performance for our two operating segments are based on segment contribution. Our reportable segments consist of (i) our commercial stage pharmaceutical compounding business (Pharmaceutical Compounding), generally including the operations of our ImprimisRx and Park businesses; and (ii) the start-up operations associated with our pharmaceutical drug development business (Pharmaceutical Drug Development). Segment contribution for the segments represents net revenues less cost of sales, research and development, selling and marketing expenses, and select general and administrative expenses. We do not evaluate the following items at the segment level:</w:t>
      </w:r>
    </w:p>
    <w:p>
      <w:pPr>
        <w:spacing w:after="0" w:line="193" w:lineRule="exact"/>
        <w:rPr>
          <w:sz w:val="20"/>
          <w:szCs w:val="20"/>
          <w:color w:val="auto"/>
        </w:rPr>
      </w:pPr>
    </w:p>
    <w:p>
      <w:pPr>
        <w:ind w:left="6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Selling, general and administrative expenses that result from shared infrastructure, including certain expenses associated with litigation and other legal matters, public company costs (e.g. investor relations), board of directors and principal executive officers, and other like shared expenses.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defines segment net revenues as pharmaceutical compounded drug sales, licenses and other revenue derived from related agreements.</w:t>
      </w:r>
    </w:p>
    <w:p>
      <w:pPr>
        <w:spacing w:after="0" w:line="248"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15 to our condensed consolidated financial statements included in this Quarterly Report for more information about our reportable segments.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cash on hand (including restricted cash) at June 30, 2019 was $4,193,000, compared to $6,838,000 at December 31, 2018. Since inception through December 31, 2018, we have incurred aggregate losses of $74,211,000.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this Quarterly Report, we believe that cash and cash equivalents of $3,993,000 and restricted investments of $200,000 totaling approximately $4,193,000 at June 30, 2019, will be sufficient to sustain our planned level of operations and capital expenditures for at least the next 12 months. We also may consider the sale of certain assets including, but not limited to, part of, or all of, our ownership interest in Eton and/or any of our consolidated subsidiaries.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i w:val="1"/>
                <w:iCs w:val="1"/>
                <w:color w:val="auto"/>
              </w:rPr>
              <w:t>Net Cash Flow</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40" w:type="dxa"/>
            <w:vAlign w:val="bottom"/>
          </w:tcPr>
          <w:p>
            <w:pPr>
              <w:ind w:left="660"/>
              <w:spacing w:after="0"/>
              <w:rPr>
                <w:sz w:val="20"/>
                <w:szCs w:val="20"/>
                <w:color w:val="auto"/>
              </w:rPr>
            </w:pPr>
            <w:r>
              <w:rPr>
                <w:rFonts w:ascii="Arial" w:cs="Arial" w:eastAsia="Arial" w:hAnsi="Arial"/>
                <w:sz w:val="18"/>
                <w:szCs w:val="18"/>
                <w:color w:val="auto"/>
                <w:w w:val="98"/>
              </w:rPr>
              <w:t>The following provides detailed information about our net cash flows: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5"/>
              </w:rPr>
              <w:t>For the Six Months Ended June 30,</w:t>
            </w:r>
          </w:p>
        </w:tc>
      </w:tr>
      <w:tr>
        <w:trPr>
          <w:trHeight w:val="237"/>
        </w:trPr>
        <w:tc>
          <w:tcPr>
            <w:tcW w:w="60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20"/>
                <w:szCs w:val="20"/>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(632,000)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(785,000)</w:t>
            </w:r>
          </w:p>
        </w:tc>
        <w:tc>
          <w:tcPr>
            <w:tcW w:w="3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(700,000)</w:t>
            </w:r>
          </w:p>
        </w:tc>
      </w:tr>
      <w:tr>
        <w:trPr>
          <w:trHeight w:val="25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(1,228,000)</w:t>
            </w: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251,000</w:t>
            </w:r>
          </w:p>
        </w:tc>
      </w:tr>
      <w:tr>
        <w:trPr>
          <w:trHeight w:val="203"/>
        </w:trPr>
        <w:tc>
          <w:tcPr>
            <w:tcW w:w="6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(2,645,000)</w:t>
            </w:r>
          </w:p>
        </w:tc>
        <w:tc>
          <w:tcPr>
            <w:tcW w:w="2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(49,000)</w:t>
            </w:r>
          </w:p>
        </w:tc>
        <w:tc>
          <w:tcPr>
            <w:tcW w:w="80" w:type="dxa"/>
            <w:vAlign w:val="bottom"/>
            <w:tcBorders>
              <w:top w:val="single" w:sz="8" w:color="CCEEFF"/>
            </w:tcBorders>
          </w:tcPr>
          <w:p>
            <w:pPr>
              <w:spacing w:after="0"/>
              <w:rPr>
                <w:sz w:val="17"/>
                <w:szCs w:val="17"/>
                <w:color w:val="auto"/>
              </w:rPr>
            </w:pPr>
          </w:p>
        </w:tc>
      </w:tr>
      <w:tr>
        <w:trPr>
          <w:trHeight w:val="25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6,838,000</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4,219,000</w:t>
            </w:r>
          </w:p>
        </w:tc>
        <w:tc>
          <w:tcPr>
            <w:tcW w:w="80" w:type="dxa"/>
            <w:vAlign w:val="bottom"/>
            <w:shd w:val="clear" w:color="auto" w:fill="CCEEFF"/>
          </w:tcPr>
          <w:p>
            <w:pPr>
              <w:spacing w:after="0"/>
              <w:rPr>
                <w:sz w:val="21"/>
                <w:szCs w:val="21"/>
                <w:color w:val="auto"/>
              </w:rPr>
            </w:pPr>
          </w:p>
        </w:tc>
      </w:tr>
      <w:tr>
        <w:trPr>
          <w:trHeight w:val="217"/>
        </w:trPr>
        <w:tc>
          <w:tcPr>
            <w:tcW w:w="6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end of the year</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4,193,000</w:t>
            </w: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4,170,000</w:t>
            </w:r>
          </w:p>
        </w:tc>
        <w:tc>
          <w:tcPr>
            <w:tcW w:w="80" w:type="dxa"/>
            <w:vAlign w:val="bottom"/>
            <w:tcBorders>
              <w:top w:val="single" w:sz="8" w:color="CCEEFF"/>
            </w:tcBorders>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(used in) operating activities was $(632,000), compared to $400,000 in operating activities during the same period in the prior year. The increase in net cash used in operating activities during the periods was mainly attributed to increased unit volumes and sales, and the addition of new formulations which temporarily reduced operating efficiencies.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Net cash used in investing activities during the six months ended June 30, 2019 and 2018 was $(785,000) and $(700,000), respectively. Cash used in investing activities in 2019 and 2018, was primarily associated with equipment purchases and upgrades and investments in our intellectual property portfolio.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Net cash provided by (used in) financing activities during the six months ended June 30, 2019 and 2018 was $(1,228,000) and $251,000, respectively. Cash used in financing activities during the six months ended June 30, 2019 was mostly related to principal payments on our note payable.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source of cash consists of cash provided by operating activities from our pharmaceutical compounding business. We may also sell some or all of our ownership interests in Eton, Surface, Melt or our subsidiaries. We just recently began producing cash from our operations during 2018, however historically and during the three and six months ended June 30, 2019, we have not generated sufficient revenues to support our operations and may not be able to continue to do so.</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need significant additional capital to support our business plan and fund our proposed business operations. We may receive additional proceeds from the exercise of stock purchase warrants and options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loan from SWK Funding, LLC and its partners.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June 30, 2019. Based on this evaluation, our principal executive officer and principal financial officer have concluded that our disclosure controls and procedures were effective to achieve their stated purpose as of June 30, 2019,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quarter ended June 30, 2019,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December 2016, Louis L. Sobol, M.D. (“Sobol”) filed a lawsuit in the U.S. District Court for the Eastern District of Michigan, Southern Division against us, asserting claims on behalf of himself and an as-yet-uncertified class of consumers. The claims allege violations under the Telephone Consumer Protection Act, 47 U.S.C. § 227 via our alleged transmittal of advertisements to our clients via facsimile. In February 2019, prior to a ruling on class certification, we entered into a proposed settlement agreement to award the class up to $1.4 million in damages. The Court approved our proposed settlement agreement in the spring of 2019 and on or about August 14, 2019, the Court will make a final ruling on the total damage award. As a result of the low claim rate of approximately 1.4%, we do not expect total damages to exceed $640,000, which we accrued as an expense during the year ended December 31,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September 2017, Allergan USA, Inc. (“Allergan”) filed a lawsuit in the U.S. District Court for the Central District of California against Imprimis Pharmaceuticals, Inc., primarily claiming violations under the federal Lanham Act and California’s Sherman Act. The Court granted in part and denied in part each parties’ motions for summary judgement, resolving all issues except for whether Allergan was entitled to damages related to Imprimis’ purported Lanham Act violations. The parties went to trial in May 2019 to litigate damages related to the Lanham Act, and a jury found Imprimis liable for only $48,500 in lost profit damages. In July 2019, the Court entered a permanent injunction, the scope of which is limited to compounded drugs prepared in, dispensed from within, or shipped to the State of California. The injunction requires Imprimis to: (1) only dispense drugs from a 503(a) facility with a “Valid Prescription Order”; (2) abide by the FDA’s anticipatory compounding guidelines; and (3) only use bulk drug substances identified on a list established by the Secretary of Health and Human Services or FDA’s interim “Category 1” list. We believe we were already in compliance with its order prior to the injunction being ordered,.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April 2018, Novel Drug Solutions, LLC and Eyecare Northwest, PA, (collectively “NDS”) filed a lawsuit against us in the U.S. District Court of Delaware asserting claims for breach of contract. The claims stem from an asset purchase agreement between us and NDS entered into in 2013 (the “NDS APA”). In July 2019, NDS filed a second amended complaint which added a claim related to its purported termination of the NDS APA. On August 12, 2019, we notified NDS of our acceptance of their purported termination of the NDS APA. We not expect the termination of the NDS APA to affect our operations or revenues. We believe the claims are meritless and have previously and will continue to dispute all claims asserted against us and intend to vigorously defend against these allegations. Nonetheless, we cannot predict the eventual outcome of this litigation and it could result in substantial costs, losses and a diversion of management’s resources and attention, which could harm the Company’s business and the value of its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March 2018, the California Board of Pharmacy filed an accusation against Park related to a compounded formulation the Company believes was legally dispensed and was, without its knowledge, inappropriately administered to a patient unknown to Park, by the prescribing healthcare professional. Park filed a response to the accusation and requested a formal hearing. In April 2019, Park agreed to and the California Board of Pharmacy approved terms of a settlement agreement (the “Settlement Agreement”) that became effective on May 29, 2019. Pursuant to the terms of the Settlement Agreement, Park is required to surrender its California pharmacy license by August 27, 2019; provided however, in the event of a sale of Park, the California Board of Pharmacy agreed to expedite the issuance of a temporary license to the Park acquiror. We recently entered into an agreement to sell the Park business and are actively working on the transfer of the Park license to the acquiror. If a sale is not completed, we expect our New Jersey-based pharmacy to retain approximately half of the Park business and revenues.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In September 2018, co-defendant Dr. Kelly filed a cross-complaint against us and various Spectrum entities. The cross-complaint seeks indemnity and contribution from us and Spectrum. We answered the claims filed by Dr. Kelly in October 2018. The case is currently in the discovery phase. We believe the claims are meritless and have previously and will continue to dispute all claims asserted against us and intend to vigorously defend against these allegations. Nonetheless, we cannot predict the eventual outcome of this litigation and it could result in substantial costs, losses and a diversion of management’s resources and attention, which could harm the Company’s business and the value of its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Anna Sue Gaukel et al.</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June 2019, Anna Sue Gaukel and Lawrence Gaukel served Imprimis with a lawsuit filed in state court in Idaho against Imprimis Pharmaceuticals, Inc. asserting class action allegations and product liability claims related to Mrs. Gaukel’s doctor’s use of a compounded drug injection in each of her eyes. In June 2019, Imprimis removed the case to Federal Court and subsequently answered the complaint. The case is in the early phase. We believe the claims are meritless and have previously and will continue to dispute all claims asserted against us and intend to vigorously defend against these allegations. Nonetheless, we cannot predict the eventual outcome of this litigation and it could result in substantial costs, losses and a diversion of management’s resources and attention, which could harm the Company’s business and the value of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ordinary course of business, we may face various claims brought by third parties and we may, from time to time, make claims or take legal actions to assert our rights, including intellectual property disputes, contractual disputes and other commercial disputes. Any of these claims could subject us to 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Until last year, we incurred losses in every year of our operations, and we may not be profitable in the future.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Until 2018, we incurred losses in every year of our operations. As of June 30, 2019, our accumulated deficit was $(65,231,000). Our current projections indicate that we will have operating income and/or net income during 2019;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compounding operations, our ability to generate the revenues necessary to achieve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plan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sell certain of our proprietary formulations primarily through pharmaceutical compounding facilities we own, but we may not be successful in our efforts to integrate these businesses into our operations.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establishing a small compounding pharmacy group, whether through acquisitions, establishing new pharmacies or entering into licensing arrangements with third-party pharmacies and outsourcing facilities, to market and sell our proprietary formulations and other non-proprietary products in all 50 states and in certain geographies outside of the U.S.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compounding facilities in New Jersey and California. We may plan to expand our pharmacy operations and personnel and developing our facilities into a unified group compounding pharmacy facilities. We have been developing “ImprimisRx” as a uniform brand for certain compounding facilities and ophthalmology focused pharmaceutical compounding business. We have limited experience acquiring, building or operating compounding pharmacies or other prescription dispensing facilities or commercializing our formulations through ownership of or licensing arrangements with pharmacies.. In addition, as we have in the past, we have purchased and operated certain pharmaceutical compounding businesses and pharmacies, and subsequently divested or sold those associated assets, we may pursue similar strategies in the future. Those things considered, we may experience difficulties implementing and/or executing on our compounding pharmacy strategy, including difficulties that arise as a result of our lack of experience, and we may be unsuccessful and our plans may change materially. For instance:</w:t>
      </w:r>
    </w:p>
    <w:p>
      <w:pPr>
        <w:spacing w:after="0" w:line="17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our outsourcing facility construction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successful in completing future construction plans on a timely basis or within budget;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be successful in our efforts to integrate, manage or otherwise realize the benefits we expect from acquisitions of our ImprimisRx compounding pharmacies or any additional pharmacy businesses or outsourcing facilities we to acquire, sell or build in the future;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jc w:val="both"/>
        <w:ind w:firstLine="648"/>
        <w:spacing w:after="0" w:line="259" w:lineRule="auto"/>
        <w:rPr>
          <w:sz w:val="20"/>
          <w:szCs w:val="20"/>
          <w:color w:val="auto"/>
        </w:rPr>
      </w:pPr>
      <w:r>
        <w:rPr>
          <w:rFonts w:ascii="Arial" w:cs="Arial" w:eastAsia="Arial" w:hAnsi="Arial"/>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August 2017,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Separately, 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been in communication with the FDA and are taking steps to address the items outlined in the FDA letter. In June 2019, our outsourcing facility was issued a warning letter related to an April 2017 inspection and our use of certain active pharmaceutical ingredients in our compounded medications. We responded to the warning letter in July 2019. We will continue to work with the FDA to assure that all allegations in the warning letters have been addressed. We believe, to date, we have addressed all of the material items of concern in the FDA’s warning letters and those related to the MedWatch notification (and any other requirements observed by FDA and noted to us), and we do not believe there will be any further action taken by FDA in these matters. Nonetheless, these items increased further scrutiny and negative publicity on us as a company. At times, we have become aware of negative views of regulators related to certain formulations, and as a result discontinued compounding certain drug formulations in an attempt help mitigate potential regulatory risk. As a result of the MedWatch notice, warning letters and other regulatory notifications, some physicians may be hesitant to prescribe and some patients may be hesitant to purchase and use non-FDA approved compounded formulations, particularly when an FDA-approved potential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one of our pharmacies fails to comply with state statutes and regulations, the pharmacy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State pharmacy laws require pharmacy locations in those states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If one of our pharmacies, or with which we may partner is found not to comply with state pharmacy and controlled substance laws and regulations, the pharmacy could be required to cease operations or become subject to burdensome restrictions and limitations on its business. For example, in March 2018, the California Board of Pharmacy filed an accusation against our subsidiary, Park related to a compounded formulation we believe was legally dispensed and was, without our knowledge, inappropriately administered to a patient unknown to us, by the prescribing healthcare professionals. While we dispute all claims against Park, we did enter into a settlement agreement with the California Board of Pharmacy which if we do not close on a sale of Park by August 27, 2019, the settlement will require us to permanently or temporarily cease or limit Park’s pharmacy locations operations including its sterile compounding operations. If Park is required to permanently or temporarily cease or limit its sterile compounding operations, we intend to transfer approximately half of its business to our New Jersey based pharmacy. Although we distribute our proprietary formulations through other compounding pharmacies, and not solely through Park, the loss of Park’s ability to compound sterile formulations could have an adverse impact on our ability to implement our business plan in a timely manner.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(including Park)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shipments of interstate compounding. Previously, the draft MOU presented by the FDA in February 2015 intended to limit interstate shipments of compounded drug units to 30% of all compounded and non-compounded units dispensed or distributed by the pharmacy per month, the excess of which the FDA considered an “inordinate amount.” The FDA stated in the guidance issued in February 2015 that it would not enforce interstate restrictions until after it published a final MOU and made it available to states for signature for some designated period of time. If the final MOU was drafted and released by the FDA and was not signed by a particular state, then interstate shipments of compounded preparations from a pharmacy located in that state would be limited to quantities not greater than 5% of total prescription orders dispensed or distributed by the pharmacy; however, we are not aware that the FDA currently enforces or has in the past enforced the 5% rule and, under current draft guidance, the FDA had historically stated that it would not enforce the 5% rule until a final MOU was made available to states for signature. The FDA originally proposed a 180-day period for states to agree to the final MOU after the final version was presented, which to date has not occurred, before it would begin to enforce the 5% rule. In January of 2018, the FDA released a “2018 Compounding Policy Priorities Plan” (the “2018 Compounding Plan”) which provided an overview of the key priorities the FDA plans to focus on in 2018 in connection with compounding regulations. One of the priorities outlined in the 2018 Compounding Plan addressed the current status of the MOU and the FDA’s plan to release a revised MOU (the “Revised MOU”). Pursuant to the statements in the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The Revised MOU will also provide states more time to report to the FDA, and flexibility on identifying when amounts are inordinate, considering the size and scope of compounding operations. Until a the Revised MOU is issued and presented to states to consider, the extent of interstate dispensing restrictions imposed by Section 503A is unknown. However, if the final Revised MOU contains a 50% limit on interstate distribution, dependent on the additional reporting requirements to be outlined in the Revised MOU, our pharmacy operations could be materially limited. Additionally, the permanent injunction entered on July 22, 2019, by the United States District Court of the Central District of California in the Allergan litigation (also referenced in Item. 1 Legal Proceedings), enjoins the Company from engaging in activities that are inconsistent with current FDA guidelines for 503A and 503B operations. While the Company believes its operations fully comply with the injunction, if the Court were to find the Company to be in violation of the injunction, further sanctions including fines and limitations on the pharmacies’ operations could occur.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There are many competitive risks related to marketing and selling our proprietary formulations and operating our compounding pharmacy business.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Care Reform Law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and corporate development opportunities since 2014,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SWK debt instrument contain various restrictive covenants, including, among others, our obligation to deliver to SWK certain financial and other information, our obligation to comply with certain notice and insurance requirements, and our inability, without SWK’s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SWK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$59,000,000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with SWK.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Manufacturing and Commercialization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we seek FDA approval to market and sell any of our proprietary formulations, such as with drug candidates being developed by Stowe, Radley, Mayfield, Melt, Surface and Eton, we may be unable to demonstrate the necessary safety and efficacy to obtain such FDA approval.</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strategy was focused on developing and commercializing product opportunities as compounded formulations. In 2017 and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the success of our drug candidates, and those we have royalty rights to, which have not yet demonstrated efficacy for their target or any other indications. If we are unable to generate revenues from our drug candidates, our ability to create stockholder value will be limited.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drug candidates are in the early stages of clinical development. We do not generate revenues from any FDA approved drug products. We expect to submit an Investigational New Drug Application (“IND”) or foreign equivalent to the FDA or international regulatory authorities seeking approval to initiate our clinical trials in humans in the United States or other countries yet to be determined. We plan on submitting our clinical trial protocols and receive approvals from the FDA and international regulatory authorities before we can commence any clinical trials. We may not be successful in obtaining acceptance from the FDA or comparable foreign regulatory authorities to start our clinical trials. If we do not obtain such acceptance, the time in which we expect to commence clinical programs for any drug candidate will be extended and such extension will increase our expenses and increase our need for additional capital. Moreover,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our business currently depends entirely on the successful development, regulatory approval and commercialization of our drug candidates, which may never occur.</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obtain any required regulatory approvals for our drug candidates, we will not be able to commercialize our drug candidate and our ability to generate revenue will be limited.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We have not submitted an NDA to the FDA or comparable applications to other regulatory authorities.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4" w:name="page55"/>
    <w:bookmarkEnd w:id="54"/>
    <w:p>
      <w:pPr>
        <w:ind w:firstLine="648"/>
        <w:spacing w:after="0" w:line="277" w:lineRule="auto"/>
        <w:rPr>
          <w:sz w:val="20"/>
          <w:szCs w:val="20"/>
          <w:color w:val="auto"/>
        </w:rPr>
      </w:pPr>
      <w:r>
        <w:rPr>
          <w:rFonts w:ascii="Arial" w:cs="Arial" w:eastAsia="Arial" w:hAnsi="Arial"/>
          <w:sz w:val="18"/>
          <w:szCs w:val="18"/>
          <w:color w:val="auto"/>
        </w:rPr>
        <w:t>Our success depends on the receipt of regulatory approval and the issuance of such regulatory approvals is uncertain and subject to a number of risks, including the following:</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toxicology studies may not support the filing of an IND for our drug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or Institutional Review Boards, or “IRB”, may disagree with the design or implementation of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provide acceptable evidence of our drug candidates’ safety and efficacy;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our clinical trials may not be satisfactory or may not meet the level of statistical or clinical significance required by the FDA, European Medicines Agency (the “EMA”), or other regulatory agencies for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dosing of our drug candidates in a particular clinical trial may not be at an optimal level;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drug candidates;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an NDA, BLA or other submission or to obtain regulatory approval in the United States or elsewhere;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Excluding any activities through our ownership interest in Eton, we have not submitted an NDA or received regulatory approval to market our drug candidates in any jurisdiction. We have only limited experience in filing the applications necessary to gain regulatory approvals and expect to rely on consultants and third party contract research organizations, or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commercialize any of our drug candidates, we may need to acquire additional drug candidates and our business will be adversely affected.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commercialized any drug candidates and do not have any other compounds in pre-clinical testing, lead optimization or lead identification stages beyond our drug candidates. We cannot be certain that any of our drug candidates will prove to be sufficiently effective and safe to meet applicable regulatory standards for any indication. If we fail to successfully commercialize any of our drug candidates for their targeted indications, whether as stand-alone therapies or in combination with other therapeutic agents, our business would be adversely affected.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8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demonstration of clinical safety and efficacy;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dosing burden and ease of administration;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physicians to prescribe our drug candidates, and the target patient population to try new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efficacy of our drug candidates compared to competing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any new products that may in the future become available targeting indications for which our drug candidates may be approved;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new procedures or therapies that may reduce the incidences of any of the indications in which our drug candidates may show utility;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inclusion or omission of our drug candidates in applicable therapeutic and vaccine guidelines;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sales and marketing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or warnings contained in approved labeling from regulatory authorities;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third-party coverage or reimbursement or government pricing approvals.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jc w:val="both"/>
        <w:ind w:firstLine="648"/>
        <w:spacing w:after="0" w:line="286" w:lineRule="auto"/>
        <w:rPr>
          <w:sz w:val="20"/>
          <w:szCs w:val="20"/>
          <w:color w:val="auto"/>
        </w:rPr>
      </w:pPr>
      <w:r>
        <w:rPr>
          <w:rFonts w:ascii="Arial" w:cs="Arial" w:eastAsia="Arial" w:hAnsi="Arial"/>
          <w:sz w:val="16"/>
          <w:szCs w:val="16"/>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 requirements relating to quality control, quality assurance and corresponding maintenance of records and documents.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7" w:name="page58"/>
    <w:bookmarkEnd w:id="57"/>
    <w:p>
      <w:pPr>
        <w:jc w:val="both"/>
        <w:ind w:firstLine="648"/>
        <w:spacing w:after="0" w:line="289" w:lineRule="auto"/>
        <w:rPr>
          <w:sz w:val="20"/>
          <w:szCs w:val="20"/>
          <w:color w:val="auto"/>
        </w:rPr>
      </w:pPr>
      <w:r>
        <w:rPr>
          <w:rFonts w:ascii="Arial" w:cs="Arial" w:eastAsia="Arial" w:hAnsi="Arial"/>
          <w:sz w:val="16"/>
          <w:szCs w:val="16"/>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81"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drug candidates and generate revenue. Adverse regulatory action, whether pre- or post-approval, can also potentially lead to product liability claims and increase our product liability exposure.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8" w:name="page59"/>
    <w:bookmarkEnd w:id="58"/>
    <w:p>
      <w:pPr>
        <w:jc w:val="both"/>
        <w:ind w:firstLine="64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Health Care Reform Law remains subject to legislative efforts to repeal, modify or delay the implementation of the law. Efforts to date have generally been unsuccessful.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or modification in the implementation of the Health Care Reform Law on us at this time.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Our drug candidates may face competition sooner than expected.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will depend in part on our ability to obtain and maintain patent protection for our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Even if our drug candidates are considered to be reference products eligible for three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U.S.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broadly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 Moreover, recent health care reform legislation has strengthened these laws. For example, the Health Care Reform Law, among other things, amends the intent requirement of the U.S. Anti-Kickback Statute and criminal health care fraud statutes; a person or entity no longer needs to have actual knowledge of this statute or specific intent to violate it. In addition, the Health Care Reform Law provides that the government may assert that a claim including items or services resulting from a violation of the U.S. Anti-Kickback Statute constitutes a false or fraudulent claim for purposes of the U.S. False Claims Act. Federal false claims laws prohibit any person from knowingly presenting, or causing to be presented, a false claim for payment to the federal government or knowingly making, or causing to be made, a false statement to get a false claim paid.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0" w:name="page61"/>
    <w:bookmarkEnd w:id="60"/>
    <w:p>
      <w:pPr>
        <w:jc w:val="both"/>
        <w:ind w:firstLine="648"/>
        <w:spacing w:after="0" w:line="271" w:lineRule="auto"/>
        <w:rPr>
          <w:sz w:val="20"/>
          <w:szCs w:val="20"/>
          <w:color w:val="auto"/>
        </w:rPr>
      </w:pPr>
      <w:r>
        <w:rPr>
          <w:rFonts w:ascii="Arial" w:cs="Arial" w:eastAsia="Arial" w:hAnsi="Arial"/>
          <w:sz w:val="17"/>
          <w:szCs w:val="17"/>
          <w:color w:val="auto"/>
        </w:rPr>
        <w:t>Over the past few years, several pharmaceutical and other healthcare companies have been prosecuted under these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off-label promotion that caused claims to be submitted to Medicare or Medicaid for non-covered, off-label uses; and submitting inflated best price information to the Medicaid Rebate Program to reduce liability for Medicaid rebates. Most states also have statutes or regulations similar to the U.S. Anti-Kickback Statute and the U.S. False Claims Act, which apply to items and services reimbursed under Medicaid and other state programs, or, in several states, apply regardless of the payor. Sanctions under these federal and state laws may include substantial civil monetary penalties, exclusion of a manufacturer’s products from reimbursement under government programs, substantial criminal fines and imprisonment.</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will be completely dependent on third parties to manufacture our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currently have, nor do we plan to acquire, the capability or infrastructure to manufacture the active pharmaceutical ingredient, (“API”), in our drug candidates for use in our clinical trials or for commercial product, if any. In addition, we do not have the capability to encapsulate any of our drug candidates as a finished drug product for commercial distribution. As a result, we will be obligated to rely on contract manufacturers, if and when any of our drug candidates are approved for commercialization. We have not entered into an agreement with any contract manufacturers for commercial supply and may not be able to engage a contract manufacturer for commercial supply of any of our drug candidates on favorable terms to us, or at all.</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1" w:name="page62"/>
    <w:bookmarkEnd w:id="61"/>
    <w:p>
      <w:pPr>
        <w:jc w:val="both"/>
        <w:ind w:firstLine="648"/>
        <w:spacing w:after="0" w:line="269" w:lineRule="auto"/>
        <w:rPr>
          <w:sz w:val="20"/>
          <w:szCs w:val="20"/>
          <w:color w:val="auto"/>
        </w:rPr>
      </w:pPr>
      <w:r>
        <w:rPr>
          <w:rFonts w:ascii="Arial" w:cs="Arial" w:eastAsia="Arial" w:hAnsi="Arial"/>
          <w:sz w:val="17"/>
          <w:szCs w:val="17"/>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 party manufacturing partners, or the lack of capacity available at our third 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manufacturing problem or the loss of a contract manufacturer could be disruptive to our operations and result in lost sales. Additionally, we rely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2" w:name="page63"/>
    <w:bookmarkEnd w:id="62"/>
    <w:p>
      <w:pPr>
        <w:jc w:val="both"/>
        <w:ind w:firstLine="648"/>
        <w:spacing w:after="0" w:line="290" w:lineRule="auto"/>
        <w:rPr>
          <w:sz w:val="20"/>
          <w:szCs w:val="20"/>
          <w:color w:val="auto"/>
        </w:rPr>
      </w:pPr>
      <w:r>
        <w:rPr>
          <w:rFonts w:ascii="Arial" w:cs="Arial" w:eastAsia="Arial" w:hAnsi="Arial"/>
          <w:sz w:val="16"/>
          <w:szCs w:val="16"/>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failing to grant permission to proceed and placing the clinical study on hold;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subjects for clinical testing failing to enroll or remain in our trials at the rate we expect;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drug candidates, or participating in competing clinical studies;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reports from clinical testing on similar technologies and products raising safety and/or efficacy concerns;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3" w:name="page64"/>
    <w:bookmarkEnd w:id="63"/>
    <w:p>
      <w:pPr>
        <w:jc w:val="both"/>
        <w:ind w:left="980" w:hanging="324"/>
        <w:spacing w:after="0" w:line="286"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deviations of the clinical sites from trial protocols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of the CRO to execute any clinical trials for any reason;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i w:val="1"/>
          <w:iCs w:val="1"/>
          <w:color w:val="auto"/>
        </w:rPr>
        <w:t>Even though we may apply for orphan drug designation for a drug candidate, we may not be able to obtain orphan drug marketing exclusivity.</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As of February 28, 2019, we owned and/or licensed nine U.S. issued patents, two international issued patents, and 32 U.S. patent applications, including 29 utility (including continuation, continuation-in-part and divisional) and three provisional patent applications, and we owned seven international patent applications filed under the Patent Cooperation Treaty and 42 foreign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our Chief Executive Officer, Mark L. Baum, and other key persons for the continued growth and development of our Company.</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 In addition, our loan agreement identifies other key persons including, but not limited to, our Chief Financial Officer, Andrew R. Boll and our President of ImprimisRx, John P. Saharek.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to hire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results. If we cannot provide reliable financial results, our consolidated financial statements could be misstated, our reputation may be harmed and the trading price of our common stock could decline. As we discussed in Part I - Item 4 of this Quarterly Report, our management concluded that our internal controls over financial reporting were effective as of June 30, 2019.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Any payment of dividends on our common stock would depend on contractual restrictions, such as those contained in our SWK loan agreement,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9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10.1</w:t>
            </w:r>
          </w:p>
        </w:tc>
        <w:tc>
          <w:tcPr>
            <w:tcW w:w="180" w:type="dxa"/>
            <w:vAlign w:val="bottom"/>
          </w:tcPr>
          <w:p>
            <w:pPr>
              <w:spacing w:after="0"/>
              <w:rPr>
                <w:sz w:val="24"/>
                <w:szCs w:val="24"/>
                <w:color w:val="auto"/>
              </w:rPr>
            </w:pPr>
          </w:p>
        </w:tc>
        <w:tc>
          <w:tcPr>
            <w:tcW w:w="10260" w:type="dxa"/>
            <w:vAlign w:val="bottom"/>
            <w:tcBorders>
              <w:top w:val="single" w:sz="8" w:color="auto"/>
              <w:bottom w:val="single" w:sz="8" w:color="0000EE"/>
            </w:tcBorders>
            <w:gridSpan w:val="9"/>
          </w:tcPr>
          <w:p>
            <w:pPr>
              <w:spacing w:after="0"/>
              <w:rPr>
                <w:rFonts w:ascii="Arial" w:cs="Arial" w:eastAsia="Arial" w:hAnsi="Arial"/>
                <w:sz w:val="18"/>
                <w:szCs w:val="18"/>
                <w:color w:val="0000EE"/>
                <w:w w:val="95"/>
              </w:rPr>
            </w:pPr>
            <w:hyperlink r:id="rId74">
              <w:r>
                <w:rPr>
                  <w:rFonts w:ascii="Arial" w:cs="Arial" w:eastAsia="Arial" w:hAnsi="Arial"/>
                  <w:sz w:val="18"/>
                  <w:szCs w:val="18"/>
                  <w:color w:val="0000EE"/>
                  <w:w w:val="95"/>
                </w:rPr>
                <w:t>Joinder and Amendment to Loan and Security Agreement, dated May 24, 2019, by and between Harrow Health, Inc., each of its wholly</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owned subsidiaries and SWK Funding LLC. (incorporated herein by reference to Exhibit 10.1 to the Current Report on Form 8-K of Harrow</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9"/>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Health, Inc. filed with the Securities and Exchange Commission on May 29, 2019)</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10.2*</w:t>
            </w:r>
          </w:p>
        </w:tc>
        <w:tc>
          <w:tcPr>
            <w:tcW w:w="180" w:type="dxa"/>
            <w:vAlign w:val="bottom"/>
          </w:tcPr>
          <w:p>
            <w:pPr>
              <w:spacing w:after="0" w:line="20" w:lineRule="exact"/>
              <w:rPr>
                <w:sz w:val="1"/>
                <w:szCs w:val="1"/>
                <w:color w:val="auto"/>
              </w:rPr>
            </w:pPr>
          </w:p>
        </w:tc>
        <w:tc>
          <w:tcPr>
            <w:tcW w:w="5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Consulting Agreement dated June 3, 2019 between Mayfield Pharmaceuticals, Inc. and Andrew R. Boll</w:t>
            </w:r>
          </w:p>
        </w:tc>
        <w:tc>
          <w:tcPr>
            <w:tcW w:w="27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180" w:type="dxa"/>
            <w:vAlign w:val="bottom"/>
          </w:tcPr>
          <w:p>
            <w:pPr>
              <w:spacing w:after="0"/>
              <w:rPr>
                <w:sz w:val="24"/>
                <w:szCs w:val="24"/>
                <w:color w:val="auto"/>
              </w:rPr>
            </w:pPr>
          </w:p>
        </w:tc>
        <w:tc>
          <w:tcPr>
            <w:tcW w:w="74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Consulting Agreement dated June 3, 2019 between Mayfield Pharmaceuticals, Inc. and Mark L. Baum</w:t>
            </w:r>
          </w:p>
        </w:tc>
        <w:tc>
          <w:tcPr>
            <w:tcW w:w="2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b w:val="1"/>
                <w:bCs w:val="1"/>
                <w:color w:val="auto"/>
              </w:rPr>
              <w:t>10.4*</w:t>
            </w:r>
          </w:p>
        </w:tc>
        <w:tc>
          <w:tcPr>
            <w:tcW w:w="180" w:type="dxa"/>
            <w:vAlign w:val="bottom"/>
          </w:tcPr>
          <w:p>
            <w:pPr>
              <w:spacing w:after="0"/>
              <w:rPr>
                <w:sz w:val="24"/>
                <w:szCs w:val="24"/>
                <w:color w:val="auto"/>
              </w:rPr>
            </w:pPr>
          </w:p>
        </w:tc>
        <w:tc>
          <w:tcPr>
            <w:tcW w:w="10260" w:type="dxa"/>
            <w:vAlign w:val="bottom"/>
            <w:gridSpan w:val="9"/>
          </w:tcPr>
          <w:p>
            <w:pPr>
              <w:spacing w:after="0"/>
              <w:rPr>
                <w:sz w:val="20"/>
                <w:szCs w:val="20"/>
                <w:color w:val="auto"/>
              </w:rPr>
            </w:pPr>
            <w:r>
              <w:rPr>
                <w:rFonts w:ascii="Arial" w:cs="Arial" w:eastAsia="Arial" w:hAnsi="Arial"/>
                <w:sz w:val="18"/>
                <w:szCs w:val="18"/>
                <w:color w:val="0000EE"/>
              </w:rPr>
              <w:t>Consulting Agreement dated June 3, 2019 between Mayfield Pharmaceuticals, Inc. and John P. Saharek</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31.1*</w:t>
            </w:r>
          </w:p>
        </w:tc>
        <w:tc>
          <w:tcPr>
            <w:tcW w:w="180" w:type="dxa"/>
            <w:vAlign w:val="bottom"/>
          </w:tcPr>
          <w:p>
            <w:pPr>
              <w:spacing w:after="0" w:line="20" w:lineRule="exact"/>
              <w:rPr>
                <w:sz w:val="1"/>
                <w:szCs w:val="1"/>
                <w:color w:val="auto"/>
              </w:rPr>
            </w:pPr>
          </w:p>
        </w:tc>
        <w:tc>
          <w:tcPr>
            <w:tcW w:w="56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4"/>
              </w:rPr>
              <w:t>Certification of Mark L. Baum, principal executive officer, pursuant to Rule 13a-14(a) or 15d-14(a) of the Securities and Exchange Act of</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9"/>
          </w:tcPr>
          <w:p>
            <w:pPr>
              <w:spacing w:after="0" w:line="196" w:lineRule="exact"/>
              <w:rPr>
                <w:sz w:val="20"/>
                <w:szCs w:val="20"/>
                <w:color w:val="auto"/>
              </w:rPr>
            </w:pPr>
            <w:r>
              <w:rPr>
                <w:rFonts w:ascii="Arial" w:cs="Arial" w:eastAsia="Arial" w:hAnsi="Arial"/>
                <w:sz w:val="18"/>
                <w:szCs w:val="18"/>
                <w:color w:val="0000EE"/>
              </w:rPr>
              <w:t>1934, as adopted pursuant to Section 302 of the Sarbanes- Oxley Act of 2002.</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31.2*</w:t>
            </w:r>
          </w:p>
        </w:tc>
        <w:tc>
          <w:tcPr>
            <w:tcW w:w="180" w:type="dxa"/>
            <w:vAlign w:val="bottom"/>
          </w:tcPr>
          <w:p>
            <w:pPr>
              <w:spacing w:after="0" w:line="20" w:lineRule="exact"/>
              <w:rPr>
                <w:sz w:val="1"/>
                <w:szCs w:val="1"/>
                <w:color w:val="auto"/>
              </w:rPr>
            </w:pPr>
          </w:p>
        </w:tc>
        <w:tc>
          <w:tcPr>
            <w:tcW w:w="562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9"/>
          </w:tcPr>
          <w:p>
            <w:pPr>
              <w:spacing w:after="0"/>
              <w:rPr>
                <w:sz w:val="20"/>
                <w:szCs w:val="20"/>
                <w:color w:val="auto"/>
              </w:rPr>
            </w:pPr>
            <w:r>
              <w:rPr>
                <w:rFonts w:ascii="Arial" w:cs="Arial" w:eastAsia="Arial" w:hAnsi="Arial"/>
                <w:sz w:val="18"/>
                <w:szCs w:val="18"/>
                <w:color w:val="0000EE"/>
                <w:w w:val="96"/>
              </w:rPr>
              <w:t>Certification of Andrew R. Boll, principal financial and accounting officer, pursuant to Rule 13a-14(a) or 15d-14(a) of the Securities and</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Exchange Act of 1934, as adopted pursuant to Section 302 of the Sarbanes- Oxley Act of 2002.</w:t>
            </w:r>
          </w:p>
        </w:tc>
        <w:tc>
          <w:tcPr>
            <w:tcW w:w="336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180" w:type="dxa"/>
            <w:vAlign w:val="bottom"/>
          </w:tcPr>
          <w:p>
            <w:pPr>
              <w:spacing w:after="0"/>
              <w:rPr>
                <w:sz w:val="24"/>
                <w:szCs w:val="24"/>
                <w:color w:val="auto"/>
              </w:rPr>
            </w:pPr>
          </w:p>
        </w:tc>
        <w:tc>
          <w:tcPr>
            <w:tcW w:w="102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Certification pursuant to 18 U.S.C. Section 1350, as adopted pursuant to Section 906 of the Sarbanes-Oxley Act of 2002, executed by Mark</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3"/>
              </w:rPr>
              <w:t>L. Baum, principal executive officer, and Andrew R. Boll, principal financial and accounting officer.</w:t>
            </w:r>
          </w:p>
        </w:tc>
        <w:tc>
          <w:tcPr>
            <w:tcW w:w="30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101.INS*</w:t>
            </w:r>
          </w:p>
        </w:tc>
        <w:tc>
          <w:tcPr>
            <w:tcW w:w="1026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101.SCH*</w:t>
            </w:r>
          </w:p>
        </w:tc>
        <w:tc>
          <w:tcPr>
            <w:tcW w:w="1026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101.CAL*</w:t>
            </w:r>
          </w:p>
        </w:tc>
        <w:tc>
          <w:tcPr>
            <w:tcW w:w="102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101.DEF*</w:t>
            </w:r>
          </w:p>
        </w:tc>
        <w:tc>
          <w:tcPr>
            <w:tcW w:w="102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101.LAB*</w:t>
            </w:r>
          </w:p>
        </w:tc>
        <w:tc>
          <w:tcPr>
            <w:tcW w:w="102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101.PRE*</w:t>
            </w:r>
          </w:p>
        </w:tc>
        <w:tc>
          <w:tcPr>
            <w:tcW w:w="102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14, 2019</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0" w:name="page71"/>
    <w:bookmarkEnd w:id="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CONSULTING AGREEMENT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THIS CONSULTING AGREEMENT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effective as the last date provided for on the signature page and is entered into by and between Andrew R. Boll, an individual (“</w:t>
      </w:r>
      <w:r>
        <w:rPr>
          <w:rFonts w:ascii="Arial" w:cs="Arial" w:eastAsia="Arial" w:hAnsi="Arial"/>
          <w:sz w:val="18"/>
          <w:szCs w:val="18"/>
          <w:b w:val="1"/>
          <w:bCs w:val="1"/>
          <w:u w:val="single" w:color="auto"/>
          <w:color w:val="auto"/>
        </w:rPr>
        <w:t>Consultant</w:t>
      </w:r>
      <w:r>
        <w:rPr>
          <w:rFonts w:ascii="Arial" w:cs="Arial" w:eastAsia="Arial" w:hAnsi="Arial"/>
          <w:sz w:val="18"/>
          <w:szCs w:val="18"/>
          <w:color w:val="auto"/>
        </w:rPr>
        <w:t>”) and Mayfield Pharmaceuticals, Inc., a Delaware corporation with its principal address located at 12264 El Camino Real, Suite 350, San Diego, CA 92130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86"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Consultant will provide consulting services to the Company during the Term (as further defined below) of this Agreement. The consulting services (“</w:t>
      </w:r>
      <w:r>
        <w:rPr>
          <w:rFonts w:ascii="Arial" w:cs="Arial" w:eastAsia="Arial" w:hAnsi="Arial"/>
          <w:sz w:val="17"/>
          <w:szCs w:val="17"/>
          <w:b w:val="1"/>
          <w:bCs w:val="1"/>
          <w:u w:val="single" w:color="auto"/>
          <w:color w:val="auto"/>
        </w:rPr>
        <w:t>Services</w:t>
      </w:r>
      <w:r>
        <w:rPr>
          <w:rFonts w:ascii="Arial" w:cs="Arial" w:eastAsia="Arial" w:hAnsi="Arial"/>
          <w:sz w:val="17"/>
          <w:szCs w:val="17"/>
          <w:color w:val="auto"/>
        </w:rPr>
        <w:t>”) are set forth in the Statement of Work (“</w:t>
      </w:r>
      <w:r>
        <w:rPr>
          <w:rFonts w:ascii="Arial" w:cs="Arial" w:eastAsia="Arial" w:hAnsi="Arial"/>
          <w:sz w:val="17"/>
          <w:szCs w:val="17"/>
          <w:b w:val="1"/>
          <w:bCs w:val="1"/>
          <w:u w:val="single" w:color="auto"/>
          <w:color w:val="auto"/>
        </w:rPr>
        <w:t>SOW</w:t>
      </w:r>
      <w:r>
        <w:rPr>
          <w:rFonts w:ascii="Arial" w:cs="Arial" w:eastAsia="Arial" w:hAnsi="Arial"/>
          <w:sz w:val="17"/>
          <w:szCs w:val="17"/>
          <w:color w:val="auto"/>
        </w:rPr>
        <w:t xml:space="preserve">”)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100" w:hanging="770"/>
        <w:spacing w:after="0" w:line="314"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This Agreement shall be effective on the later of the dates that it is executed by the Company and Consultant (the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and shall terminate as of the date Services are completed (the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xml:space="preserve">” as further defined and outlined in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unless: (i) this Agreement is sooner terminated as provided in Section 2.2 below; or (ii) the parties agree in writing to extend the Term for a mutually agreed upon period.</w:t>
      </w:r>
    </w:p>
    <w:p>
      <w:pPr>
        <w:spacing w:after="0" w:line="146"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2.2.The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3.1.In consideration of the Services provided hereunder, the Company shall provide Consultant the compensation as set forth in the applicable SOW (“</w:t>
      </w:r>
      <w:r>
        <w:rPr>
          <w:rFonts w:ascii="Arial" w:cs="Arial" w:eastAsia="Arial" w:hAnsi="Arial"/>
          <w:sz w:val="18"/>
          <w:szCs w:val="18"/>
          <w:b w:val="1"/>
          <w:bCs w:val="1"/>
          <w:u w:val="single" w:color="auto"/>
          <w:color w:val="auto"/>
        </w:rPr>
        <w:t>Consulting Fee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00" w:right="20" w:hanging="770"/>
        <w:spacing w:after="0" w:line="277" w:lineRule="auto"/>
        <w:rPr>
          <w:rFonts w:ascii="Arial" w:cs="Arial" w:eastAsia="Arial" w:hAnsi="Arial"/>
          <w:sz w:val="18"/>
          <w:szCs w:val="18"/>
          <w:color w:val="auto"/>
        </w:rPr>
      </w:pPr>
      <w:r>
        <w:rPr>
          <w:rFonts w:ascii="Arial" w:cs="Arial" w:eastAsia="Arial" w:hAnsi="Arial"/>
          <w:sz w:val="18"/>
          <w:szCs w:val="18"/>
          <w:color w:val="auto"/>
        </w:rPr>
        <w:t>3.2.Consultant shall be responsible for all expenses incurred in association with performance of the Services, unless pre-approved by the Company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both"/>
        <w:ind w:left="332" w:hanging="332"/>
        <w:spacing w:after="0" w:line="297" w:lineRule="auto"/>
        <w:tabs>
          <w:tab w:leader="none" w:pos="33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All Confidential Information is and shall at all times remain the exclusive property of the Company. Consultant agrees:</w:t>
      </w:r>
    </w:p>
    <w:p>
      <w:pPr>
        <w:spacing w:after="0" w:line="158" w:lineRule="exact"/>
        <w:rPr>
          <w:rFonts w:ascii="Arial" w:cs="Arial" w:eastAsia="Arial" w:hAnsi="Arial"/>
          <w:sz w:val="16"/>
          <w:szCs w:val="16"/>
          <w:color w:val="auto"/>
        </w:rPr>
      </w:pPr>
    </w:p>
    <w:p>
      <w:pPr>
        <w:ind w:left="1092" w:hanging="770"/>
        <w:spacing w:after="0" w:line="277" w:lineRule="auto"/>
        <w:rPr>
          <w:rFonts w:ascii="Arial" w:cs="Arial" w:eastAsia="Arial" w:hAnsi="Arial"/>
          <w:sz w:val="16"/>
          <w:szCs w:val="16"/>
          <w:color w:val="auto"/>
        </w:rPr>
      </w:pPr>
      <w:r>
        <w:rPr>
          <w:rFonts w:ascii="Arial" w:cs="Arial" w:eastAsia="Arial" w:hAnsi="Arial"/>
          <w:sz w:val="18"/>
          <w:szCs w:val="18"/>
          <w:color w:val="auto"/>
        </w:rPr>
        <w:t>4.1.to hold the Confidential Information in strict confidence and not to disclose or make available any Confidential Information to any third party whatsoever, without the prior written consent of the Company;</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4.2.</w:t>
      </w:r>
      <w:r>
        <w:rPr>
          <w:rFonts w:ascii="Arial" w:cs="Arial" w:eastAsia="Arial" w:hAnsi="Arial"/>
          <w:sz w:val="16"/>
          <w:szCs w:val="16"/>
          <w:color w:val="auto"/>
        </w:rPr>
        <w:t>to use the Confidential Information only for the benefit of the Company and only for the purpose of providing the Services;</w:t>
      </w:r>
    </w:p>
    <w:p>
      <w:pPr>
        <w:spacing w:after="0" w:line="225" w:lineRule="exact"/>
        <w:rPr>
          <w:rFonts w:ascii="Arial" w:cs="Arial" w:eastAsia="Arial" w:hAnsi="Arial"/>
          <w:sz w:val="16"/>
          <w:szCs w:val="16"/>
          <w:color w:val="auto"/>
        </w:rPr>
      </w:pPr>
    </w:p>
    <w:p>
      <w:pPr>
        <w:ind w:left="1092" w:hanging="770"/>
        <w:spacing w:after="0" w:line="277" w:lineRule="auto"/>
        <w:rPr>
          <w:rFonts w:ascii="Arial" w:cs="Arial" w:eastAsia="Arial" w:hAnsi="Arial"/>
          <w:sz w:val="16"/>
          <w:szCs w:val="16"/>
          <w:color w:val="auto"/>
        </w:rPr>
      </w:pPr>
      <w:r>
        <w:rPr>
          <w:rFonts w:ascii="Arial" w:cs="Arial" w:eastAsia="Arial" w:hAnsi="Arial"/>
          <w:sz w:val="18"/>
          <w:szCs w:val="18"/>
          <w:color w:val="auto"/>
        </w:rPr>
        <w:t>4.3.to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4.4.</w:t>
      </w:r>
      <w:r>
        <w:rPr>
          <w:rFonts w:ascii="Arial" w:cs="Arial" w:eastAsia="Arial" w:hAnsi="Arial"/>
          <w:sz w:val="16"/>
          <w:szCs w:val="16"/>
          <w:color w:val="auto"/>
        </w:rPr>
        <w:t>not to make copies of the Confidential Information except to the extent that the copies are reasonably necessary for providing the Services;</w:t>
      </w:r>
    </w:p>
    <w:p>
      <w:pPr>
        <w:spacing w:after="0" w:line="225" w:lineRule="exact"/>
        <w:rPr>
          <w:rFonts w:ascii="Arial" w:cs="Arial" w:eastAsia="Arial" w:hAnsi="Arial"/>
          <w:sz w:val="16"/>
          <w:szCs w:val="16"/>
          <w:color w:val="auto"/>
        </w:rPr>
      </w:pPr>
    </w:p>
    <w:p>
      <w:pPr>
        <w:ind w:left="1092" w:hanging="770"/>
        <w:spacing w:after="0" w:line="264" w:lineRule="auto"/>
        <w:rPr>
          <w:rFonts w:ascii="Arial" w:cs="Arial" w:eastAsia="Arial" w:hAnsi="Arial"/>
          <w:sz w:val="16"/>
          <w:szCs w:val="16"/>
          <w:color w:val="auto"/>
        </w:rPr>
      </w:pPr>
      <w:r>
        <w:rPr>
          <w:rFonts w:ascii="Arial" w:cs="Arial" w:eastAsia="Arial" w:hAnsi="Arial"/>
          <w:sz w:val="18"/>
          <w:szCs w:val="18"/>
          <w:color w:val="auto"/>
        </w:rPr>
        <w:t>4.5.to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4.6.</w:t>
      </w:r>
      <w:r>
        <w:rPr>
          <w:rFonts w:ascii="Arial" w:cs="Arial" w:eastAsia="Arial" w:hAnsi="Arial"/>
          <w:sz w:val="16"/>
          <w:szCs w:val="16"/>
          <w:color w:val="auto"/>
        </w:rPr>
        <w:t>that Confidential Information excludes information that:</w:t>
      </w:r>
    </w:p>
    <w:p>
      <w:pPr>
        <w:spacing w:after="0" w:line="225" w:lineRule="exact"/>
        <w:rPr>
          <w:rFonts w:ascii="Arial" w:cs="Arial" w:eastAsia="Arial" w:hAnsi="Arial"/>
          <w:sz w:val="16"/>
          <w:szCs w:val="16"/>
          <w:color w:val="auto"/>
        </w:rPr>
      </w:pPr>
    </w:p>
    <w:p>
      <w:pPr>
        <w:ind w:left="1752" w:hanging="658"/>
        <w:spacing w:after="0" w:line="308" w:lineRule="auto"/>
        <w:tabs>
          <w:tab w:leader="none" w:pos="1752" w:val="left"/>
        </w:tabs>
        <w:numPr>
          <w:ilvl w:val="1"/>
          <w:numId w:val="20"/>
        </w:numPr>
        <w:rPr>
          <w:rFonts w:ascii="Arial" w:cs="Arial" w:eastAsia="Arial" w:hAnsi="Arial"/>
          <w:sz w:val="17"/>
          <w:szCs w:val="17"/>
          <w:color w:val="auto"/>
        </w:rPr>
      </w:pPr>
      <w:r>
        <w:rPr>
          <w:rFonts w:ascii="Arial" w:cs="Arial" w:eastAsia="Arial" w:hAnsi="Arial"/>
          <w:sz w:val="17"/>
          <w:szCs w:val="17"/>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46" w:lineRule="exact"/>
        <w:rPr>
          <w:rFonts w:ascii="Arial" w:cs="Arial" w:eastAsia="Arial" w:hAnsi="Arial"/>
          <w:sz w:val="17"/>
          <w:szCs w:val="17"/>
          <w:color w:val="auto"/>
        </w:rPr>
      </w:pPr>
    </w:p>
    <w:p>
      <w:pPr>
        <w:ind w:left="1752" w:hanging="658"/>
        <w:spacing w:after="0" w:line="277" w:lineRule="auto"/>
        <w:tabs>
          <w:tab w:leader="none" w:pos="175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752" w:hanging="658"/>
        <w:spacing w:after="0"/>
        <w:tabs>
          <w:tab w:leader="none" w:pos="1752" w:val="left"/>
        </w:tabs>
        <w:numPr>
          <w:ilvl w:val="1"/>
          <w:numId w:val="20"/>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752" w:hanging="658"/>
        <w:spacing w:after="0"/>
        <w:tabs>
          <w:tab w:leader="none" w:pos="1752" w:val="left"/>
        </w:tabs>
        <w:numPr>
          <w:ilvl w:val="1"/>
          <w:numId w:val="20"/>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752" w:right="20" w:hanging="658"/>
        <w:spacing w:after="0" w:line="286" w:lineRule="auto"/>
        <w:tabs>
          <w:tab w:leader="none" w:pos="1752" w:val="left"/>
        </w:tabs>
        <w:numPr>
          <w:ilvl w:val="1"/>
          <w:numId w:val="20"/>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73" w:name="page74"/>
    <w:bookmarkEnd w:id="73"/>
    <w:p>
      <w:pPr>
        <w:jc w:val="both"/>
        <w:ind w:left="1092" w:hanging="769"/>
        <w:spacing w:after="0" w:line="264" w:lineRule="auto"/>
        <w:tabs>
          <w:tab w:leader="none" w:pos="1072"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1092" w:hanging="769"/>
        <w:spacing w:after="0" w:line="277" w:lineRule="auto"/>
        <w:tabs>
          <w:tab w:leader="none" w:pos="1072"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1092" w:hanging="769"/>
        <w:spacing w:after="0" w:line="277" w:lineRule="auto"/>
        <w:tabs>
          <w:tab w:leader="none" w:pos="1072"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1092" w:hanging="769"/>
        <w:spacing w:after="0" w:line="302" w:lineRule="auto"/>
        <w:tabs>
          <w:tab w:leader="none" w:pos="1072"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54" w:lineRule="exact"/>
        <w:rPr>
          <w:sz w:val="20"/>
          <w:szCs w:val="20"/>
          <w:color w:val="auto"/>
        </w:rPr>
      </w:pPr>
    </w:p>
    <w:p>
      <w:pPr>
        <w:jc w:val="both"/>
        <w:ind w:left="332" w:hanging="332"/>
        <w:spacing w:after="0" w:line="268" w:lineRule="auto"/>
        <w:tabs>
          <w:tab w:leader="none" w:pos="332"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7" w:lineRule="exact"/>
        <w:rPr>
          <w:rFonts w:ascii="Arial" w:cs="Arial" w:eastAsia="Arial" w:hAnsi="Arial"/>
          <w:sz w:val="17"/>
          <w:szCs w:val="17"/>
          <w:color w:val="auto"/>
        </w:rPr>
      </w:pPr>
    </w:p>
    <w:p>
      <w:pPr>
        <w:jc w:val="both"/>
        <w:ind w:left="332" w:hanging="332"/>
        <w:spacing w:after="0" w:line="264" w:lineRule="auto"/>
        <w:tabs>
          <w:tab w:leader="none" w:pos="33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74" w:name="page75"/>
    <w:bookmarkEnd w:id="74"/>
    <w:p>
      <w:pPr>
        <w:jc w:val="both"/>
        <w:ind w:left="340" w:hanging="332"/>
        <w:spacing w:after="0" w:line="25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Consulting Agreement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CONSULTANT:</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MAYFIELD PHARMACEUTICALS, INC.</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Andrew R. Boll</w:t>
            </w:r>
          </w:p>
        </w:tc>
      </w:tr>
      <w:tr>
        <w:trPr>
          <w:trHeight w:val="453"/>
        </w:trPr>
        <w:tc>
          <w:tcPr>
            <w:tcW w:w="58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Mark Ba</w:t>
            </w:r>
            <w:r>
              <w:rPr>
                <w:rFonts w:ascii="Arial" w:cs="Arial" w:eastAsia="Arial" w:hAnsi="Arial"/>
                <w:sz w:val="18"/>
                <w:szCs w:val="18"/>
                <w:color w:val="auto"/>
              </w:rPr>
              <w:t>um</w:t>
            </w:r>
          </w:p>
        </w:tc>
        <w:tc>
          <w:tcPr>
            <w:tcW w:w="780" w:type="dxa"/>
            <w:vAlign w:val="bottom"/>
          </w:tcPr>
          <w:p>
            <w:pPr>
              <w:spacing w:after="0"/>
              <w:rPr>
                <w:sz w:val="24"/>
                <w:szCs w:val="24"/>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Andrew Boll</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Mark L. Baum</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Executive Director</w:t>
            </w:r>
          </w:p>
        </w:tc>
        <w:tc>
          <w:tcPr>
            <w:tcW w:w="78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An individual</w:t>
            </w: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6/14/2019</w:t>
            </w:r>
          </w:p>
        </w:tc>
        <w:tc>
          <w:tcPr>
            <w:tcW w:w="430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Date:</w:t>
            </w: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6/14/2019</w:t>
            </w:r>
          </w:p>
        </w:tc>
        <w:tc>
          <w:tcPr>
            <w:tcW w:w="428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Reviewed and Acknowledged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Robert Kammer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Robert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9633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6963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Robert Kammer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of Harrow Health,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majority owner of Mayfield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6/14/2019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R. Boll and Mayfield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Consultant shall provide management advisory services to the Company relating to its establishment, financing activities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362,500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Company’s restricted common stock, par value $0.001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under the terms of the Company’s 2019 Equity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and a Restricted Stock Award Grant Notice and Agreement thereunder to be provided to Consultant by the Company (collectively with the Plan, the “</w:t>
      </w:r>
      <w:r>
        <w:rPr>
          <w:rFonts w:ascii="Arial" w:cs="Arial" w:eastAsia="Arial" w:hAnsi="Arial"/>
          <w:sz w:val="18"/>
          <w:szCs w:val="18"/>
          <w:b w:val="1"/>
          <w:bCs w:val="1"/>
          <w:u w:val="single" w:color="auto"/>
          <w:color w:val="auto"/>
        </w:rPr>
        <w:t>Restricted Stock Documents</w:t>
      </w:r>
      <w:r>
        <w:rPr>
          <w:rFonts w:ascii="Arial" w:cs="Arial" w:eastAsia="Arial" w:hAnsi="Arial"/>
          <w:sz w:val="18"/>
          <w:szCs w:val="18"/>
          <w:color w:val="auto"/>
        </w:rPr>
        <w:t>”). The issuance of equity by the Company to Consultant in the form of Shares shall be determined and agreed upon in writing at a later time by the Company and Consultant.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Shares and/or Options shall vest upon the earliest of:</w:t>
      </w:r>
    </w:p>
    <w:p>
      <w:pPr>
        <w:spacing w:after="0" w:line="225" w:lineRule="exact"/>
        <w:rPr>
          <w:sz w:val="20"/>
          <w:szCs w:val="20"/>
          <w:color w:val="auto"/>
        </w:rPr>
      </w:pPr>
    </w:p>
    <w:p>
      <w:pPr>
        <w:ind w:left="1100" w:hanging="768"/>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3" w:lineRule="exact"/>
        <w:rPr>
          <w:rFonts w:ascii="Arial" w:cs="Arial" w:eastAsia="Arial" w:hAnsi="Arial"/>
          <w:sz w:val="18"/>
          <w:szCs w:val="18"/>
          <w:color w:val="auto"/>
        </w:rPr>
      </w:pPr>
    </w:p>
    <w:p>
      <w:pPr>
        <w:ind w:left="1100" w:right="20" w:hanging="768"/>
        <w:spacing w:after="0" w:line="250"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or</w:t>
      </w:r>
    </w:p>
    <w:p>
      <w:pPr>
        <w:ind w:left="1100" w:hanging="768"/>
        <w:spacing w:after="0" w:line="261"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of closing of any bona-fide equity financing with third party investors resulting in cash gross proceeds to the Company of at least $10,000,000 (“</w:t>
      </w:r>
      <w:r>
        <w:rPr>
          <w:rFonts w:ascii="Arial" w:cs="Arial" w:eastAsia="Arial" w:hAnsi="Arial"/>
          <w:sz w:val="18"/>
          <w:szCs w:val="18"/>
          <w:b w:val="1"/>
          <w:bCs w:val="1"/>
          <w:u w:val="single" w:color="auto"/>
          <w:color w:val="auto"/>
        </w:rPr>
        <w:t>Subsequent Financing</w:t>
      </w:r>
      <w:r>
        <w:rPr>
          <w:rFonts w:ascii="Arial" w:cs="Arial" w:eastAsia="Arial" w:hAnsi="Arial"/>
          <w:sz w:val="18"/>
          <w:szCs w:val="18"/>
          <w:color w:val="auto"/>
        </w:rPr>
        <w: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and in any case of (1), (2) and (3), subject to Consultant’s Continuous Service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Consultant’s Continuous Service is terminated by the Company (other than for Cause) or by death of Consultant prior to the completion of the Term (as defined in this Consulting Agreement), the Shares and/or Options shall vest immediately upon such termination.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Consultant understands that that the receipt of the Shares and/or Options hereunder may trigger tax consequences to Consultant for which Consultant will be solely responsible and that the Shares and/or Options have not been registered under the Securities Act of 1933, as amended, or any applicable state securities law. Consultant must execute the Restricted Stock Documents and/or Stock Option Documents as a condition to receipt of the Shares and/or Options 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Consultant commenced providing Services to the Company on or about June 1, 2019 and shall provide the Services through the earlier of (i) one year from the Date of Grant, (ii) a Change in Control, (iii) the IPO, (iv) a Subsequent Financing or (v) such earlier date as the Services are terminated by the Company or Consultant in accordance with this Agreement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CONSULTING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CONSULTING AGREEMENT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effective as the last date provided for on the signature page and is entered into by and between Mark L. Baum, an individual (“</w:t>
      </w:r>
      <w:r>
        <w:rPr>
          <w:rFonts w:ascii="Arial" w:cs="Arial" w:eastAsia="Arial" w:hAnsi="Arial"/>
          <w:sz w:val="18"/>
          <w:szCs w:val="18"/>
          <w:b w:val="1"/>
          <w:bCs w:val="1"/>
          <w:u w:val="single" w:color="auto"/>
          <w:color w:val="auto"/>
        </w:rPr>
        <w:t>Consultant</w:t>
      </w:r>
      <w:r>
        <w:rPr>
          <w:rFonts w:ascii="Arial" w:cs="Arial" w:eastAsia="Arial" w:hAnsi="Arial"/>
          <w:sz w:val="18"/>
          <w:szCs w:val="18"/>
          <w:color w:val="auto"/>
        </w:rPr>
        <w:t>”) and Mayfield Pharmaceuticals, Inc., a Delaware corporation with its principal address located at 12264 El Camino Real, Suite 350, San Diego, CA 92130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86"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Consultant will provide consulting services to the Company during the Term (as further defined below) of this Agreement. The consulting services (“</w:t>
      </w:r>
      <w:r>
        <w:rPr>
          <w:rFonts w:ascii="Arial" w:cs="Arial" w:eastAsia="Arial" w:hAnsi="Arial"/>
          <w:sz w:val="17"/>
          <w:szCs w:val="17"/>
          <w:b w:val="1"/>
          <w:bCs w:val="1"/>
          <w:u w:val="single" w:color="auto"/>
          <w:color w:val="auto"/>
        </w:rPr>
        <w:t>Services</w:t>
      </w:r>
      <w:r>
        <w:rPr>
          <w:rFonts w:ascii="Arial" w:cs="Arial" w:eastAsia="Arial" w:hAnsi="Arial"/>
          <w:sz w:val="17"/>
          <w:szCs w:val="17"/>
          <w:color w:val="auto"/>
        </w:rPr>
        <w:t>”) are set forth in the Statement of Work (“</w:t>
      </w:r>
      <w:r>
        <w:rPr>
          <w:rFonts w:ascii="Arial" w:cs="Arial" w:eastAsia="Arial" w:hAnsi="Arial"/>
          <w:sz w:val="17"/>
          <w:szCs w:val="17"/>
          <w:b w:val="1"/>
          <w:bCs w:val="1"/>
          <w:u w:val="single" w:color="auto"/>
          <w:color w:val="auto"/>
        </w:rPr>
        <w:t>SOW</w:t>
      </w:r>
      <w:r>
        <w:rPr>
          <w:rFonts w:ascii="Arial" w:cs="Arial" w:eastAsia="Arial" w:hAnsi="Arial"/>
          <w:sz w:val="17"/>
          <w:szCs w:val="17"/>
          <w:color w:val="auto"/>
        </w:rPr>
        <w:t xml:space="preserve">”)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100" w:hanging="770"/>
        <w:spacing w:after="0" w:line="314"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This Agreement shall be effective on the later of the dates that it is executed by the Company and Consultant (the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and shall terminate as of the date Services are completed (the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xml:space="preserve">” as further defined and outlined in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unless: (i) this Agreement is sooner terminated as provided in Section 2.2 below; or (ii) the parties agree in writing to extend the Term for a mutually agreed upon period.</w:t>
      </w:r>
    </w:p>
    <w:p>
      <w:pPr>
        <w:spacing w:after="0" w:line="146"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2.2.The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3.1.In consideration of the Services provided hereunder, the Company shall provide Consultant the compensation as set forth in the applicable SOW (“</w:t>
      </w:r>
      <w:r>
        <w:rPr>
          <w:rFonts w:ascii="Arial" w:cs="Arial" w:eastAsia="Arial" w:hAnsi="Arial"/>
          <w:sz w:val="18"/>
          <w:szCs w:val="18"/>
          <w:b w:val="1"/>
          <w:bCs w:val="1"/>
          <w:u w:val="single" w:color="auto"/>
          <w:color w:val="auto"/>
        </w:rPr>
        <w:t>Consulting Fee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00" w:right="20" w:hanging="770"/>
        <w:spacing w:after="0" w:line="277" w:lineRule="auto"/>
        <w:rPr>
          <w:rFonts w:ascii="Arial" w:cs="Arial" w:eastAsia="Arial" w:hAnsi="Arial"/>
          <w:sz w:val="18"/>
          <w:szCs w:val="18"/>
          <w:color w:val="auto"/>
        </w:rPr>
      </w:pPr>
      <w:r>
        <w:rPr>
          <w:rFonts w:ascii="Arial" w:cs="Arial" w:eastAsia="Arial" w:hAnsi="Arial"/>
          <w:sz w:val="18"/>
          <w:szCs w:val="18"/>
          <w:color w:val="auto"/>
        </w:rPr>
        <w:t>3.2.Consultant shall be responsible for all expenses incurred in association with performance of the Services, unless pre-approved by the Company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9" w:name="page80"/>
    <w:bookmarkEnd w:id="79"/>
    <w:p>
      <w:pPr>
        <w:jc w:val="both"/>
        <w:ind w:left="332" w:hanging="332"/>
        <w:spacing w:after="0" w:line="297" w:lineRule="auto"/>
        <w:tabs>
          <w:tab w:leader="none" w:pos="33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All Confidential Information is and shall at all times remain the exclusive property of the Company. Consultant agrees:</w:t>
      </w:r>
    </w:p>
    <w:p>
      <w:pPr>
        <w:spacing w:after="0" w:line="158" w:lineRule="exact"/>
        <w:rPr>
          <w:rFonts w:ascii="Arial" w:cs="Arial" w:eastAsia="Arial" w:hAnsi="Arial"/>
          <w:sz w:val="16"/>
          <w:szCs w:val="16"/>
          <w:color w:val="auto"/>
        </w:rPr>
      </w:pPr>
    </w:p>
    <w:p>
      <w:pPr>
        <w:ind w:left="1092" w:hanging="770"/>
        <w:spacing w:after="0" w:line="277" w:lineRule="auto"/>
        <w:rPr>
          <w:rFonts w:ascii="Arial" w:cs="Arial" w:eastAsia="Arial" w:hAnsi="Arial"/>
          <w:sz w:val="16"/>
          <w:szCs w:val="16"/>
          <w:color w:val="auto"/>
        </w:rPr>
      </w:pPr>
      <w:r>
        <w:rPr>
          <w:rFonts w:ascii="Arial" w:cs="Arial" w:eastAsia="Arial" w:hAnsi="Arial"/>
          <w:sz w:val="18"/>
          <w:szCs w:val="18"/>
          <w:color w:val="auto"/>
        </w:rPr>
        <w:t>4.1.to hold the Confidential Information in strict confidence and not to disclose or make available any Confidential Information to any third party whatsoever, without the prior written consent of the Company;</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4.2.</w:t>
      </w:r>
      <w:r>
        <w:rPr>
          <w:rFonts w:ascii="Arial" w:cs="Arial" w:eastAsia="Arial" w:hAnsi="Arial"/>
          <w:sz w:val="16"/>
          <w:szCs w:val="16"/>
          <w:color w:val="auto"/>
        </w:rPr>
        <w:t>to use the Confidential Information only for the benefit of the Company and only for the purpose of providing the Services;</w:t>
      </w:r>
    </w:p>
    <w:p>
      <w:pPr>
        <w:spacing w:after="0" w:line="225" w:lineRule="exact"/>
        <w:rPr>
          <w:rFonts w:ascii="Arial" w:cs="Arial" w:eastAsia="Arial" w:hAnsi="Arial"/>
          <w:sz w:val="16"/>
          <w:szCs w:val="16"/>
          <w:color w:val="auto"/>
        </w:rPr>
      </w:pPr>
    </w:p>
    <w:p>
      <w:pPr>
        <w:ind w:left="1092" w:hanging="770"/>
        <w:spacing w:after="0" w:line="277" w:lineRule="auto"/>
        <w:rPr>
          <w:rFonts w:ascii="Arial" w:cs="Arial" w:eastAsia="Arial" w:hAnsi="Arial"/>
          <w:sz w:val="16"/>
          <w:szCs w:val="16"/>
          <w:color w:val="auto"/>
        </w:rPr>
      </w:pPr>
      <w:r>
        <w:rPr>
          <w:rFonts w:ascii="Arial" w:cs="Arial" w:eastAsia="Arial" w:hAnsi="Arial"/>
          <w:sz w:val="18"/>
          <w:szCs w:val="18"/>
          <w:color w:val="auto"/>
        </w:rPr>
        <w:t>4.3.to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4.4.</w:t>
      </w:r>
      <w:r>
        <w:rPr>
          <w:rFonts w:ascii="Arial" w:cs="Arial" w:eastAsia="Arial" w:hAnsi="Arial"/>
          <w:sz w:val="16"/>
          <w:szCs w:val="16"/>
          <w:color w:val="auto"/>
        </w:rPr>
        <w:t>not to make copies of the Confidential Information except to the extent that the copies are reasonably necessary for providing the Services;</w:t>
      </w:r>
    </w:p>
    <w:p>
      <w:pPr>
        <w:spacing w:after="0" w:line="225" w:lineRule="exact"/>
        <w:rPr>
          <w:rFonts w:ascii="Arial" w:cs="Arial" w:eastAsia="Arial" w:hAnsi="Arial"/>
          <w:sz w:val="16"/>
          <w:szCs w:val="16"/>
          <w:color w:val="auto"/>
        </w:rPr>
      </w:pPr>
    </w:p>
    <w:p>
      <w:pPr>
        <w:ind w:left="1092" w:hanging="770"/>
        <w:spacing w:after="0" w:line="264" w:lineRule="auto"/>
        <w:rPr>
          <w:rFonts w:ascii="Arial" w:cs="Arial" w:eastAsia="Arial" w:hAnsi="Arial"/>
          <w:sz w:val="16"/>
          <w:szCs w:val="16"/>
          <w:color w:val="auto"/>
        </w:rPr>
      </w:pPr>
      <w:r>
        <w:rPr>
          <w:rFonts w:ascii="Arial" w:cs="Arial" w:eastAsia="Arial" w:hAnsi="Arial"/>
          <w:sz w:val="18"/>
          <w:szCs w:val="18"/>
          <w:color w:val="auto"/>
        </w:rPr>
        <w:t>4.5.to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4.6.</w:t>
      </w:r>
      <w:r>
        <w:rPr>
          <w:rFonts w:ascii="Arial" w:cs="Arial" w:eastAsia="Arial" w:hAnsi="Arial"/>
          <w:sz w:val="16"/>
          <w:szCs w:val="16"/>
          <w:color w:val="auto"/>
        </w:rPr>
        <w:t>that Confidential Information excludes information that:</w:t>
      </w:r>
    </w:p>
    <w:p>
      <w:pPr>
        <w:spacing w:after="0" w:line="225" w:lineRule="exact"/>
        <w:rPr>
          <w:rFonts w:ascii="Arial" w:cs="Arial" w:eastAsia="Arial" w:hAnsi="Arial"/>
          <w:sz w:val="16"/>
          <w:szCs w:val="16"/>
          <w:color w:val="auto"/>
        </w:rPr>
      </w:pPr>
    </w:p>
    <w:p>
      <w:pPr>
        <w:ind w:left="1752" w:hanging="658"/>
        <w:spacing w:after="0" w:line="308" w:lineRule="auto"/>
        <w:tabs>
          <w:tab w:leader="none" w:pos="1752" w:val="left"/>
        </w:tabs>
        <w:numPr>
          <w:ilvl w:val="1"/>
          <w:numId w:val="25"/>
        </w:numPr>
        <w:rPr>
          <w:rFonts w:ascii="Arial" w:cs="Arial" w:eastAsia="Arial" w:hAnsi="Arial"/>
          <w:sz w:val="17"/>
          <w:szCs w:val="17"/>
          <w:color w:val="auto"/>
        </w:rPr>
      </w:pPr>
      <w:r>
        <w:rPr>
          <w:rFonts w:ascii="Arial" w:cs="Arial" w:eastAsia="Arial" w:hAnsi="Arial"/>
          <w:sz w:val="17"/>
          <w:szCs w:val="17"/>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46" w:lineRule="exact"/>
        <w:rPr>
          <w:rFonts w:ascii="Arial" w:cs="Arial" w:eastAsia="Arial" w:hAnsi="Arial"/>
          <w:sz w:val="17"/>
          <w:szCs w:val="17"/>
          <w:color w:val="auto"/>
        </w:rPr>
      </w:pPr>
    </w:p>
    <w:p>
      <w:pPr>
        <w:ind w:left="1752" w:hanging="658"/>
        <w:spacing w:after="0" w:line="277" w:lineRule="auto"/>
        <w:tabs>
          <w:tab w:leader="none" w:pos="1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752" w:hanging="658"/>
        <w:spacing w:after="0"/>
        <w:tabs>
          <w:tab w:leader="none" w:pos="1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752" w:hanging="658"/>
        <w:spacing w:after="0"/>
        <w:tabs>
          <w:tab w:leader="none" w:pos="1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752" w:right="20" w:hanging="658"/>
        <w:spacing w:after="0" w:line="286" w:lineRule="auto"/>
        <w:tabs>
          <w:tab w:leader="none" w:pos="1752" w:val="left"/>
        </w:tabs>
        <w:numPr>
          <w:ilvl w:val="1"/>
          <w:numId w:val="25"/>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80" w:name="page81"/>
    <w:bookmarkEnd w:id="80"/>
    <w:p>
      <w:pPr>
        <w:jc w:val="both"/>
        <w:ind w:left="1092" w:hanging="769"/>
        <w:spacing w:after="0" w:line="264" w:lineRule="auto"/>
        <w:tabs>
          <w:tab w:leader="none" w:pos="1072"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1092" w:hanging="769"/>
        <w:spacing w:after="0" w:line="277" w:lineRule="auto"/>
        <w:tabs>
          <w:tab w:leader="none" w:pos="1072"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1092" w:hanging="769"/>
        <w:spacing w:after="0" w:line="277" w:lineRule="auto"/>
        <w:tabs>
          <w:tab w:leader="none" w:pos="1072"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1092" w:hanging="769"/>
        <w:spacing w:after="0" w:line="302" w:lineRule="auto"/>
        <w:tabs>
          <w:tab w:leader="none" w:pos="1072"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54" w:lineRule="exact"/>
        <w:rPr>
          <w:sz w:val="20"/>
          <w:szCs w:val="20"/>
          <w:color w:val="auto"/>
        </w:rPr>
      </w:pPr>
    </w:p>
    <w:p>
      <w:pPr>
        <w:jc w:val="both"/>
        <w:ind w:left="332" w:hanging="332"/>
        <w:spacing w:after="0" w:line="268" w:lineRule="auto"/>
        <w:tabs>
          <w:tab w:leader="none" w:pos="33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7" w:lineRule="exact"/>
        <w:rPr>
          <w:rFonts w:ascii="Arial" w:cs="Arial" w:eastAsia="Arial" w:hAnsi="Arial"/>
          <w:sz w:val="17"/>
          <w:szCs w:val="17"/>
          <w:color w:val="auto"/>
        </w:rPr>
      </w:pPr>
    </w:p>
    <w:p>
      <w:pPr>
        <w:jc w:val="both"/>
        <w:ind w:left="332" w:hanging="332"/>
        <w:spacing w:after="0" w:line="264" w:lineRule="auto"/>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81" w:name="page82"/>
    <w:bookmarkEnd w:id="81"/>
    <w:p>
      <w:pPr>
        <w:jc w:val="both"/>
        <w:ind w:left="34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Consulting Agreement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CONSULTANT:</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MAYFIELD PHARMACEUTICALS, INC.</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Mark L. Baum</w:t>
            </w:r>
          </w:p>
        </w:tc>
      </w:tr>
      <w:tr>
        <w:trPr>
          <w:trHeight w:val="453"/>
        </w:trPr>
        <w:tc>
          <w:tcPr>
            <w:tcW w:w="58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Andrew Boll</w:t>
            </w:r>
          </w:p>
        </w:tc>
        <w:tc>
          <w:tcPr>
            <w:tcW w:w="780" w:type="dxa"/>
            <w:vAlign w:val="bottom"/>
          </w:tcPr>
          <w:p>
            <w:pPr>
              <w:spacing w:after="0"/>
              <w:rPr>
                <w:sz w:val="24"/>
                <w:szCs w:val="24"/>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Mark Baum</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Andrew R. Boll</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line="201" w:lineRule="exact"/>
              <w:rPr>
                <w:sz w:val="20"/>
                <w:szCs w:val="20"/>
                <w:color w:val="auto"/>
              </w:rPr>
            </w:pPr>
            <w:r>
              <w:rPr>
                <w:rFonts w:ascii="Arial" w:cs="Arial" w:eastAsia="Arial" w:hAnsi="Arial"/>
                <w:sz w:val="18"/>
                <w:szCs w:val="18"/>
                <w:color w:val="auto"/>
              </w:rPr>
              <w:t>Mark L. Baum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Executive Director</w:t>
            </w:r>
          </w:p>
        </w:tc>
        <w:tc>
          <w:tcPr>
            <w:tcW w:w="78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An individual</w:t>
            </w: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6/14/2019</w:t>
            </w:r>
          </w:p>
        </w:tc>
        <w:tc>
          <w:tcPr>
            <w:tcW w:w="430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Date:</w:t>
            </w: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6/14/2019</w:t>
            </w:r>
          </w:p>
        </w:tc>
        <w:tc>
          <w:tcPr>
            <w:tcW w:w="428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Reviewed and Acknowledged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Robert Kammer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Robert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Robert Kammer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of Harrow Health,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majority owner of Mayfield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6/14/2019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L. Baum and Mayfield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Consultant shall provide management advisory services to the Company relating to its establishment, financing activities, invention support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725,000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Company’s restricted common stock, par value $0.001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under the terms of the Company’s 2019 Equity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and a Restricted Stock Award Grant Notice and Agreement thereunder to be provided to Consultant by the Company (collectively with the Plan, the “</w:t>
      </w:r>
      <w:r>
        <w:rPr>
          <w:rFonts w:ascii="Arial" w:cs="Arial" w:eastAsia="Arial" w:hAnsi="Arial"/>
          <w:sz w:val="18"/>
          <w:szCs w:val="18"/>
          <w:b w:val="1"/>
          <w:bCs w:val="1"/>
          <w:u w:val="single" w:color="auto"/>
          <w:color w:val="auto"/>
        </w:rPr>
        <w:t>Restricted Stock Documents</w:t>
      </w:r>
      <w:r>
        <w:rPr>
          <w:rFonts w:ascii="Arial" w:cs="Arial" w:eastAsia="Arial" w:hAnsi="Arial"/>
          <w:sz w:val="18"/>
          <w:szCs w:val="18"/>
          <w:color w:val="auto"/>
        </w:rPr>
        <w:t>”). The issuance of equity by the Company to Consultant in the form of Shares shall be determined and agreed upon in writing at a later time by the Company and Consultant.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Shares and/or Options shall vest upon the earliest of:</w:t>
      </w:r>
    </w:p>
    <w:p>
      <w:pPr>
        <w:spacing w:after="0" w:line="225" w:lineRule="exact"/>
        <w:rPr>
          <w:sz w:val="20"/>
          <w:szCs w:val="20"/>
          <w:color w:val="auto"/>
        </w:rPr>
      </w:pPr>
    </w:p>
    <w:p>
      <w:pPr>
        <w:ind w:left="1100" w:hanging="768"/>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3" w:lineRule="exact"/>
        <w:rPr>
          <w:rFonts w:ascii="Arial" w:cs="Arial" w:eastAsia="Arial" w:hAnsi="Arial"/>
          <w:sz w:val="18"/>
          <w:szCs w:val="18"/>
          <w:color w:val="auto"/>
        </w:rPr>
      </w:pPr>
    </w:p>
    <w:p>
      <w:pPr>
        <w:ind w:left="1100" w:right="20" w:hanging="768"/>
        <w:spacing w:after="0" w:line="250"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or</w:t>
      </w:r>
    </w:p>
    <w:p>
      <w:pPr>
        <w:ind w:left="1100" w:hanging="768"/>
        <w:spacing w:after="0" w:line="261"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of closing of any bona-fide equity financing with third party investors resulting in cash gross proceeds to the Company of at least $10,000,000 (“</w:t>
      </w:r>
      <w:r>
        <w:rPr>
          <w:rFonts w:ascii="Arial" w:cs="Arial" w:eastAsia="Arial" w:hAnsi="Arial"/>
          <w:sz w:val="18"/>
          <w:szCs w:val="18"/>
          <w:b w:val="1"/>
          <w:bCs w:val="1"/>
          <w:u w:val="single" w:color="auto"/>
          <w:color w:val="auto"/>
        </w:rPr>
        <w:t>Subsequent Financing</w:t>
      </w:r>
      <w:r>
        <w:rPr>
          <w:rFonts w:ascii="Arial" w:cs="Arial" w:eastAsia="Arial" w:hAnsi="Arial"/>
          <w:sz w:val="18"/>
          <w:szCs w:val="18"/>
          <w:color w:val="auto"/>
        </w:rPr>
        <w: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and in any case of (1), (2) and (3), subject to Consultant’s Continuous Service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Consultant’s Continuous Service is terminated by the Company (other than for Cause) or by death of Consultant prior to the completion of the Term (as defined in this Consulting Agreement), the Shares and/or Options shall vest immediately upon such termination.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Consultant understands that that the receipt of the Shares and/or Options hereunder may trigger tax consequences to Consultant for which Consultant will be solely responsible and that the Shares and/or Options have not been registered under the Securities Act of 1933, as amended, or any applicable state securities law. Consultant must execute the Restricted Stock Documents and/or Stock Option Documents as a condition to receipt of the Shares and/or Options 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Consultant commenced providing Services to the Company on or about June 1, 2019 and shall provide the Services through the earlier of (i) one year from the Date of Grant, (ii) a Change in Control, (iii) the IPO, (iv) a Subsequent Financing or (v) such earlier date as the Services are terminated by the Company or Consultant in accordance with this Agreement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4" w:name="page85"/>
    <w:bookmarkEnd w:id="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CONSULTING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CONSULTING AGREEMENT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effective as the last date provided for on the signature page and is entered into by and between John Saharek, an individual (“</w:t>
      </w:r>
      <w:r>
        <w:rPr>
          <w:rFonts w:ascii="Arial" w:cs="Arial" w:eastAsia="Arial" w:hAnsi="Arial"/>
          <w:sz w:val="18"/>
          <w:szCs w:val="18"/>
          <w:b w:val="1"/>
          <w:bCs w:val="1"/>
          <w:u w:val="single" w:color="auto"/>
          <w:color w:val="auto"/>
        </w:rPr>
        <w:t>Consultant</w:t>
      </w:r>
      <w:r>
        <w:rPr>
          <w:rFonts w:ascii="Arial" w:cs="Arial" w:eastAsia="Arial" w:hAnsi="Arial"/>
          <w:sz w:val="18"/>
          <w:szCs w:val="18"/>
          <w:color w:val="auto"/>
        </w:rPr>
        <w:t>”) and Mayfield Pharmaceuticals, Inc., a Delaware corporation with its principal address located at 12264 El Camino Real, Suite 350, San Diego, CA 92130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648"/>
        <w:spacing w:after="0" w:line="286"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Consultant will provide consulting services to the Company during the Term (as further defined below) of this Agreement. The consulting services (“</w:t>
      </w:r>
      <w:r>
        <w:rPr>
          <w:rFonts w:ascii="Arial" w:cs="Arial" w:eastAsia="Arial" w:hAnsi="Arial"/>
          <w:sz w:val="17"/>
          <w:szCs w:val="17"/>
          <w:b w:val="1"/>
          <w:bCs w:val="1"/>
          <w:u w:val="single" w:color="auto"/>
          <w:color w:val="auto"/>
        </w:rPr>
        <w:t>Services</w:t>
      </w:r>
      <w:r>
        <w:rPr>
          <w:rFonts w:ascii="Arial" w:cs="Arial" w:eastAsia="Arial" w:hAnsi="Arial"/>
          <w:sz w:val="17"/>
          <w:szCs w:val="17"/>
          <w:color w:val="auto"/>
        </w:rPr>
        <w:t>”) are set forth in the Statement of Work (“</w:t>
      </w:r>
      <w:r>
        <w:rPr>
          <w:rFonts w:ascii="Arial" w:cs="Arial" w:eastAsia="Arial" w:hAnsi="Arial"/>
          <w:sz w:val="17"/>
          <w:szCs w:val="17"/>
          <w:b w:val="1"/>
          <w:bCs w:val="1"/>
          <w:u w:val="single" w:color="auto"/>
          <w:color w:val="auto"/>
        </w:rPr>
        <w:t>SOW</w:t>
      </w:r>
      <w:r>
        <w:rPr>
          <w:rFonts w:ascii="Arial" w:cs="Arial" w:eastAsia="Arial" w:hAnsi="Arial"/>
          <w:sz w:val="17"/>
          <w:szCs w:val="17"/>
          <w:color w:val="auto"/>
        </w:rPr>
        <w:t xml:space="preserve">”)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980" w:hanging="648"/>
        <w:spacing w:after="0" w:line="314"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This Agreement shall be effective on the later of the dates that it is executed by the Company and Consultant (the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and shall terminate as of the date Services are completed (the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xml:space="preserve">” as further defined and outlined in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unless: (i) this Agreement is sooner terminated as provided in Section 2.2 below; or (ii) the parties agree in writing to extend the Term for a mutually agreed upon period.</w:t>
      </w:r>
    </w:p>
    <w:p>
      <w:pPr>
        <w:spacing w:after="0" w:line="146" w:lineRule="exact"/>
        <w:rPr>
          <w:rFonts w:ascii="Arial" w:cs="Arial" w:eastAsia="Arial" w:hAnsi="Arial"/>
          <w:sz w:val="18"/>
          <w:szCs w:val="18"/>
          <w:color w:val="auto"/>
        </w:rPr>
      </w:pPr>
    </w:p>
    <w:p>
      <w:pPr>
        <w:ind w:left="980" w:hanging="648"/>
        <w:spacing w:after="0" w:line="277" w:lineRule="auto"/>
        <w:rPr>
          <w:rFonts w:ascii="Arial" w:cs="Arial" w:eastAsia="Arial" w:hAnsi="Arial"/>
          <w:sz w:val="18"/>
          <w:szCs w:val="18"/>
          <w:color w:val="auto"/>
        </w:rPr>
      </w:pPr>
      <w:r>
        <w:rPr>
          <w:rFonts w:ascii="Arial" w:cs="Arial" w:eastAsia="Arial" w:hAnsi="Arial"/>
          <w:sz w:val="18"/>
          <w:szCs w:val="18"/>
          <w:color w:val="auto"/>
        </w:rPr>
        <w:t>2.2.The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648"/>
        <w:spacing w:after="0" w:line="277" w:lineRule="auto"/>
        <w:rPr>
          <w:rFonts w:ascii="Arial" w:cs="Arial" w:eastAsia="Arial" w:hAnsi="Arial"/>
          <w:sz w:val="18"/>
          <w:szCs w:val="18"/>
          <w:color w:val="auto"/>
        </w:rPr>
      </w:pPr>
      <w:r>
        <w:rPr>
          <w:rFonts w:ascii="Arial" w:cs="Arial" w:eastAsia="Arial" w:hAnsi="Arial"/>
          <w:sz w:val="18"/>
          <w:szCs w:val="18"/>
          <w:color w:val="auto"/>
        </w:rPr>
        <w:t>3.1.In consideration of the Services provided hereunder, the Company shall provide Consultant the compensation as set forth in the applicable SOW (“</w:t>
      </w:r>
      <w:r>
        <w:rPr>
          <w:rFonts w:ascii="Arial" w:cs="Arial" w:eastAsia="Arial" w:hAnsi="Arial"/>
          <w:sz w:val="18"/>
          <w:szCs w:val="18"/>
          <w:b w:val="1"/>
          <w:bCs w:val="1"/>
          <w:u w:val="single" w:color="auto"/>
          <w:color w:val="auto"/>
        </w:rPr>
        <w:t>Consulting Fee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8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3.2.Consultant shall be responsible for all expenses incurred in association with performance of the Services, unless pre-approved by the Company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both"/>
        <w:ind w:left="332" w:hanging="332"/>
        <w:spacing w:after="0" w:line="297" w:lineRule="auto"/>
        <w:tabs>
          <w:tab w:leader="none" w:pos="33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All Confidential Information is and shall at all times remain the exclusive property of the Company. Consultant agrees:</w:t>
      </w:r>
    </w:p>
    <w:p>
      <w:pPr>
        <w:spacing w:after="0" w:line="158" w:lineRule="exact"/>
        <w:rPr>
          <w:rFonts w:ascii="Arial" w:cs="Arial" w:eastAsia="Arial" w:hAnsi="Arial"/>
          <w:sz w:val="16"/>
          <w:szCs w:val="16"/>
          <w:color w:val="auto"/>
        </w:rPr>
      </w:pPr>
    </w:p>
    <w:p>
      <w:pPr>
        <w:ind w:left="972" w:hanging="648"/>
        <w:spacing w:after="0" w:line="277" w:lineRule="auto"/>
        <w:rPr>
          <w:rFonts w:ascii="Arial" w:cs="Arial" w:eastAsia="Arial" w:hAnsi="Arial"/>
          <w:sz w:val="16"/>
          <w:szCs w:val="16"/>
          <w:color w:val="auto"/>
        </w:rPr>
      </w:pPr>
      <w:r>
        <w:rPr>
          <w:rFonts w:ascii="Arial" w:cs="Arial" w:eastAsia="Arial" w:hAnsi="Arial"/>
          <w:sz w:val="18"/>
          <w:szCs w:val="18"/>
          <w:color w:val="auto"/>
        </w:rPr>
        <w:t>4.1.to hold the Confidential Information in strict confidence and not to disclose or make available any Confidential Information to any third party whatsoever, without the prior written consent of the Company;</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4.2.</w:t>
      </w:r>
      <w:r>
        <w:rPr>
          <w:rFonts w:ascii="Arial" w:cs="Arial" w:eastAsia="Arial" w:hAnsi="Arial"/>
          <w:sz w:val="16"/>
          <w:szCs w:val="16"/>
          <w:color w:val="auto"/>
        </w:rPr>
        <w:t>to use the Confidential Information only for the benefit of the Company and only for the purpose of providing the Services;</w:t>
      </w:r>
    </w:p>
    <w:p>
      <w:pPr>
        <w:spacing w:after="0" w:line="225" w:lineRule="exact"/>
        <w:rPr>
          <w:rFonts w:ascii="Arial" w:cs="Arial" w:eastAsia="Arial" w:hAnsi="Arial"/>
          <w:sz w:val="16"/>
          <w:szCs w:val="16"/>
          <w:color w:val="auto"/>
        </w:rPr>
      </w:pPr>
    </w:p>
    <w:p>
      <w:pPr>
        <w:ind w:left="972" w:hanging="648"/>
        <w:spacing w:after="0" w:line="277" w:lineRule="auto"/>
        <w:rPr>
          <w:rFonts w:ascii="Arial" w:cs="Arial" w:eastAsia="Arial" w:hAnsi="Arial"/>
          <w:sz w:val="16"/>
          <w:szCs w:val="16"/>
          <w:color w:val="auto"/>
        </w:rPr>
      </w:pPr>
      <w:r>
        <w:rPr>
          <w:rFonts w:ascii="Arial" w:cs="Arial" w:eastAsia="Arial" w:hAnsi="Arial"/>
          <w:sz w:val="18"/>
          <w:szCs w:val="18"/>
          <w:color w:val="auto"/>
        </w:rPr>
        <w:t>4.3.to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4.4.</w:t>
      </w:r>
      <w:r>
        <w:rPr>
          <w:rFonts w:ascii="Arial" w:cs="Arial" w:eastAsia="Arial" w:hAnsi="Arial"/>
          <w:sz w:val="16"/>
          <w:szCs w:val="16"/>
          <w:color w:val="auto"/>
        </w:rPr>
        <w:t>not to make copies of the Confidential Information except to the extent that the copies are reasonably necessary for providing the Services;</w:t>
      </w:r>
    </w:p>
    <w:p>
      <w:pPr>
        <w:spacing w:after="0" w:line="225" w:lineRule="exact"/>
        <w:rPr>
          <w:rFonts w:ascii="Arial" w:cs="Arial" w:eastAsia="Arial" w:hAnsi="Arial"/>
          <w:sz w:val="16"/>
          <w:szCs w:val="16"/>
          <w:color w:val="auto"/>
        </w:rPr>
      </w:pPr>
    </w:p>
    <w:p>
      <w:pPr>
        <w:ind w:left="972" w:hanging="648"/>
        <w:spacing w:after="0" w:line="264" w:lineRule="auto"/>
        <w:rPr>
          <w:rFonts w:ascii="Arial" w:cs="Arial" w:eastAsia="Arial" w:hAnsi="Arial"/>
          <w:sz w:val="16"/>
          <w:szCs w:val="16"/>
          <w:color w:val="auto"/>
        </w:rPr>
      </w:pPr>
      <w:r>
        <w:rPr>
          <w:rFonts w:ascii="Arial" w:cs="Arial" w:eastAsia="Arial" w:hAnsi="Arial"/>
          <w:sz w:val="18"/>
          <w:szCs w:val="18"/>
          <w:color w:val="auto"/>
        </w:rPr>
        <w:t>4.5.to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4.6.</w:t>
      </w:r>
      <w:r>
        <w:rPr>
          <w:rFonts w:ascii="Arial" w:cs="Arial" w:eastAsia="Arial" w:hAnsi="Arial"/>
          <w:sz w:val="16"/>
          <w:szCs w:val="16"/>
          <w:color w:val="auto"/>
        </w:rPr>
        <w:t>that Confidential Information excludes information that:</w:t>
      </w:r>
    </w:p>
    <w:p>
      <w:pPr>
        <w:spacing w:after="0" w:line="225" w:lineRule="exact"/>
        <w:rPr>
          <w:rFonts w:ascii="Arial" w:cs="Arial" w:eastAsia="Arial" w:hAnsi="Arial"/>
          <w:sz w:val="16"/>
          <w:szCs w:val="16"/>
          <w:color w:val="auto"/>
        </w:rPr>
      </w:pPr>
    </w:p>
    <w:p>
      <w:pPr>
        <w:ind w:left="1612" w:hanging="640"/>
        <w:spacing w:after="0" w:line="308" w:lineRule="auto"/>
        <w:tabs>
          <w:tab w:leader="none" w:pos="1612" w:val="left"/>
        </w:tabs>
        <w:numPr>
          <w:ilvl w:val="1"/>
          <w:numId w:val="30"/>
        </w:numPr>
        <w:rPr>
          <w:rFonts w:ascii="Arial" w:cs="Arial" w:eastAsia="Arial" w:hAnsi="Arial"/>
          <w:sz w:val="17"/>
          <w:szCs w:val="17"/>
          <w:color w:val="auto"/>
        </w:rPr>
      </w:pPr>
      <w:r>
        <w:rPr>
          <w:rFonts w:ascii="Arial" w:cs="Arial" w:eastAsia="Arial" w:hAnsi="Arial"/>
          <w:sz w:val="17"/>
          <w:szCs w:val="17"/>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46" w:lineRule="exact"/>
        <w:rPr>
          <w:rFonts w:ascii="Arial" w:cs="Arial" w:eastAsia="Arial" w:hAnsi="Arial"/>
          <w:sz w:val="17"/>
          <w:szCs w:val="17"/>
          <w:color w:val="auto"/>
        </w:rPr>
      </w:pPr>
    </w:p>
    <w:p>
      <w:pPr>
        <w:ind w:left="1612" w:hanging="640"/>
        <w:spacing w:after="0" w:line="277" w:lineRule="auto"/>
        <w:tabs>
          <w:tab w:leader="none" w:pos="1612"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612" w:hanging="640"/>
        <w:spacing w:after="0"/>
        <w:tabs>
          <w:tab w:leader="none" w:pos="161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612" w:hanging="640"/>
        <w:spacing w:after="0"/>
        <w:tabs>
          <w:tab w:leader="none" w:pos="1612" w:val="left"/>
        </w:tabs>
        <w:numPr>
          <w:ilvl w:val="1"/>
          <w:numId w:val="30"/>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612" w:hanging="640"/>
        <w:spacing w:after="0" w:line="286" w:lineRule="auto"/>
        <w:tabs>
          <w:tab w:leader="none" w:pos="1612" w:val="left"/>
        </w:tabs>
        <w:numPr>
          <w:ilvl w:val="1"/>
          <w:numId w:val="30"/>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87" w:name="page88"/>
    <w:bookmarkEnd w:id="87"/>
    <w:p>
      <w:pPr>
        <w:jc w:val="both"/>
        <w:ind w:left="972" w:hanging="647"/>
        <w:spacing w:after="0" w:line="264" w:lineRule="auto"/>
        <w:tabs>
          <w:tab w:leader="none" w:pos="952"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972" w:hanging="647"/>
        <w:spacing w:after="0" w:line="277" w:lineRule="auto"/>
        <w:tabs>
          <w:tab w:leader="none" w:pos="952"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972" w:hanging="647"/>
        <w:spacing w:after="0" w:line="277" w:lineRule="auto"/>
        <w:tabs>
          <w:tab w:leader="none" w:pos="952"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972" w:hanging="647"/>
        <w:spacing w:after="0" w:line="279" w:lineRule="auto"/>
        <w:tabs>
          <w:tab w:leader="none" w:pos="952"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71" w:lineRule="exact"/>
        <w:rPr>
          <w:sz w:val="20"/>
          <w:szCs w:val="20"/>
          <w:color w:val="auto"/>
        </w:rPr>
      </w:pPr>
    </w:p>
    <w:p>
      <w:pPr>
        <w:jc w:val="both"/>
        <w:ind w:left="332" w:hanging="332"/>
        <w:spacing w:after="0" w:line="268" w:lineRule="auto"/>
        <w:tabs>
          <w:tab w:leader="none" w:pos="332"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7" w:lineRule="exact"/>
        <w:rPr>
          <w:rFonts w:ascii="Arial" w:cs="Arial" w:eastAsia="Arial" w:hAnsi="Arial"/>
          <w:sz w:val="17"/>
          <w:szCs w:val="17"/>
          <w:color w:val="auto"/>
        </w:rPr>
      </w:pPr>
    </w:p>
    <w:p>
      <w:pPr>
        <w:jc w:val="both"/>
        <w:ind w:left="332" w:hanging="332"/>
        <w:spacing w:after="0" w:line="264" w:lineRule="auto"/>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88" w:name="page89"/>
    <w:bookmarkEnd w:id="88"/>
    <w:p>
      <w:pPr>
        <w:jc w:val="both"/>
        <w:ind w:left="34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Consulting Agreement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800" w:type="dxa"/>
            <w:vAlign w:val="bottom"/>
            <w:gridSpan w:val="3"/>
          </w:tcPr>
          <w:p>
            <w:pPr>
              <w:ind w:left="220"/>
              <w:spacing w:after="0"/>
              <w:rPr>
                <w:sz w:val="20"/>
                <w:szCs w:val="20"/>
                <w:color w:val="auto"/>
              </w:rPr>
            </w:pPr>
            <w:r>
              <w:rPr>
                <w:rFonts w:ascii="Arial" w:cs="Arial" w:eastAsia="Arial" w:hAnsi="Arial"/>
                <w:sz w:val="18"/>
                <w:szCs w:val="18"/>
                <w:b w:val="1"/>
                <w:bCs w:val="1"/>
                <w:color w:val="auto"/>
              </w:rPr>
              <w:t>CONSULTANT:</w:t>
            </w:r>
          </w:p>
        </w:tc>
        <w:tc>
          <w:tcPr>
            <w:tcW w:w="0" w:type="dxa"/>
            <w:vAlign w:val="bottom"/>
          </w:tcPr>
          <w:p>
            <w:pPr>
              <w:spacing w:after="0"/>
              <w:rPr>
                <w:sz w:val="1"/>
                <w:szCs w:val="1"/>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MAYFIELD PHARMACEUTICALS, INC.</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John Saharek</w:t>
            </w:r>
          </w:p>
        </w:tc>
        <w:tc>
          <w:tcPr>
            <w:tcW w:w="0" w:type="dxa"/>
            <w:vAlign w:val="bottom"/>
          </w:tcPr>
          <w:p>
            <w:pPr>
              <w:spacing w:after="0"/>
              <w:rPr>
                <w:sz w:val="1"/>
                <w:szCs w:val="1"/>
                <w:color w:val="auto"/>
              </w:rPr>
            </w:pPr>
          </w:p>
        </w:tc>
      </w:tr>
      <w:tr>
        <w:trPr>
          <w:trHeight w:val="439"/>
        </w:trPr>
        <w:tc>
          <w:tcPr>
            <w:tcW w:w="5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Andrew Boll</w:t>
            </w:r>
          </w:p>
        </w:tc>
        <w:tc>
          <w:tcPr>
            <w:tcW w:w="780" w:type="dxa"/>
            <w:vAlign w:val="bottom"/>
            <w:vMerge w:val="restart"/>
          </w:tcPr>
          <w:p>
            <w:pPr>
              <w:ind w:left="2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John Saharek</w:t>
            </w: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Andrew R. Boll</w:t>
            </w:r>
          </w:p>
        </w:tc>
        <w:tc>
          <w:tcPr>
            <w:tcW w:w="780" w:type="dxa"/>
            <w:vAlign w:val="bottom"/>
            <w:vMerge w:val="continue"/>
          </w:tcPr>
          <w:p>
            <w:pPr>
              <w:spacing w:after="0"/>
              <w:rPr>
                <w:sz w:val="17"/>
                <w:szCs w:val="17"/>
                <w:color w:val="auto"/>
              </w:rPr>
            </w:pPr>
          </w:p>
        </w:tc>
        <w:tc>
          <w:tcPr>
            <w:tcW w:w="5020" w:type="dxa"/>
            <w:vAlign w:val="bottom"/>
            <w:gridSpan w:val="2"/>
          </w:tcPr>
          <w:p>
            <w:pPr>
              <w:spacing w:after="0" w:line="201" w:lineRule="exact"/>
              <w:rPr>
                <w:sz w:val="20"/>
                <w:szCs w:val="20"/>
                <w:color w:val="auto"/>
              </w:rPr>
            </w:pPr>
            <w:r>
              <w:rPr>
                <w:rFonts w:ascii="Arial" w:cs="Arial" w:eastAsia="Arial" w:hAnsi="Arial"/>
                <w:sz w:val="18"/>
                <w:szCs w:val="18"/>
                <w:color w:val="auto"/>
              </w:rPr>
              <w:t>John Saharek</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Executive Director</w:t>
            </w:r>
          </w:p>
        </w:tc>
        <w:tc>
          <w:tcPr>
            <w:tcW w:w="78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An individual</w:t>
            </w:r>
          </w:p>
        </w:tc>
        <w:tc>
          <w:tcPr>
            <w:tcW w:w="0" w:type="dxa"/>
            <w:vAlign w:val="bottom"/>
          </w:tcPr>
          <w:p>
            <w:pPr>
              <w:spacing w:after="0"/>
              <w:rPr>
                <w:sz w:val="1"/>
                <w:szCs w:val="1"/>
                <w:color w:val="auto"/>
              </w:rPr>
            </w:pP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6/14/2019</w:t>
            </w:r>
          </w:p>
        </w:tc>
        <w:tc>
          <w:tcPr>
            <w:tcW w:w="430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Date:</w:t>
            </w: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6/14/2019</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Reviewed and Acknowledged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Robert Kammer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Robert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Robert Kammer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Chairman of the Board and Compensation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Committee of Harrow Health, Inc.,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majority owner of Mayfield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6/14/2019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 Saharek and Mayfield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Consultant shall provide advisory services to the Company relating to its sales and marketing activities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or shortly following commencement of Consultant’s Services to the Company, the Company shall grant to Consultant an option to purchase up to 25,000 shares of Common Stock (the “</w:t>
      </w:r>
      <w:r>
        <w:rPr>
          <w:rFonts w:ascii="Arial" w:cs="Arial" w:eastAsia="Arial" w:hAnsi="Arial"/>
          <w:sz w:val="17"/>
          <w:szCs w:val="17"/>
          <w:b w:val="1"/>
          <w:bCs w:val="1"/>
          <w:u w:val="single" w:color="auto"/>
          <w:color w:val="auto"/>
        </w:rPr>
        <w:t>Options</w:t>
      </w:r>
      <w:r>
        <w:rPr>
          <w:rFonts w:ascii="Arial" w:cs="Arial" w:eastAsia="Arial" w:hAnsi="Arial"/>
          <w:sz w:val="17"/>
          <w:szCs w:val="17"/>
          <w:color w:val="auto"/>
        </w:rPr>
        <w:t>”) under the terms of the Plan and a Stock Option Grant Notice and Agreement thereunder to be provided to Consultant by the Company (collectively with the Plan, the “</w:t>
      </w:r>
      <w:r>
        <w:rPr>
          <w:rFonts w:ascii="Arial" w:cs="Arial" w:eastAsia="Arial" w:hAnsi="Arial"/>
          <w:sz w:val="17"/>
          <w:szCs w:val="17"/>
          <w:b w:val="1"/>
          <w:bCs w:val="1"/>
          <w:u w:val="single" w:color="auto"/>
          <w:color w:val="auto"/>
        </w:rPr>
        <w:t>Stock Option Documents</w:t>
      </w:r>
      <w:r>
        <w:rPr>
          <w:rFonts w:ascii="Arial" w:cs="Arial" w:eastAsia="Arial" w:hAnsi="Arial"/>
          <w:sz w:val="17"/>
          <w:szCs w:val="17"/>
          <w:color w:val="auto"/>
        </w:rPr>
        <w:t>”). The issuance of equity by the Company to Consultant in the form of Shares or Options shall be determined and agreed upon in writing at a later time by the Company and Consultant.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Shares and/or Options shall vest upon the earliest of:</w:t>
      </w:r>
    </w:p>
    <w:p>
      <w:pPr>
        <w:spacing w:after="0" w:line="225" w:lineRule="exact"/>
        <w:rPr>
          <w:sz w:val="20"/>
          <w:szCs w:val="20"/>
          <w:color w:val="auto"/>
        </w:rPr>
      </w:pPr>
    </w:p>
    <w:p>
      <w:pPr>
        <w:ind w:left="1100" w:hanging="768"/>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3" w:lineRule="exact"/>
        <w:rPr>
          <w:rFonts w:ascii="Arial" w:cs="Arial" w:eastAsia="Arial" w:hAnsi="Arial"/>
          <w:sz w:val="18"/>
          <w:szCs w:val="18"/>
          <w:color w:val="auto"/>
        </w:rPr>
      </w:pPr>
    </w:p>
    <w:p>
      <w:pPr>
        <w:ind w:left="1100" w:right="20" w:hanging="768"/>
        <w:spacing w:after="0" w:line="250"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or</w:t>
      </w:r>
    </w:p>
    <w:p>
      <w:pPr>
        <w:ind w:left="1100" w:hanging="768"/>
        <w:spacing w:after="0" w:line="261"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of closing of any bona-fide equity financing with third party investors resulting in cash gross proceeds to the Company of at least $10,000,000 (“</w:t>
      </w:r>
      <w:r>
        <w:rPr>
          <w:rFonts w:ascii="Arial" w:cs="Arial" w:eastAsia="Arial" w:hAnsi="Arial"/>
          <w:sz w:val="18"/>
          <w:szCs w:val="18"/>
          <w:b w:val="1"/>
          <w:bCs w:val="1"/>
          <w:u w:val="single" w:color="auto"/>
          <w:color w:val="auto"/>
        </w:rPr>
        <w:t>Subsequent Financing</w:t>
      </w:r>
      <w:r>
        <w:rPr>
          <w:rFonts w:ascii="Arial" w:cs="Arial" w:eastAsia="Arial" w:hAnsi="Arial"/>
          <w:sz w:val="18"/>
          <w:szCs w:val="18"/>
          <w:color w:val="auto"/>
        </w:rPr>
        <w: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and in any case of (1), (2) and (3), subject to Consultant’s Continuous Service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Consultant’s Continuous Service is terminated by the Company (other than for Cause) or by death of Consultant prior to the completion of the Term (as defined in this Consulting Agreement), the Shares and/or Options shall vest immediately upon such termination.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Consultant understands that that the receipt of the Shares and/or Options hereunder may trigger tax consequences to Consultant for which Consultant will be solely responsible and that the Shares and/or Options have not been registered under the Securities Act of 1933, as amended, or any applicable state securities law. Consultant must execute the Restricted Stock Documents and/or Stock Option Documents as a condition to receipt of the Shares and/or Options 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commenced providing Services to the Company on or about June 1, 2019 and shall provide the Services through the earlier of (i) one year from the Date of Grant, (ii) a Change in Control, (iii) the IPO, (iv) a Subsequent Financing or (v) such earlier date as the Services are terminated by the Company or Consultant in accordance with this Agreement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1" w:name="page92"/>
    <w:bookmarkEnd w:id="9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ind w:left="10340"/>
        <w:spacing w:after="0"/>
        <w:rPr>
          <w:sz w:val="20"/>
          <w:szCs w:val="20"/>
          <w:color w:val="auto"/>
        </w:rPr>
      </w:pPr>
      <w:r>
        <w:rPr>
          <w:rFonts w:ascii="Arial" w:cs="Arial" w:eastAsia="Arial" w:hAnsi="Arial"/>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14, 2019</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ind w:left="10340"/>
        <w:spacing w:after="0"/>
        <w:rPr>
          <w:sz w:val="20"/>
          <w:szCs w:val="20"/>
          <w:color w:val="auto"/>
        </w:rPr>
      </w:pPr>
      <w:r>
        <w:rPr>
          <w:rFonts w:ascii="Arial" w:cs="Arial" w:eastAsia="Arial" w:hAnsi="Arial"/>
          <w:sz w:val="17"/>
          <w:szCs w:val="17"/>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260" w:hanging="442"/>
        <w:spacing w:after="0" w:line="264" w:lineRule="auto"/>
        <w:tabs>
          <w:tab w:leader="none" w:pos="12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60" w:hanging="442"/>
        <w:spacing w:after="0" w:line="264" w:lineRule="auto"/>
        <w:tabs>
          <w:tab w:leader="none" w:pos="12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260" w:hanging="442"/>
        <w:spacing w:after="0" w:line="342" w:lineRule="auto"/>
        <w:tabs>
          <w:tab w:leader="none" w:pos="12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60" w:hanging="442"/>
        <w:spacing w:after="0" w:line="264" w:lineRule="auto"/>
        <w:tabs>
          <w:tab w:leader="none" w:pos="12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60" w:hanging="442"/>
        <w:spacing w:after="0" w:line="308" w:lineRule="auto"/>
        <w:tabs>
          <w:tab w:leader="none" w:pos="12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60" w:hanging="442"/>
        <w:spacing w:after="0" w:line="277" w:lineRule="auto"/>
        <w:tabs>
          <w:tab w:leader="none" w:pos="12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14, 2019</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5" w:name="page96"/>
    <w:bookmarkEnd w:id="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June 30, 2019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4"/>
    </w:lvl>
    <w:lvl w:ilvl="1">
      <w:lvlJc w:val="left"/>
      <w:lvlText w:val="(%2)"/>
      <w:numFmt w:val="lowerLetter"/>
      <w:start w:val="1"/>
    </w:lvl>
  </w:abstractNum>
  <w:abstractNum w:abstractNumId="20">
    <w:nsid w:val="2CA88611"/>
    <w:multiLevelType w:val="hybridMultilevel"/>
    <w:lvl w:ilvl="0">
      <w:lvlJc w:val="left"/>
      <w:lvlText w:val="%1."/>
      <w:numFmt w:val="decimal"/>
      <w:start w:val="5"/>
    </w:lvl>
  </w:abstractNum>
  <w:abstractNum w:abstractNumId="21">
    <w:nsid w:val="836C40E"/>
    <w:multiLevelType w:val="hybridMultilevel"/>
    <w:lvl w:ilvl="0">
      <w:lvlJc w:val="left"/>
      <w:lvlText w:val="%1."/>
      <w:numFmt w:val="decimal"/>
      <w:start w:val="7"/>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4"/>
    </w:lvl>
    <w:lvl w:ilvl="1">
      <w:lvlJc w:val="left"/>
      <w:lvlText w:val="(%2)"/>
      <w:numFmt w:val="lowerLetter"/>
      <w:start w:val="1"/>
    </w:lvl>
  </w:abstractNum>
  <w:abstractNum w:abstractNumId="25">
    <w:nsid w:val="1E7FF521"/>
    <w:multiLevelType w:val="hybridMultilevel"/>
    <w:lvl w:ilvl="0">
      <w:lvlJc w:val="left"/>
      <w:lvlText w:val="%1."/>
      <w:numFmt w:val="decimal"/>
      <w:start w:val="5"/>
    </w:lvl>
  </w:abstractNum>
  <w:abstractNum w:abstractNumId="26">
    <w:nsid w:val="7C3DBD3D"/>
    <w:multiLevelType w:val="hybridMultilevel"/>
    <w:lvl w:ilvl="0">
      <w:lvlJc w:val="left"/>
      <w:lvlText w:val="%1."/>
      <w:numFmt w:val="decimal"/>
      <w:start w:val="7"/>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4"/>
    </w:lvl>
    <w:lvl w:ilvl="1">
      <w:lvlJc w:val="left"/>
      <w:lvlText w:val="(%2)"/>
      <w:numFmt w:val="lowerLetter"/>
      <w:start w:val="1"/>
    </w:lvl>
  </w:abstractNum>
  <w:abstractNum w:abstractNumId="30">
    <w:nsid w:val="4516DDE9"/>
    <w:multiLevelType w:val="hybridMultilevel"/>
    <w:lvl w:ilvl="0">
      <w:lvlJc w:val="left"/>
      <w:lvlText w:val="%1."/>
      <w:numFmt w:val="decimal"/>
      <w:start w:val="5"/>
    </w:lvl>
  </w:abstractNum>
  <w:abstractNum w:abstractNumId="31">
    <w:nsid w:val="3006C83E"/>
    <w:multiLevelType w:val="hybridMultilevel"/>
    <w:lvl w:ilvl="0">
      <w:lvlJc w:val="left"/>
      <w:lvlText w:val="%1."/>
      <w:numFmt w:val="decimal"/>
      <w:start w:val="7"/>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74" Type="http://schemas.openxmlformats.org/officeDocument/2006/relationships/hyperlink" Target="http://www.sec.gov/Archives/edgar/data/1360214/00014931521900831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2019-11-30T02:53:08Z</dcterms:created>
  <dcterms:modified xsi:type="dcterms:W3CDTF">2019-11-30T02:53:08Z</dcterms:modified>
</cp:coreProperties>
</file>