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31" w:lineRule="exact"/>
        <w:rPr>
          <w:sz w:val="24"/>
          <w:szCs w:val="24"/>
          <w:color w:val="auto"/>
        </w:rPr>
      </w:pPr>
    </w:p>
    <w:p>
      <w:pPr>
        <w:ind w:right="3919"/>
        <w:spacing w:after="0" w:line="309" w:lineRule="auto"/>
        <w:rPr>
          <w:sz w:val="20"/>
          <w:szCs w:val="20"/>
          <w:color w:val="auto"/>
        </w:rPr>
      </w:pPr>
      <w:r>
        <w:rPr>
          <w:rFonts w:ascii="Courier New" w:cs="Courier New" w:eastAsia="Courier New" w:hAnsi="Courier New"/>
          <w:sz w:val="18"/>
          <w:szCs w:val="18"/>
          <w:color w:val="auto"/>
        </w:rPr>
        <w:t>TO RULE 13d-1(b), (c), AND (d) AND AMENDMENTS THERETO FILED PURSUANT TO RULE 13d-2(b)</w:t>
      </w:r>
    </w:p>
    <w:p>
      <w:pPr>
        <w:spacing w:after="0" w:line="2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Harrow Health,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Ordinary Shares</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415858109</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left="740" w:right="7399" w:firstLine="5"/>
        <w:spacing w:after="0" w:line="257" w:lineRule="auto"/>
        <w:tabs>
          <w:tab w:leader="none" w:pos="1161"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 Rule 13d-1(d)</w:t>
      </w:r>
    </w:p>
    <w:p>
      <w:pPr>
        <w:spacing w:after="0" w:line="169" w:lineRule="exact"/>
        <w:rPr>
          <w:rFonts w:ascii="Courier New" w:cs="Courier New" w:eastAsia="Courier New" w:hAnsi="Courier New"/>
          <w:sz w:val="18"/>
          <w:szCs w:val="18"/>
          <w:color w:val="auto"/>
        </w:rPr>
      </w:pPr>
    </w:p>
    <w:p>
      <w:pPr>
        <w:ind w:right="3599"/>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on the remainder of this cover page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shall not be deemed to be "filed" for the purpose of Section 18</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of the Securities Exchange Act of 1934 ("Act") or otherwise</w:t>
      </w:r>
    </w:p>
    <w:p>
      <w:pPr>
        <w:spacing w:after="0"/>
        <w:rPr>
          <w:sz w:val="20"/>
          <w:szCs w:val="20"/>
          <w:color w:val="auto"/>
        </w:rPr>
      </w:pPr>
      <w:r>
        <w:rPr>
          <w:rFonts w:ascii="Courier New" w:cs="Courier New" w:eastAsia="Courier New" w:hAnsi="Courier New"/>
          <w:sz w:val="16"/>
          <w:szCs w:val="16"/>
          <w:color w:val="auto"/>
        </w:rPr>
        <w:t>subject to the liabilities of that section of the Act but shall</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be subject to all other provisions of the Act (however, see the</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415858109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8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NAMES OF REPORTING PERSONS OR</w:t>
      </w:r>
    </w:p>
    <w:p>
      <w:pPr>
        <w:ind w:right="4559"/>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Ophir Global Opportunities Fund</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IF A MEMBER OF A GROUP</w:t>
      </w:r>
    </w:p>
    <w:p>
      <w:pPr>
        <w:spacing w:after="0"/>
        <w:rPr>
          <w:sz w:val="20"/>
          <w:szCs w:val="20"/>
          <w:color w:val="auto"/>
        </w:rPr>
      </w:pPr>
      <w:r>
        <w:rPr>
          <w:rFonts w:ascii="Courier New" w:cs="Courier New" w:eastAsia="Courier New" w:hAnsi="Courier New"/>
          <w:sz w:val="18"/>
          <w:szCs w:val="18"/>
          <w:color w:val="auto"/>
        </w:rPr>
        <w:t>(see instructions)</w:t>
      </w:r>
    </w:p>
    <w:p>
      <w:pPr>
        <w:spacing w:after="0" w:line="169"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ind w:left="120"/>
        <w:spacing w:after="0"/>
        <w:rPr>
          <w:sz w:val="20"/>
          <w:szCs w:val="20"/>
          <w:color w:val="auto"/>
        </w:rPr>
      </w:pPr>
      <w:r>
        <w:rPr>
          <w:rFonts w:ascii="Courier New" w:cs="Courier New" w:eastAsia="Courier New" w:hAnsi="Courier New"/>
          <w:sz w:val="18"/>
          <w:szCs w:val="18"/>
          <w:color w:val="auto"/>
        </w:rPr>
        <w:t>Australia</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38" w:lineRule="auto"/>
        <w:rPr>
          <w:sz w:val="20"/>
          <w:szCs w:val="20"/>
          <w:color w:val="auto"/>
        </w:rPr>
      </w:pPr>
      <w:r>
        <w:rPr>
          <w:rFonts w:ascii="Courier New" w:cs="Courier New" w:eastAsia="Courier New" w:hAnsi="Courier New"/>
          <w:sz w:val="18"/>
          <w:szCs w:val="18"/>
          <w:color w:val="auto"/>
        </w:rPr>
        <w:t>BENEFICIALLY</w:t>
      </w:r>
    </w:p>
    <w:p>
      <w:pPr>
        <w:spacing w:after="0" w:line="238" w:lineRule="auto"/>
        <w:rPr>
          <w:sz w:val="20"/>
          <w:szCs w:val="20"/>
          <w:color w:val="auto"/>
        </w:rPr>
      </w:pPr>
      <w:r>
        <w:rPr>
          <w:rFonts w:ascii="Courier New" w:cs="Courier New" w:eastAsia="Courier New" w:hAnsi="Courier New"/>
          <w:sz w:val="18"/>
          <w:szCs w:val="18"/>
          <w:color w:val="auto"/>
        </w:rPr>
        <w:t>OWNED</w:t>
      </w:r>
    </w:p>
    <w:p>
      <w:pPr>
        <w:spacing w:after="0"/>
        <w:rPr>
          <w:sz w:val="20"/>
          <w:szCs w:val="20"/>
          <w:color w:val="auto"/>
        </w:rPr>
      </w:pPr>
      <w:r>
        <w:rPr>
          <w:rFonts w:ascii="Courier New" w:cs="Courier New" w:eastAsia="Courier New" w:hAnsi="Courier New"/>
          <w:sz w:val="18"/>
          <w:szCs w:val="18"/>
          <w:color w:val="auto"/>
        </w:rPr>
        <w:t>EACH</w:t>
      </w:r>
    </w:p>
    <w:p>
      <w:pPr>
        <w:spacing w:after="0" w:line="238" w:lineRule="auto"/>
        <w:rPr>
          <w:sz w:val="20"/>
          <w:szCs w:val="20"/>
          <w:color w:val="auto"/>
        </w:rPr>
      </w:pPr>
      <w:r>
        <w:rPr>
          <w:rFonts w:ascii="Courier New" w:cs="Courier New" w:eastAsia="Courier New" w:hAnsi="Courier New"/>
          <w:sz w:val="18"/>
          <w:szCs w:val="18"/>
          <w:color w:val="auto"/>
        </w:rPr>
        <w:t>REPORTING</w:t>
      </w:r>
    </w:p>
    <w:p>
      <w:pPr>
        <w:spacing w:after="0" w:line="238" w:lineRule="auto"/>
        <w:rPr>
          <w:sz w:val="20"/>
          <w:szCs w:val="20"/>
          <w:color w:val="auto"/>
        </w:rPr>
      </w:pPr>
      <w:r>
        <w:rPr>
          <w:rFonts w:ascii="Courier New" w:cs="Courier New" w:eastAsia="Courier New" w:hAnsi="Courier New"/>
          <w:sz w:val="18"/>
          <w:szCs w:val="18"/>
          <w:color w:val="auto"/>
        </w:rPr>
        <w:t>PERSON WITH</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w:t>
      </w:r>
    </w:p>
    <w:p>
      <w:pPr>
        <w:sectPr>
          <w:pgSz w:w="11900" w:h="16854"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768,916 Ordinary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768,916 Ordinary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31" w:lineRule="exact"/>
        <w:rPr>
          <w:sz w:val="20"/>
          <w:szCs w:val="20"/>
          <w:color w:val="auto"/>
        </w:rPr>
      </w:pPr>
    </w:p>
    <w:p>
      <w:pPr>
        <w:ind w:right="4559"/>
        <w:spacing w:after="0" w:line="238"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768,916 Ordinary Shares</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31" w:lineRule="exact"/>
        <w:rPr>
          <w:sz w:val="20"/>
          <w:szCs w:val="20"/>
          <w:color w:val="auto"/>
        </w:rPr>
      </w:pPr>
    </w:p>
    <w:p>
      <w:pPr>
        <w:ind w:right="4979"/>
        <w:spacing w:after="0" w:line="238" w:lineRule="auto"/>
        <w:rPr>
          <w:sz w:val="20"/>
          <w:szCs w:val="20"/>
          <w:color w:val="auto"/>
        </w:rPr>
      </w:pPr>
      <w:r>
        <w:rPr>
          <w:rFonts w:ascii="Courier New" w:cs="Courier New" w:eastAsia="Courier New" w:hAnsi="Courier New"/>
          <w:sz w:val="18"/>
          <w:szCs w:val="18"/>
          <w:color w:val="auto"/>
        </w:rPr>
        <w:t>CHECK IF THE AGGREGATE AMOUNT IN ROW (9) EXCLUDES CERTAIN SHARES</w:t>
      </w:r>
    </w:p>
    <w:p>
      <w:pPr>
        <w:spacing w:after="0" w:line="1"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(see instructions) [</w:t>
      </w:r>
      <w:r>
        <w:rPr>
          <w:sz w:val="20"/>
          <w:szCs w:val="20"/>
          <w:color w:val="auto"/>
        </w:rPr>
        <w:tab/>
      </w:r>
      <w:r>
        <w:rPr>
          <w:rFonts w:ascii="Courier New" w:cs="Courier New" w:eastAsia="Courier New" w:hAnsi="Courier New"/>
          <w:sz w:val="16"/>
          <w:szCs w:val="16"/>
          <w:color w:val="auto"/>
        </w:rPr>
        <w: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(9)</w:t>
      </w:r>
    </w:p>
    <w:p>
      <w:pPr>
        <w:spacing w:after="0"/>
        <w:rPr>
          <w:sz w:val="20"/>
          <w:szCs w:val="20"/>
          <w:color w:val="auto"/>
        </w:rPr>
      </w:pPr>
      <w:r>
        <w:rPr>
          <w:rFonts w:ascii="Courier New" w:cs="Courier New" w:eastAsia="Courier New" w:hAnsi="Courier New"/>
          <w:sz w:val="18"/>
          <w:szCs w:val="18"/>
          <w:color w:val="auto"/>
        </w:rPr>
        <w:t>2.80%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415858109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8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rPr>
          <w:sz w:val="20"/>
          <w:szCs w:val="20"/>
          <w:color w:val="auto"/>
        </w:rPr>
      </w:pPr>
      <w:r>
        <w:rPr>
          <w:rFonts w:ascii="Courier New" w:cs="Courier New" w:eastAsia="Courier New" w:hAnsi="Courier New"/>
          <w:sz w:val="18"/>
          <w:szCs w:val="18"/>
          <w:color w:val="auto"/>
        </w:rPr>
        <w:t>Harrow Health,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102 Woodmont Blvd., Suite 610</w:t>
      </w:r>
    </w:p>
    <w:p>
      <w:pPr>
        <w:spacing w:after="0"/>
        <w:rPr>
          <w:sz w:val="20"/>
          <w:szCs w:val="20"/>
          <w:color w:val="auto"/>
        </w:rPr>
      </w:pPr>
      <w:r>
        <w:rPr>
          <w:rFonts w:ascii="Courier New" w:cs="Courier New" w:eastAsia="Courier New" w:hAnsi="Courier New"/>
          <w:sz w:val="18"/>
          <w:szCs w:val="18"/>
          <w:color w:val="auto"/>
        </w:rPr>
        <w:t>Nashville, Tennessee 37205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Person Filing</w:t>
      </w:r>
    </w:p>
    <w:p>
      <w:pPr>
        <w:spacing w:after="0"/>
        <w:rPr>
          <w:sz w:val="20"/>
          <w:szCs w:val="20"/>
          <w:color w:val="auto"/>
        </w:rPr>
      </w:pPr>
      <w:r>
        <w:rPr>
          <w:rFonts w:ascii="Courier New" w:cs="Courier New" w:eastAsia="Courier New" w:hAnsi="Courier New"/>
          <w:sz w:val="18"/>
          <w:szCs w:val="18"/>
          <w:color w:val="auto"/>
        </w:rPr>
        <w:t>Ophir Global Opportunities Fund</w:t>
      </w:r>
    </w:p>
    <w:p>
      <w:pPr>
        <w:sectPr>
          <w:pgSz w:w="11900" w:h="16838" w:orient="portrait"/>
          <w:cols w:equalWidth="0" w:num="1">
            <w:col w:w="10139"/>
          </w:cols>
          <w:pgMar w:left="320" w:top="110" w:right="1440" w:bottom="133"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(b)</w:t>
      </w:r>
    </w:p>
    <w:p>
      <w:pPr>
        <w:spacing w:after="0" w:line="31" w:lineRule="exact"/>
        <w:rPr>
          <w:sz w:val="20"/>
          <w:szCs w:val="20"/>
          <w:color w:val="auto"/>
        </w:rPr>
      </w:pPr>
    </w:p>
    <w:p>
      <w:pPr>
        <w:ind w:right="4759"/>
        <w:spacing w:after="0" w:line="309" w:lineRule="auto"/>
        <w:rPr>
          <w:sz w:val="20"/>
          <w:szCs w:val="20"/>
          <w:color w:val="auto"/>
        </w:rPr>
      </w:pPr>
      <w:r>
        <w:rPr>
          <w:rFonts w:ascii="Courier New" w:cs="Courier New" w:eastAsia="Courier New" w:hAnsi="Courier New"/>
          <w:sz w:val="18"/>
          <w:szCs w:val="18"/>
          <w:color w:val="auto"/>
        </w:rPr>
        <w:t>The address of the principal place of the Filers is located at:</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Level 27, Governor Philip Tower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Farrer Place, Sydney, NSW 2000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31" w:lineRule="exact"/>
        <w:rPr>
          <w:sz w:val="20"/>
          <w:szCs w:val="20"/>
          <w:color w:val="auto"/>
        </w:rPr>
      </w:pPr>
    </w:p>
    <w:p>
      <w:pPr>
        <w:ind w:right="4759" w:firstLine="105"/>
        <w:spacing w:after="0" w:line="309" w:lineRule="auto"/>
        <w:rPr>
          <w:sz w:val="20"/>
          <w:szCs w:val="20"/>
          <w:color w:val="auto"/>
        </w:rPr>
      </w:pPr>
      <w:r>
        <w:rPr>
          <w:rFonts w:ascii="Courier New" w:cs="Courier New" w:eastAsia="Courier New" w:hAnsi="Courier New"/>
          <w:sz w:val="18"/>
          <w:szCs w:val="18"/>
          <w:color w:val="auto"/>
        </w:rPr>
        <w:t>For citizenship of Filers, see Item 4 of the cover sheet for each Filer.</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Ophir Funds are Australian-domiciled.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Ordinary Shares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rPr>
          <w:sz w:val="20"/>
          <w:szCs w:val="20"/>
          <w:color w:val="auto"/>
        </w:rPr>
      </w:pPr>
      <w:r>
        <w:rPr>
          <w:rFonts w:ascii="Courier New" w:cs="Courier New" w:eastAsia="Courier New" w:hAnsi="Courier New"/>
          <w:sz w:val="18"/>
          <w:szCs w:val="18"/>
          <w:color w:val="auto"/>
        </w:rPr>
        <w:t>415858109</w:t>
      </w:r>
    </w:p>
    <w:p>
      <w:pPr>
        <w:spacing w:after="0" w:line="372" w:lineRule="exact"/>
        <w:rPr>
          <w:sz w:val="20"/>
          <w:szCs w:val="20"/>
          <w:color w:val="auto"/>
        </w:rPr>
      </w:pPr>
    </w:p>
    <w:p>
      <w:pPr>
        <w:ind w:right="3399"/>
        <w:spacing w:after="0" w:line="346" w:lineRule="auto"/>
        <w:rPr>
          <w:sz w:val="20"/>
          <w:szCs w:val="20"/>
          <w:color w:val="auto"/>
        </w:rPr>
      </w:pPr>
      <w:r>
        <w:rPr>
          <w:rFonts w:ascii="Courier New" w:cs="Courier New" w:eastAsia="Courier New" w:hAnsi="Courier New"/>
          <w:sz w:val="18"/>
          <w:szCs w:val="18"/>
          <w:color w:val="auto"/>
        </w:rPr>
        <w:t>Item 3. If this statement is filed pursuant to ??240.13d-1(b) or 240.13d-2(b) or (c), check whether the person filing is a:</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ind w:right="3919"/>
        <w:spacing w:after="0" w:line="309" w:lineRule="auto"/>
        <w:rPr>
          <w:sz w:val="20"/>
          <w:szCs w:val="20"/>
          <w:color w:val="auto"/>
        </w:rPr>
      </w:pPr>
      <w:r>
        <w:rPr>
          <w:rFonts w:ascii="Courier New" w:cs="Courier New" w:eastAsia="Courier New" w:hAnsi="Courier New"/>
          <w:sz w:val="18"/>
          <w:szCs w:val="18"/>
          <w:color w:val="auto"/>
        </w:rPr>
        <w:t>Broker or dealer registered under section 15 of the Act (15 U.S.C. 78o).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Bank as defined in section 3(a)(6) of the Act (15 U.S.C.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78c).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ind w:right="3919"/>
        <w:spacing w:after="0" w:line="309" w:lineRule="auto"/>
        <w:rPr>
          <w:sz w:val="20"/>
          <w:szCs w:val="20"/>
          <w:color w:val="auto"/>
        </w:rPr>
      </w:pPr>
      <w:r>
        <w:rPr>
          <w:rFonts w:ascii="Courier New" w:cs="Courier New" w:eastAsia="Courier New" w:hAnsi="Courier New"/>
          <w:sz w:val="18"/>
          <w:szCs w:val="18"/>
          <w:color w:val="auto"/>
        </w:rPr>
        <w:t>Insurance company as defined in section 3(a)(19) of the Act (15 U.S.C. 78c).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ind w:right="4659"/>
        <w:spacing w:after="0" w:line="377" w:lineRule="auto"/>
        <w:rPr>
          <w:sz w:val="20"/>
          <w:szCs w:val="20"/>
          <w:color w:val="auto"/>
        </w:rPr>
      </w:pPr>
      <w:r>
        <w:rPr>
          <w:rFonts w:ascii="Courier New" w:cs="Courier New" w:eastAsia="Courier New" w:hAnsi="Courier New"/>
          <w:sz w:val="16"/>
          <w:szCs w:val="16"/>
          <w:color w:val="auto"/>
        </w:rPr>
        <w:t>Investment company registered under section 8 of the Investment Company Act of 1940 (15 U.S.C. 80a-8).</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[X]</w:t>
      </w:r>
    </w:p>
    <w:p>
      <w:pPr>
        <w:ind w:right="4859"/>
        <w:spacing w:after="0" w:line="309" w:lineRule="auto"/>
        <w:rPr>
          <w:sz w:val="20"/>
          <w:szCs w:val="20"/>
          <w:color w:val="auto"/>
        </w:rPr>
      </w:pPr>
      <w:r>
        <w:rPr>
          <w:rFonts w:ascii="Courier New" w:cs="Courier New" w:eastAsia="Courier New" w:hAnsi="Courier New"/>
          <w:sz w:val="18"/>
          <w:szCs w:val="18"/>
          <w:color w:val="auto"/>
        </w:rPr>
        <w:t>An investment adviser in accordance with ?240.13d-1(b)(1)(ii)(E);</w:t>
      </w:r>
    </w:p>
    <w:p>
      <w:pPr>
        <w:sectPr>
          <w:pgSz w:w="11900" w:h="16838" w:orient="portrait"/>
          <w:cols w:equalWidth="0" w:num="1">
            <w:col w:w="10139"/>
          </w:cols>
          <w:pgMar w:left="320" w:top="717" w:right="1440"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415858109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8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ind w:right="3699"/>
        <w:spacing w:after="0" w:line="309" w:lineRule="auto"/>
        <w:rPr>
          <w:sz w:val="20"/>
          <w:szCs w:val="20"/>
          <w:color w:val="auto"/>
        </w:rPr>
      </w:pPr>
      <w:r>
        <w:rPr>
          <w:rFonts w:ascii="Courier New" w:cs="Courier New" w:eastAsia="Courier New" w:hAnsi="Courier New"/>
          <w:sz w:val="18"/>
          <w:szCs w:val="18"/>
          <w:color w:val="auto"/>
        </w:rPr>
        <w:t>A parent holding company or control person in accordance with ?240.13d-1(b)(1)(ii)(G);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ind w:right="4239"/>
        <w:spacing w:after="0" w:line="309" w:lineRule="auto"/>
        <w:rPr>
          <w:sz w:val="20"/>
          <w:szCs w:val="20"/>
          <w:color w:val="auto"/>
        </w:rPr>
      </w:pPr>
      <w:r>
        <w:rPr>
          <w:rFonts w:ascii="Courier New" w:cs="Courier New" w:eastAsia="Courier New" w:hAnsi="Courier New"/>
          <w:sz w:val="18"/>
          <w:szCs w:val="18"/>
          <w:color w:val="auto"/>
        </w:rPr>
        <w:t>A savings associations as defined in Section 3(b) of the Federal Deposit Insurance Act (12 U.S.C. 1813);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ind w:right="3919"/>
        <w:spacing w:after="0" w:line="273" w:lineRule="auto"/>
        <w:rPr>
          <w:sz w:val="20"/>
          <w:szCs w:val="20"/>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Group, in accordance with ?240.13d-1(b)(1)(ii)(J).</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144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CUSIP No. 415858109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8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right="6979" w:firstLine="8"/>
        <w:spacing w:after="0" w:line="402" w:lineRule="auto"/>
        <w:tabs>
          <w:tab w:leader="none" w:pos="42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768,916 Ordinary Shares*</w:t>
      </w: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Number of shares as to which the person has:</w:t>
      </w:r>
    </w:p>
    <w:p>
      <w:pPr>
        <w:spacing w:after="0" w:line="201" w:lineRule="exact"/>
        <w:rPr>
          <w:sz w:val="20"/>
          <w:szCs w:val="20"/>
          <w:color w:val="auto"/>
        </w:rPr>
      </w:pPr>
    </w:p>
    <w:p>
      <w:pPr>
        <w:ind w:right="5499" w:firstLine="8"/>
        <w:spacing w:after="0" w:line="346"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768,916 Ordinary Shares*</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right="3919" w:firstLine="8"/>
        <w:spacing w:after="0" w:line="346" w:lineRule="auto"/>
        <w:tabs>
          <w:tab w:leader="none" w:pos="6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768,916 Ordinary Shares*</w:t>
      </w:r>
    </w:p>
    <w:p>
      <w:pPr>
        <w:spacing w:after="0" w:line="22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4" w:lineRule="exact"/>
        <w:rPr>
          <w:sz w:val="20"/>
          <w:szCs w:val="20"/>
          <w:color w:val="auto"/>
        </w:rPr>
      </w:pPr>
    </w:p>
    <w:p>
      <w:pPr>
        <w:jc w:val="both"/>
        <w:ind w:right="3399" w:firstLine="8"/>
        <w:spacing w:after="0" w:line="282" w:lineRule="auto"/>
        <w:tabs>
          <w:tab w:leader="none" w:pos="21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Ophir Asset Management US LLC serves as the investment manager to Ophir Global Opportunities Fund, Ophir Global High Conviction Fund, collectively the ?Ophir Funds? and the Accounts.</w:t>
      </w:r>
    </w:p>
    <w:p>
      <w:pPr>
        <w:ind w:right="349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This report shall not be deemed an admission that the Reporting Persons are beneficial owners of the Shares for purposes of Section 13 of the Securities Exchange Act of 1934, as amended, or for any other purpose. Each of the Reporting Persons disclaims beneficial ownership of the Shares reported herein except to the extent of the Reporting Person?s pecuniary interest therein.</w:t>
      </w:r>
    </w:p>
    <w:p>
      <w:pPr>
        <w:spacing w:after="0" w:line="2" w:lineRule="exact"/>
        <w:rPr>
          <w:rFonts w:ascii="Courier New" w:cs="Courier New" w:eastAsia="Courier New" w:hAnsi="Courier New"/>
          <w:sz w:val="16"/>
          <w:szCs w:val="16"/>
          <w:color w:val="auto"/>
        </w:rPr>
      </w:pPr>
    </w:p>
    <w:p>
      <w:pPr>
        <w:ind w:right="3279"/>
        <w:spacing w:after="0" w:line="261"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percentages herein are calculated based upon a statement in the Issuer?s Form 10-Q, as of September 30, 2022 which was filed on November 14, 2022, that there were 27,413,654 shares of common stock issued and outstanding.</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being filed to report the fact that as of</w:t>
      </w:r>
    </w:p>
    <w:p>
      <w:pPr>
        <w:spacing w:after="0" w:line="31" w:lineRule="exact"/>
        <w:rPr>
          <w:sz w:val="20"/>
          <w:szCs w:val="20"/>
          <w:color w:val="auto"/>
        </w:rPr>
      </w:pPr>
    </w:p>
    <w:p>
      <w:pPr>
        <w:ind w:right="2979"/>
        <w:spacing w:after="0" w:line="273" w:lineRule="auto"/>
        <w:rPr>
          <w:sz w:val="20"/>
          <w:szCs w:val="20"/>
          <w:color w:val="auto"/>
        </w:rPr>
      </w:pPr>
      <w:r>
        <w:rPr>
          <w:rFonts w:ascii="Courier New" w:cs="Courier New" w:eastAsia="Courier New" w:hAnsi="Courier New"/>
          <w:sz w:val="18"/>
          <w:szCs w:val="18"/>
          <w:color w:val="auto"/>
        </w:rPr>
        <w:t>the date hereof the reporting person has ceased to be the beneficial owner of more than five percent of the class of securities, check the following [X]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415858109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8 Pages</w:t>
      </w:r>
    </w:p>
    <w:p>
      <w:pPr>
        <w:spacing w:after="0" w:line="201" w:lineRule="exact"/>
        <w:rPr>
          <w:sz w:val="20"/>
          <w:szCs w:val="20"/>
          <w:color w:val="auto"/>
        </w:rPr>
      </w:pPr>
    </w:p>
    <w:p>
      <w:pPr>
        <w:ind w:right="3399"/>
        <w:spacing w:after="0" w:line="346"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jc w:val="both"/>
        <w:ind w:right="391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w:t>
      </w:r>
    </w:p>
    <w:p>
      <w:pPr>
        <w:sectPr>
          <w:pgSz w:w="11900" w:h="16838" w:orient="portrait"/>
          <w:cols w:equalWidth="0" w:num="1">
            <w:col w:w="10139"/>
          </w:cols>
          <w:pgMar w:left="320" w:top="110"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415858109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 of 8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3699" w:firstLine="1053"/>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right="38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07, 2022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Ophir Asset Management US LLC</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Melanie Harris, CCO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rPr>
          <w:sz w:val="20"/>
          <w:szCs w:val="20"/>
          <w:color w:val="auto"/>
        </w:rPr>
      </w:pPr>
      <w:r>
        <w:rPr>
          <w:rFonts w:ascii="Courier New" w:cs="Courier New" w:eastAsia="Courier New" w:hAnsi="Courier New"/>
          <w:sz w:val="18"/>
          <w:szCs w:val="18"/>
          <w:color w:val="auto"/>
        </w:rPr>
        <w:t>415858109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 of 8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38" w:lineRule="auto"/>
        <w:rPr>
          <w:sz w:val="20"/>
          <w:szCs w:val="20"/>
          <w:color w:val="auto"/>
        </w:rPr>
      </w:pPr>
      <w:r>
        <w:rPr>
          <w:rFonts w:ascii="Courier New" w:cs="Courier New" w:eastAsia="Courier New" w:hAnsi="Courier New"/>
          <w:sz w:val="18"/>
          <w:szCs w:val="18"/>
          <w:color w:val="auto"/>
        </w:rPr>
        <w:t>OF STATEMENT ON SCHEDULE 13D OR 13G</w:t>
      </w:r>
    </w:p>
    <w:p>
      <w:pPr>
        <w:spacing w:after="0" w:line="238" w:lineRule="auto"/>
        <w:rPr>
          <w:sz w:val="20"/>
          <w:szCs w:val="20"/>
          <w:color w:val="auto"/>
        </w:rPr>
      </w:pPr>
      <w:r>
        <w:rPr>
          <w:rFonts w:ascii="Courier New" w:cs="Courier New" w:eastAsia="Courier New" w:hAnsi="Courier New"/>
          <w:sz w:val="18"/>
          <w:szCs w:val="18"/>
          <w:color w:val="auto"/>
        </w:rPr>
        <w:t>Statement Pursuant to Rule 13d-1(k)(1)</w:t>
      </w:r>
    </w:p>
    <w:p>
      <w:pPr>
        <w:spacing w:after="0" w:line="1" w:lineRule="exact"/>
        <w:rPr>
          <w:sz w:val="20"/>
          <w:szCs w:val="20"/>
          <w:color w:val="auto"/>
        </w:rPr>
      </w:pPr>
    </w:p>
    <w:p>
      <w:pPr>
        <w:ind w:right="3499" w:firstLine="737"/>
        <w:spacing w:after="0" w:line="248" w:lineRule="auto"/>
        <w:rPr>
          <w:sz w:val="20"/>
          <w:szCs w:val="20"/>
          <w:color w:val="auto"/>
        </w:rPr>
      </w:pPr>
      <w:r>
        <w:rPr>
          <w:rFonts w:ascii="Courier New" w:cs="Courier New" w:eastAsia="Courier New" w:hAnsi="Courier New"/>
          <w:sz w:val="18"/>
          <w:szCs w:val="18"/>
          <w:color w:val="auto"/>
        </w:rPr>
        <w:t>The undersigned hereby consent and agree to file a joint statement on Schedule 13G under the Securities Exchange Act of 1934, as amended, with respect to the Common Stock of Harrow Health, Inc. beneficially owned by them, together with any or all amendments thereto, when and if appropriate. The parties hereto further consent this Statement pursuant to Rule 13d-1(k)(1)(iii) as an exhibit to Schedule 13G, thereby incorporating the same into such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07, 2023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Ophir Asset Management US LLC</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Melanie Harris, CCO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w:t>
      </w:r>
    </w:p>
    <w:p>
      <w:pPr>
        <w:sectPr>
          <w:pgSz w:w="11900" w:h="16838" w:orient="portrait"/>
          <w:cols w:equalWidth="0" w:num="1">
            <w:col w:w="10139"/>
          </w:cols>
          <w:pgMar w:left="320" w:top="110" w:right="1440" w:bottom="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2024-10-08T05:43:22Z</dcterms:created>
  <dcterms:modified xsi:type="dcterms:W3CDTF">2024-10-08T05:43:22Z</dcterms:modified>
</cp:coreProperties>
</file>