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HARROW,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593"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5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440" w:type="dxa"/>
            <w:vAlign w:val="bottom"/>
            <w:gridSpan w:val="5"/>
          </w:tcPr>
          <w:p>
            <w:pPr>
              <w:ind w:left="260"/>
              <w:spacing w:after="0"/>
              <w:rPr>
                <w:sz w:val="20"/>
                <w:szCs w:val="20"/>
                <w:color w:val="auto"/>
              </w:rPr>
            </w:pPr>
            <w:r>
              <w:rPr>
                <w:rFonts w:ascii="Arial" w:cs="Arial" w:eastAsia="Arial" w:hAnsi="Arial"/>
                <w:sz w:val="12"/>
                <w:szCs w:val="12"/>
                <w:b w:val="1"/>
                <w:bCs w:val="1"/>
                <w:color w:val="auto"/>
              </w:rPr>
              <w:t>6. Ownership  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 or</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jc w:val="center"/>
              <w:ind w:left="51"/>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tcPr>
          <w:p>
            <w:pPr>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22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06/03/2025</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3,000</w:t>
            </w:r>
          </w:p>
        </w:tc>
        <w:tc>
          <w:tcPr>
            <w:tcW w:w="640" w:type="dxa"/>
            <w:vAlign w:val="bottom"/>
            <w:vMerge w:val="restart"/>
          </w:tcPr>
          <w:p>
            <w:pPr>
              <w:jc w:val="center"/>
              <w:ind w:left="5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30.0387</w:t>
            </w:r>
            <w:r>
              <w:rPr>
                <w:rFonts w:ascii="Times New Roman" w:cs="Times New Roman" w:eastAsia="Times New Roman" w:hAnsi="Times New Roman"/>
                <w:sz w:val="22"/>
                <w:szCs w:val="22"/>
                <w:color w:val="008000"/>
                <w:w w:val="97"/>
                <w:vertAlign w:val="superscript"/>
              </w:rPr>
              <w:t>(3)</w:t>
            </w:r>
          </w:p>
        </w:tc>
        <w:tc>
          <w:tcPr>
            <w:tcW w:w="60" w:type="dxa"/>
            <w:vAlign w:val="bottom"/>
          </w:tcPr>
          <w:p>
            <w:pPr>
              <w:spacing w:after="0"/>
              <w:rPr>
                <w:sz w:val="21"/>
                <w:szCs w:val="21"/>
                <w:color w:val="auto"/>
              </w:rPr>
            </w:pPr>
          </w:p>
        </w:tc>
        <w:tc>
          <w:tcPr>
            <w:tcW w:w="860" w:type="dxa"/>
            <w:vAlign w:val="bottom"/>
            <w:gridSpan w:val="2"/>
            <w:vMerge w:val="restart"/>
          </w:tcPr>
          <w:p>
            <w:pPr>
              <w:jc w:val="center"/>
              <w:ind w:left="74"/>
              <w:spacing w:after="0"/>
              <w:rPr>
                <w:sz w:val="20"/>
                <w:szCs w:val="20"/>
                <w:color w:val="auto"/>
              </w:rPr>
            </w:pPr>
            <w:r>
              <w:rPr>
                <w:rFonts w:ascii="Times New Roman" w:cs="Times New Roman" w:eastAsia="Times New Roman" w:hAnsi="Times New Roman"/>
                <w:sz w:val="17"/>
                <w:szCs w:val="17"/>
                <w:color w:val="0000FF"/>
              </w:rPr>
              <w:t>122,000</w:t>
            </w:r>
          </w:p>
        </w:tc>
        <w:tc>
          <w:tcPr>
            <w:tcW w:w="98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Managed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340" w:type="dxa"/>
            <w:vAlign w:val="bottom"/>
            <w:gridSpan w:val="2"/>
            <w:vMerge w:val="restart"/>
          </w:tcPr>
          <w:p>
            <w:pPr>
              <w:ind w:left="160"/>
              <w:spacing w:after="0" w:line="281" w:lineRule="exact"/>
              <w:rPr>
                <w:sz w:val="20"/>
                <w:szCs w:val="20"/>
                <w:color w:val="auto"/>
              </w:rPr>
            </w:pPr>
            <w:r>
              <w:rPr>
                <w:rFonts w:ascii="Times New Roman" w:cs="Times New Roman" w:eastAsia="Times New Roman" w:hAnsi="Times New Roman"/>
                <w:sz w:val="32"/>
                <w:szCs w:val="32"/>
                <w:color w:val="0000FF"/>
                <w:w w:val="93"/>
                <w:vertAlign w:val="subscript"/>
              </w:rPr>
              <w:t>Account</w:t>
            </w:r>
            <w:r>
              <w:rPr>
                <w:rFonts w:ascii="Times New Roman" w:cs="Times New Roman" w:eastAsia="Times New Roman" w:hAnsi="Times New Roman"/>
                <w:sz w:val="11"/>
                <w:szCs w:val="11"/>
                <w:color w:val="008000"/>
                <w:w w:val="93"/>
              </w:rPr>
              <w:t>(1)(3)(4)(5)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40" w:type="dxa"/>
            <w:vAlign w:val="bottom"/>
            <w:tcBorders>
              <w:bottom w:val="single" w:sz="8" w:color="2C2C2C"/>
            </w:tcBorders>
            <w:vMerge w:val="continue"/>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06/04/2025</w:t>
            </w: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Pr>
          <w:p>
            <w:pPr>
              <w:spacing w:after="0"/>
              <w:rPr>
                <w:sz w:val="21"/>
                <w:szCs w:val="2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1,796</w:t>
            </w:r>
          </w:p>
        </w:tc>
        <w:tc>
          <w:tcPr>
            <w:tcW w:w="640" w:type="dxa"/>
            <w:vAlign w:val="bottom"/>
            <w:vMerge w:val="restart"/>
          </w:tcPr>
          <w:p>
            <w:pPr>
              <w:jc w:val="center"/>
              <w:ind w:left="51"/>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ind w:right="5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30.0153</w:t>
            </w:r>
          </w:p>
        </w:tc>
        <w:tc>
          <w:tcPr>
            <w:tcW w:w="60" w:type="dxa"/>
            <w:vAlign w:val="bottom"/>
          </w:tcPr>
          <w:p>
            <w:pPr>
              <w:spacing w:after="0"/>
              <w:rPr>
                <w:sz w:val="21"/>
                <w:szCs w:val="21"/>
                <w:color w:val="auto"/>
              </w:rPr>
            </w:pPr>
          </w:p>
        </w:tc>
        <w:tc>
          <w:tcPr>
            <w:tcW w:w="860" w:type="dxa"/>
            <w:vAlign w:val="bottom"/>
            <w:gridSpan w:val="2"/>
            <w:vMerge w:val="restart"/>
          </w:tcPr>
          <w:p>
            <w:pPr>
              <w:jc w:val="center"/>
              <w:ind w:left="74"/>
              <w:spacing w:after="0"/>
              <w:rPr>
                <w:sz w:val="20"/>
                <w:szCs w:val="20"/>
                <w:color w:val="auto"/>
              </w:rPr>
            </w:pPr>
            <w:r>
              <w:rPr>
                <w:rFonts w:ascii="Times New Roman" w:cs="Times New Roman" w:eastAsia="Times New Roman" w:hAnsi="Times New Roman"/>
                <w:sz w:val="17"/>
                <w:szCs w:val="17"/>
                <w:color w:val="0000FF"/>
              </w:rPr>
              <w:t>120,204</w:t>
            </w:r>
          </w:p>
        </w:tc>
        <w:tc>
          <w:tcPr>
            <w:tcW w:w="98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Managed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340" w:type="dxa"/>
            <w:vAlign w:val="bottom"/>
            <w:gridSpan w:val="2"/>
            <w:vMerge w:val="restart"/>
          </w:tcPr>
          <w:p>
            <w:pPr>
              <w:ind w:left="160"/>
              <w:spacing w:after="0" w:line="281" w:lineRule="exact"/>
              <w:rPr>
                <w:sz w:val="20"/>
                <w:szCs w:val="20"/>
                <w:color w:val="auto"/>
              </w:rPr>
            </w:pPr>
            <w:r>
              <w:rPr>
                <w:rFonts w:ascii="Times New Roman" w:cs="Times New Roman" w:eastAsia="Times New Roman" w:hAnsi="Times New Roman"/>
                <w:sz w:val="32"/>
                <w:szCs w:val="32"/>
                <w:color w:val="0000FF"/>
                <w:w w:val="93"/>
                <w:vertAlign w:val="subscript"/>
              </w:rPr>
              <w:t>Account</w:t>
            </w:r>
            <w:r>
              <w:rPr>
                <w:rFonts w:ascii="Times New Roman" w:cs="Times New Roman" w:eastAsia="Times New Roman" w:hAnsi="Times New Roman"/>
                <w:sz w:val="11"/>
                <w:szCs w:val="11"/>
                <w:color w:val="008000"/>
                <w:w w:val="93"/>
              </w:rPr>
              <w:t>(1)(3)(4)(5)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2"/>
            <w:vMerge w:val="restart"/>
          </w:tcPr>
          <w:p>
            <w:pPr>
              <w:jc w:val="center"/>
              <w:ind w:left="54"/>
              <w:spacing w:after="0"/>
              <w:rPr>
                <w:sz w:val="20"/>
                <w:szCs w:val="20"/>
                <w:color w:val="auto"/>
              </w:rPr>
            </w:pPr>
            <w:r>
              <w:rPr>
                <w:rFonts w:ascii="Times New Roman" w:cs="Times New Roman" w:eastAsia="Times New Roman" w:hAnsi="Times New Roman"/>
                <w:sz w:val="17"/>
                <w:szCs w:val="17"/>
                <w:color w:val="0000FF"/>
              </w:rPr>
              <w:t>3,815,000</w:t>
            </w:r>
          </w:p>
        </w:tc>
        <w:tc>
          <w:tcPr>
            <w:tcW w:w="98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I</w:t>
            </w: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By Opaleye,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vMerge w:val="restart"/>
          </w:tcPr>
          <w:p>
            <w:pPr>
              <w:ind w:left="160"/>
              <w:spacing w:after="0" w:line="281" w:lineRule="exact"/>
              <w:rPr>
                <w:sz w:val="20"/>
                <w:szCs w:val="20"/>
                <w:color w:val="auto"/>
              </w:rPr>
            </w:pPr>
            <w:r>
              <w:rPr>
                <w:rFonts w:ascii="Times New Roman" w:cs="Times New Roman" w:eastAsia="Times New Roman" w:hAnsi="Times New Roman"/>
                <w:sz w:val="32"/>
                <w:szCs w:val="32"/>
                <w:color w:val="0000FF"/>
                <w:w w:val="88"/>
                <w:vertAlign w:val="subscript"/>
              </w:rPr>
              <w:t>L.P.</w:t>
            </w:r>
            <w:r>
              <w:rPr>
                <w:rFonts w:ascii="Times New Roman" w:cs="Times New Roman" w:eastAsia="Times New Roman" w:hAnsi="Times New Roman"/>
                <w:sz w:val="11"/>
                <w:szCs w:val="11"/>
                <w:color w:val="008000"/>
                <w:w w:val="88"/>
              </w:rPr>
              <w:t>(2)(5)</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vMerge w:val="continue"/>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40" w:type="dxa"/>
            <w:vAlign w:val="bottom"/>
            <w:gridSpan w:val="13"/>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5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gridSpan w:val="2"/>
          </w:tcPr>
          <w:p>
            <w:pPr>
              <w:ind w:left="5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9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(A)</w:t>
            </w:r>
          </w:p>
        </w:tc>
        <w:tc>
          <w:tcPr>
            <w:tcW w:w="4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$30.01 - $30.07 inclusive. The reporting person undertakes to provide, upon request by the SEC staff, the issuer, or a security holder of the issuer, full information regarding the number of shares sold at each price.</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$30.00 - $30.115 inclusive. The reporting person undertakes to provide, upon request by the SEC staff, the issuer, or a security holder of the issuer, full information regarding the number of shares sold at each price.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06/05/2025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2025-06-05T15:17:31Z</dcterms:created>
  <dcterms:modified xsi:type="dcterms:W3CDTF">2025-06-05T15:17:31Z</dcterms:modified>
</cp:coreProperties>
</file>