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1, 2014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747" w:right="239" w:bottom="1440" w:gutter="0" w:footer="0" w:header="0"/>
          <w:type w:val="continuous"/>
        </w:sectPr>
      </w:pPr>
    </w:p>
    <w:p>
      <w:pPr>
        <w:spacing w:after="0" w:line="7"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12626 High Bluff Drive, Suite 150</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60" w:space="720"/>
            <w:col w:w="3140"/>
          </w:cols>
          <w:pgMar w:left="240" w:top="74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140" w:type="dxa"/>
            <w:vAlign w:val="bottom"/>
          </w:tcPr>
          <w:p>
            <w:pPr>
              <w:ind w:left="6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432"/>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140" w:type="dxa"/>
            <w:vAlign w:val="bottom"/>
          </w:tcPr>
          <w:p>
            <w:pPr>
              <w:ind w:left="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14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14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223"/>
        </w:trPr>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140" w:type="dxa"/>
            <w:vAlign w:val="bottom"/>
            <w:tcBorders>
              <w:bottom w:val="single" w:sz="8" w:color="auto"/>
            </w:tcBorders>
          </w:tcPr>
          <w:p>
            <w:pPr>
              <w:spacing w:after="0"/>
              <w:rPr>
                <w:sz w:val="19"/>
                <w:szCs w:val="19"/>
                <w:color w:val="auto"/>
              </w:rPr>
            </w:pPr>
          </w:p>
        </w:tc>
      </w:tr>
      <w:tr>
        <w:trPr>
          <w:trHeight w:val="27"/>
        </w:trPr>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140" w:type="dxa"/>
            <w:vAlign w:val="bottom"/>
          </w:tcPr>
          <w:p>
            <w:pPr>
              <w:spacing w:after="0"/>
              <w:rPr>
                <w:sz w:val="2"/>
                <w:szCs w:val="2"/>
                <w:color w:val="auto"/>
              </w:rPr>
            </w:pPr>
          </w:p>
        </w:tc>
      </w:tr>
      <w:tr>
        <w:trPr>
          <w:trHeight w:val="68"/>
        </w:trPr>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140" w:type="dxa"/>
            <w:vAlign w:val="bottom"/>
            <w:shd w:val="clear" w:color="auto" w:fill="000000"/>
          </w:tcPr>
          <w:p>
            <w:pPr>
              <w:spacing w:after="0"/>
              <w:rPr>
                <w:sz w:val="5"/>
                <w:szCs w:val="5"/>
                <w:color w:val="auto"/>
              </w:rPr>
            </w:pPr>
          </w:p>
        </w:tc>
      </w:tr>
      <w:tr>
        <w:trPr>
          <w:trHeight w:val="439"/>
        </w:trPr>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4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 2014, Imprimis Pharmaceuticals, Inc. (the “Company”) completed the acquisition of all of the outstanding membership interests of Pharmacy Creations, LLC (“Pharmacy Creations”) from J. Scott Karolchyk and Bernard Covalesky (the “Sellers”, and such transaction, the “Acquisition”), pursuant to the Membership Interest Purchase Agreement, dated February 10, 2014, by and among the Company and the Sellers (the “Purchase Agreement”). Pharmacy Creations is a New Jersey compounding pharmacy that is licensed in or may currently ship compounded sterile and non-sterile formulations to 17 U.S. States, Washington D.C., Puerto Rico and Canada. Pharmacy Creations also has compounding pharmacy license applications pending in 16 U.S. States and is actively pursuing licensure in the remaining U.S. States.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 2014, in connection with the closing of the Acquisition (the “Closing”), the Company paid to the Sellers an aggregate cash purchase price of $600,000. The cash purchase price is subject to subsequent adjustment based on the final calculation of Pharmacy Creations’ earnings before income, taxes, depreciation and amortization for the fiscal year ended December 31, 2013. In addition, the Sellers are entitled to receive additional contingent consideration upon the satisfaction of certain conditions:</w:t>
      </w:r>
    </w:p>
    <w:p>
      <w:pPr>
        <w:spacing w:after="0" w:line="187" w:lineRule="exact"/>
        <w:rPr>
          <w:sz w:val="20"/>
          <w:szCs w:val="20"/>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contingent cash payment of an aggregate of $50,000, payable only if Pharmacy Creations earns revenue of over $3,500,000 for the 12 month period ending March 31, 2015.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contingent stock payment of up to an aggregate of 215,910 shares of the Company’s common stock, issuable only if the following revenue milestones are met:</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
        </w:numPr>
        <w:rPr>
          <w:rFonts w:ascii="Arial" w:cs="Arial" w:eastAsia="Arial" w:hAnsi="Arial"/>
          <w:sz w:val="17"/>
          <w:szCs w:val="17"/>
          <w:color w:val="auto"/>
        </w:rPr>
      </w:pPr>
      <w:r>
        <w:rPr>
          <w:rFonts w:ascii="Arial" w:cs="Arial" w:eastAsia="Arial" w:hAnsi="Arial"/>
          <w:sz w:val="17"/>
          <w:szCs w:val="17"/>
          <w:color w:val="auto"/>
        </w:rPr>
        <w:t>if Pharmacy Creations earns revenue of over $7,500,000 during the 12 month period ending March 31, 2016, all 215,190 shares;</w:t>
      </w:r>
    </w:p>
    <w:p>
      <w:pPr>
        <w:spacing w:after="0" w:line="236"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if Pharmacy Creations earns revenue of between $3,500,000 and $7,500,000 during the 12 month period ending March 31, 2016, that number of shares of Common Stock equal to the amount that such revenue exceeds $3,500,000 divided by 18.5882, rounded down to the last whole number (not to exceed 215,190 shares).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Purchase Agreement provides that the Company shall invest an aggregate of $1,000,000 by March 31, 2016 in the Pharmacy Creations facilities (which could include upgrading the current Pharmacy Creations facilities or construction of a new pharmacy or outsourcing facility) and investments in personnel, equipment, technology, other systems and processes and marketing and sales.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above description of the Purchase Agreement does not purport to be complete and is qualified in its entirety by reference to the full text of the Purchase Agreement. The representations and warranties contained in the Purchase Agreement were made only for the purposes of the agreement as of specific dates and may have been qualified by certain disclosures between the parties and a contractual standard of materiality different from those generally applicable to stockholders, among other limitations. The representations and warranties were made for the purposes of allocating contractual risk between the parties to the Purchase Agreement and should not be relied upon as a disclosure of factual information relating to the Company or Pharmacy Creations.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Financial Statements of Businesses Acquired.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financial information required by this item, if any, with respect to the Acquisition, will be filed as soon as practicable, and in any event within the timeframe required by Form 8-K.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Pro Forma Financial Information.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 forma financial information required by this item, if any, with respect to the Acquisition, will be filed as soon as practicable, and in any event within the timeframe required by Form 8-K.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i w:val="1"/>
                <w:iCs w:val="1"/>
                <w:color w:val="auto"/>
              </w:rPr>
              <w:t>(d) Exhibits.</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p>
        </w:tc>
      </w:tr>
      <w:tr>
        <w:trPr>
          <w:trHeight w:val="414"/>
        </w:trPr>
        <w:tc>
          <w:tcPr>
            <w:tcW w:w="1160" w:type="dxa"/>
            <w:vAlign w:val="bottom"/>
          </w:tcPr>
          <w:p>
            <w:pPr>
              <w:ind w:left="20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241"/>
        </w:trPr>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ind w:left="440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160" w:type="dxa"/>
            <w:vAlign w:val="bottom"/>
          </w:tcPr>
          <w:p>
            <w:pPr>
              <w:jc w:val="right"/>
              <w:ind w:right="79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Membership Interest Purchase Agreement, dated February 10, 2014, among John Scott Karolchyk and Bernard Covalesky (as Sellers) and</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Imprimis Pharmaceuticals, Inc.* (Incorporated by reference to Exhibit 2.1 of the Company’s Form 8-K filed on February 11, 2014.)</w:t>
            </w:r>
          </w:p>
        </w:tc>
      </w:tr>
    </w:tbl>
    <w:p>
      <w:pPr>
        <w:spacing w:after="0" w:line="202" w:lineRule="exact"/>
        <w:rPr>
          <w:sz w:val="20"/>
          <w:szCs w:val="20"/>
          <w:color w:val="auto"/>
        </w:rPr>
      </w:pPr>
    </w:p>
    <w:p>
      <w:pPr>
        <w:jc w:val="both"/>
        <w:ind w:firstLine="8"/>
        <w:spacing w:after="0" w:line="264" w:lineRule="auto"/>
        <w:tabs>
          <w:tab w:leader="none" w:pos="158"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A copy of any omitted schedule or exhibit will be furnished supplementally to the Securities and Exchange Commission upon request; provided, however that the Company may request confidential treatment pursuant to Rule 24b-2 of the Securities Exchange Act of 1934, as amended, for any schedule or exhibit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April 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Vice-President, Accounting and Public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160" w:type="dxa"/>
            <w:vAlign w:val="bottom"/>
          </w:tcPr>
          <w:p>
            <w:pPr>
              <w:ind w:left="20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241"/>
        </w:trPr>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ind w:left="440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160" w:type="dxa"/>
            <w:vAlign w:val="bottom"/>
          </w:tcPr>
          <w:p>
            <w:pPr>
              <w:jc w:val="right"/>
              <w:ind w:right="79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Membership Interest Purchase Agreement, dated February 10, 2014, among John Scott Karolchyk and Bernard Covalesky (as Sellers) and</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Imprimis Pharmaceuticals, Inc.* (Incorporated by reference to Exhibit 2.1 of the Company’s Form 8-K filed on February 11, 2014.)</w:t>
            </w:r>
          </w:p>
        </w:tc>
      </w:tr>
    </w:tbl>
    <w:p>
      <w:pPr>
        <w:spacing w:after="0" w:line="202" w:lineRule="exact"/>
        <w:rPr>
          <w:sz w:val="20"/>
          <w:szCs w:val="20"/>
          <w:color w:val="auto"/>
        </w:rPr>
      </w:pPr>
    </w:p>
    <w:p>
      <w:pPr>
        <w:jc w:val="both"/>
        <w:ind w:firstLine="8"/>
        <w:spacing w:after="0" w:line="264" w:lineRule="auto"/>
        <w:tabs>
          <w:tab w:leader="none" w:pos="158"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A copy of any omitted schedule or exhibit will be furnished supplementally to the Securities and Exchange Commission upon request; provided, however that the Company may request confidential treatment pursuant to Rule 24b-2 of the Securities Exchange Act of 1934, as amended, for any schedule or exhibit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2020-01-26T19:26:01Z</dcterms:created>
  <dcterms:modified xsi:type="dcterms:W3CDTF">2020-01-26T19:26:01Z</dcterms:modified>
</cp:coreProperties>
</file>