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20" w:right="1640" w:hanging="3595"/>
        <w:spacing w:after="0" w:line="500" w:lineRule="auto"/>
        <w:tabs>
          <w:tab w:leader="none" w:pos="79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800" w:hanging="475"/>
        <w:spacing w:after="0"/>
        <w:tabs>
          <w:tab w:leader="none" w:pos="8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76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45-0567010</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89"/>
              </w:rPr>
              <w:t>102 Woodmont Blvd., Suite 610</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w w:val="91"/>
              </w:rPr>
              <w:t>Nashville, TN 37205</w:t>
            </w:r>
          </w:p>
        </w:tc>
        <w:tc>
          <w:tcPr>
            <w:tcW w:w="3560" w:type="dxa"/>
            <w:vAlign w:val="bottom"/>
          </w:tcPr>
          <w:p>
            <w:pPr>
              <w:spacing w:after="0"/>
              <w:rPr>
                <w:sz w:val="19"/>
                <w:szCs w:val="19"/>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92"/>
              </w:rPr>
              <w:t>(Address of Principal Executive Offices)(Zip Code)</w:t>
            </w:r>
          </w:p>
        </w:tc>
        <w:tc>
          <w:tcPr>
            <w:tcW w:w="3560" w:type="dxa"/>
            <w:vAlign w:val="bottom"/>
          </w:tcPr>
          <w:p>
            <w:pPr>
              <w:spacing w:after="0"/>
              <w:rPr>
                <w:sz w:val="20"/>
                <w:szCs w:val="20"/>
                <w:color w:val="auto"/>
              </w:rPr>
            </w:pPr>
          </w:p>
        </w:tc>
      </w:tr>
      <w:tr>
        <w:trPr>
          <w:trHeight w:val="418"/>
        </w:trPr>
        <w:tc>
          <w:tcPr>
            <w:tcW w:w="768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90"/>
              </w:rPr>
              <w:t>(615) 733-4730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Title of Each Class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w:t>
            </w:r>
          </w:p>
        </w:tc>
      </w:tr>
      <w:tr>
        <w:trPr>
          <w:trHeight w:val="241"/>
        </w:trPr>
        <w:tc>
          <w:tcPr>
            <w:tcW w:w="28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on Which Registered</w:t>
            </w:r>
          </w:p>
        </w:tc>
      </w:tr>
      <w:tr>
        <w:trPr>
          <w:trHeight w:val="202"/>
        </w:trPr>
        <w:tc>
          <w:tcPr>
            <w:tcW w:w="4280" w:type="dxa"/>
            <w:vAlign w:val="bottom"/>
            <w:gridSpan w:val="2"/>
          </w:tcPr>
          <w:p>
            <w:pPr>
              <w:jc w:val="right"/>
              <w:ind w:right="490"/>
              <w:spacing w:after="0" w:line="201" w:lineRule="exact"/>
              <w:rPr>
                <w:sz w:val="20"/>
                <w:szCs w:val="20"/>
                <w:color w:val="auto"/>
              </w:rPr>
            </w:pPr>
            <w:r>
              <w:rPr>
                <w:rFonts w:ascii="Arial" w:cs="Arial" w:eastAsia="Arial" w:hAnsi="Arial"/>
                <w:sz w:val="18"/>
                <w:szCs w:val="18"/>
                <w:color w:val="auto"/>
              </w:rPr>
              <w:t>Common Stock, $0.001 par value per share</w:t>
            </w:r>
          </w:p>
        </w:tc>
        <w:tc>
          <w:tcPr>
            <w:tcW w:w="240" w:type="dxa"/>
            <w:vAlign w:val="bottom"/>
          </w:tcPr>
          <w:p>
            <w:pPr>
              <w:spacing w:after="0"/>
              <w:rPr>
                <w:sz w:val="17"/>
                <w:szCs w:val="17"/>
                <w:color w:val="auto"/>
              </w:rPr>
            </w:pP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26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Global Market</w:t>
            </w:r>
          </w:p>
        </w:tc>
      </w:tr>
      <w:tr>
        <w:trPr>
          <w:trHeight w:val="230"/>
        </w:trPr>
        <w:tc>
          <w:tcPr>
            <w:tcW w:w="2880" w:type="dxa"/>
            <w:vAlign w:val="bottom"/>
          </w:tcPr>
          <w:p>
            <w:pPr>
              <w:jc w:val="right"/>
              <w:spacing w:after="0"/>
              <w:rPr>
                <w:sz w:val="20"/>
                <w:szCs w:val="20"/>
                <w:color w:val="auto"/>
              </w:rPr>
            </w:pPr>
            <w:r>
              <w:rPr>
                <w:rFonts w:ascii="Arial" w:cs="Arial" w:eastAsia="Arial" w:hAnsi="Arial"/>
                <w:sz w:val="18"/>
                <w:szCs w:val="18"/>
                <w:color w:val="auto"/>
              </w:rPr>
              <w:t>8.625% Senior Notes due</w:t>
            </w:r>
          </w:p>
        </w:tc>
        <w:tc>
          <w:tcPr>
            <w:tcW w:w="1400" w:type="dxa"/>
            <w:vAlign w:val="bottom"/>
          </w:tcPr>
          <w:p>
            <w:pPr>
              <w:jc w:val="right"/>
              <w:ind w:right="930"/>
              <w:spacing w:after="0"/>
              <w:rPr>
                <w:sz w:val="20"/>
                <w:szCs w:val="20"/>
                <w:color w:val="auto"/>
              </w:rPr>
            </w:pPr>
            <w:r>
              <w:rPr>
                <w:rFonts w:ascii="Arial" w:cs="Arial" w:eastAsia="Arial" w:hAnsi="Arial"/>
                <w:sz w:val="18"/>
                <w:szCs w:val="18"/>
                <w:color w:val="auto"/>
                <w:w w:val="89"/>
              </w:rPr>
              <w:t>2026</w:t>
            </w:r>
          </w:p>
        </w:tc>
        <w:tc>
          <w:tcPr>
            <w:tcW w:w="240" w:type="dxa"/>
            <w:vAlign w:val="bottom"/>
          </w:tcPr>
          <w:p>
            <w:pPr>
              <w:spacing w:after="0"/>
              <w:rPr>
                <w:sz w:val="20"/>
                <w:szCs w:val="20"/>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b w:val="1"/>
          <w:bCs w:val="1"/>
          <w:color w:val="auto"/>
        </w:rPr>
        <w:t>No</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55" w:orient="portrait"/>
          <w:cols w:equalWidth="0" w:num="1">
            <w:col w:w="11240"/>
          </w:cols>
          <w:pgMar w:left="320" w:top="746" w:right="339" w:bottom="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5" w:lineRule="exact"/>
        <w:rPr>
          <w:sz w:val="24"/>
          <w:szCs w:val="24"/>
          <w:color w:val="auto"/>
        </w:rPr>
      </w:pPr>
    </w:p>
    <w:p>
      <w:pPr>
        <w:sectPr>
          <w:pgSz w:w="11900" w:h="16855" w:orient="portrait"/>
          <w:cols w:equalWidth="0" w:num="2">
            <w:col w:w="4900" w:space="720"/>
            <w:col w:w="5620"/>
          </w:cols>
          <w:pgMar w:left="320" w:top="746" w:right="339" w:bottom="0" w:gutter="0" w:footer="0" w:header="0"/>
          <w:type w:val="continuous"/>
        </w:sectPr>
      </w:pPr>
    </w:p>
    <w:p>
      <w:pPr>
        <w:spacing w:after="0" w:line="3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55" w:orient="portrait"/>
          <w:cols w:equalWidth="0" w:num="1">
            <w:col w:w="11240"/>
          </w:cols>
          <w:pgMar w:left="320" w:top="746" w:right="3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2021, the last business day of the registrant’s most recently completed second fiscal quarter, the aggregate market value of the common stock held by non-affiliates of the registrant was approximately $196 million, based on the closing price of $9.29 for the registrant’s common stock as quoted on The Nasdaq Global Market on that date. For purposes of this calculation, it has been assumed that shares of common stock held by each director, each officer 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March 8, 2022, there were 27,030,127 shares of the registrant’s common stock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registrant’s definitive proxy statement for its 2022 Annual Meeting of Stockholders are incorporated by reference in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0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CCEEFF"/>
            </w:tcBorders>
            <w:gridSpan w:val="25"/>
            <w:shd w:val="clear" w:color="auto" w:fill="CCEEFF"/>
          </w:tcPr>
          <w:p>
            <w:pPr>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2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2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620" w:type="dxa"/>
            <w:vAlign w:val="bottom"/>
            <w:gridSpan w:val="2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2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2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PART II</w:t>
              </w:r>
            </w:hyperlink>
          </w:p>
        </w:tc>
        <w:tc>
          <w:tcPr>
            <w:tcW w:w="896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25"/>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25"/>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620" w:type="dxa"/>
            <w:vAlign w:val="bottom"/>
            <w:gridSpan w:val="25"/>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526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9620" w:type="dxa"/>
            <w:vAlign w:val="bottom"/>
            <w:gridSpan w:val="25"/>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Changes in and Disagreements with Accountants on Accounting and Financial Disclosure</w:t>
              </w:r>
            </w:hyperlink>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620" w:type="dxa"/>
            <w:vAlign w:val="bottom"/>
            <w:gridSpan w:val="25"/>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Other Information</w:t>
              </w:r>
            </w:hyperlink>
          </w:p>
        </w:tc>
        <w:tc>
          <w:tcPr>
            <w:tcW w:w="83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9C.</w:t>
            </w:r>
          </w:p>
        </w:tc>
        <w:tc>
          <w:tcPr>
            <w:tcW w:w="9620" w:type="dxa"/>
            <w:vAlign w:val="bottom"/>
            <w:gridSpan w:val="25"/>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Disclosure Regarding Foreign Jurisdictions that Prevent Inspections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9620" w:type="dxa"/>
            <w:vAlign w:val="bottom"/>
            <w:gridSpan w:val="25"/>
          </w:tcPr>
          <w:p>
            <w:pPr>
              <w:spacing w:after="0" w:line="17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III</w:t>
              </w:r>
            </w:hyperlink>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Directors, Executive Officers and Corporate Governance</w:t>
              </w:r>
            </w:hyperlink>
          </w:p>
        </w:tc>
        <w:tc>
          <w:tcPr>
            <w:tcW w:w="55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11.</w:t>
            </w:r>
          </w:p>
        </w:tc>
        <w:tc>
          <w:tcPr>
            <w:tcW w:w="9620" w:type="dxa"/>
            <w:vAlign w:val="bottom"/>
            <w:gridSpan w:val="25"/>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620" w:type="dxa"/>
            <w:vAlign w:val="bottom"/>
            <w:gridSpan w:val="25"/>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Certain Relationships and Related Transactions, and Director Independence</w:t>
              </w:r>
            </w:hyperlink>
          </w:p>
        </w:tc>
        <w:tc>
          <w:tcPr>
            <w:tcW w:w="23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620" w:type="dxa"/>
            <w:vAlign w:val="bottom"/>
            <w:gridSpan w:val="25"/>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Principal Accountant Fees and Services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98"/>
              </w:rPr>
            </w:pPr>
            <w:hyperlink w:anchor="page58">
              <w:r>
                <w:rPr>
                  <w:rFonts w:ascii="Arial" w:cs="Arial" w:eastAsia="Arial" w:hAnsi="Arial"/>
                  <w:sz w:val="18"/>
                  <w:szCs w:val="18"/>
                  <w:b w:val="1"/>
                  <w:bCs w:val="1"/>
                  <w:color w:val="0000EE"/>
                  <w:w w:val="98"/>
                </w:rPr>
                <w:t>PART IV</w:t>
              </w:r>
            </w:hyperlink>
          </w:p>
        </w:tc>
        <w:tc>
          <w:tcPr>
            <w:tcW w:w="890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620" w:type="dxa"/>
            <w:vAlign w:val="bottom"/>
            <w:gridSpan w:val="25"/>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Exhibits, Financial Statement Schedules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620" w:type="dxa"/>
            <w:vAlign w:val="bottom"/>
            <w:gridSpan w:val="25"/>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Form 10-K Summary</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6"/>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9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both"/>
        <w:ind w:right="20" w:firstLine="648"/>
        <w:spacing w:after="0" w:line="277" w:lineRule="auto"/>
        <w:rPr>
          <w:sz w:val="20"/>
          <w:szCs w:val="20"/>
          <w:color w:val="auto"/>
        </w:rPr>
      </w:pPr>
      <w:r>
        <w:rPr>
          <w:rFonts w:ascii="Arial" w:cs="Arial" w:eastAsia="Arial" w:hAnsi="Arial"/>
          <w:sz w:val="18"/>
          <w:szCs w:val="18"/>
          <w:i w:val="1"/>
          <w:iCs w:val="1"/>
          <w:color w:val="auto"/>
        </w:rPr>
        <w:t>As used in this Annual Report, unless indicated or the context requires otherwise, the terms the “Company,” “Harrow,” “we,” “us” and “our” refer to Harrow Health, Inc. and its consolidated subsidiaries.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We have registered trademarks, copyrights and/or pending trademark and copyright applications for a number of proprietary names in the United States, including, but not limited to: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Harrow Health</w:t>
      </w:r>
      <w:r>
        <w:rPr>
          <w:rFonts w:ascii="Arial" w:cs="Arial" w:eastAsia="Arial" w:hAnsi="Arial"/>
          <w:sz w:val="26"/>
          <w:szCs w:val="26"/>
          <w:color w:val="auto"/>
          <w:vertAlign w:val="superscript"/>
        </w:rPr>
        <w:t>®</w:t>
      </w:r>
      <w:r>
        <w:rPr>
          <w:rFonts w:ascii="Arial" w:cs="Arial" w:eastAsia="Arial" w:hAnsi="Arial"/>
          <w:sz w:val="16"/>
          <w:szCs w:val="16"/>
          <w:color w:val="auto"/>
        </w:rPr>
        <w:t>, Visionology</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Klarity-C</w:t>
      </w:r>
      <w:r>
        <w:rPr>
          <w:rFonts w:ascii="Arial" w:cs="Arial" w:eastAsia="Arial" w:hAnsi="Arial"/>
          <w:sz w:val="29"/>
          <w:szCs w:val="29"/>
          <w:color w:val="auto"/>
          <w:vertAlign w:val="superscript"/>
        </w:rPr>
        <w:t>®</w:t>
      </w:r>
      <w:r>
        <w:rPr>
          <w:rFonts w:ascii="Arial" w:cs="Arial" w:eastAsia="Arial" w:hAnsi="Arial"/>
          <w:sz w:val="18"/>
          <w:szCs w:val="18"/>
          <w:color w:val="auto"/>
        </w:rPr>
        <w:t>, Dropless Therapy</w:t>
      </w:r>
      <w:r>
        <w:rPr>
          <w:rFonts w:ascii="Arial" w:cs="Arial" w:eastAsia="Arial" w:hAnsi="Arial"/>
          <w:sz w:val="29"/>
          <w:szCs w:val="29"/>
          <w:color w:val="auto"/>
          <w:vertAlign w:val="superscript"/>
        </w:rPr>
        <w:t>®</w:t>
      </w:r>
      <w:r>
        <w:rPr>
          <w:rFonts w:ascii="Arial" w:cs="Arial" w:eastAsia="Arial" w:hAnsi="Arial"/>
          <w:sz w:val="18"/>
          <w:szCs w:val="18"/>
          <w:color w:val="auto"/>
        </w:rPr>
        <w:t>, MKO Melt</w:t>
      </w:r>
      <w:r>
        <w:rPr>
          <w:rFonts w:ascii="Arial" w:cs="Arial" w:eastAsia="Arial" w:hAnsi="Arial"/>
          <w:sz w:val="29"/>
          <w:szCs w:val="29"/>
          <w:color w:val="auto"/>
          <w:vertAlign w:val="superscript"/>
        </w:rPr>
        <w:t>®</w:t>
      </w:r>
      <w:r>
        <w:rPr>
          <w:rFonts w:ascii="Arial" w:cs="Arial" w:eastAsia="Arial" w:hAnsi="Arial"/>
          <w:sz w:val="18"/>
          <w:szCs w:val="18"/>
          <w:color w:val="auto"/>
        </w:rPr>
        <w:t>, and Simple Drops</w:t>
      </w:r>
      <w:r>
        <w:rPr>
          <w:rFonts w:ascii="Arial" w:cs="Arial" w:eastAsia="Arial" w:hAnsi="Arial"/>
          <w:sz w:val="29"/>
          <w:szCs w:val="29"/>
          <w:color w:val="auto"/>
          <w:vertAlign w:val="superscript"/>
        </w:rPr>
        <w:t>®</w:t>
      </w:r>
      <w:r>
        <w:rPr>
          <w:rFonts w:ascii="Arial" w:cs="Arial" w:eastAsia="Arial" w:hAnsi="Arial"/>
          <w:sz w:val="18"/>
          <w:szCs w:val="18"/>
          <w:color w:val="auto"/>
        </w:rPr>
        <w:t>. We may choose to pursue trademark protection in other jurisdictions for one or more of these or other marks in the future. All other trademarks, service marks and trade names included or incorporated by reference into this Annual Report on Form 10-K (this “Annual Report”), are the property of their respective owners.</w:t>
      </w:r>
    </w:p>
    <w:p>
      <w:pPr>
        <w:spacing w:after="0" w:line="20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ophthalmic-focused healthcare company. Our business specializes in the development, production and sale of innovative medications that offer unique competitive advantages and serve unmet needs in the marketplace through our subsidiaries and deconsolidated companies. We own and operate ImprimisRx, one of the nation’s leading ophthalmology-focused pharmaceutical businesses, and Visionology, Inc. (“Visionology”), a direct-to-consumer eyecare subsidiary focused on chronic vision care. In addition, we also have non-controlling equity positions in Surface Ophthalmics, Inc. (“Surface”) and Melt Pharmaceuticals, Inc. (“Melt”), both companies that began as subsidiaries of Harrow and were subsequently deconsolidated. We also own royalty rights in various drug candidates being developed by Surface and Melt.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ImprimisRx is our ophthalmology-focused prescription pharmaceutical business. From its inception in 2014, ImprimisRx, whose business consists of integrated research and development, production, dispensing/distribution, sales, marketing, and customer-service capabilities, has offered physician customers and their patients access to critical medicines to meet their clinical needs. Initially, ImprimisRx focused exclusively on compounded medications to serve needs unmet by commercially available drugs. We make our formulations available at prices that are, in most cases, lower than non-customized commercial drugs, ImprimisRx’s customer base has grown to include more than 10,000 U.S. eyecare-dedicated prescribers and institutions. Our current ophthalmology formulary includes over 20 compounded formulations, many of which are patented or patent-pending, and are customizable for the specific needs of a patient. Our compounded medications include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(“cGMPs”) or other guidance documents from the U.S. Food and Drug Administration (the “FDA”), in our FDA-registered New Jersey outsourcing facility.</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past two years, in order to more fully serve the needs of our growing customer base, we have invested in broadening ImprimisRx’s product portfolio to include FDA-approved products. Our investments in this regard have led to commercial partnerships to sell DEXYCU®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enable us to provide more physician prescribers and their patients with access to a complete portfolio of affordable eyecare pharmaceuticals to address their clinical needs.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DEXYCU®</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ImprimisRx entered into a Commercial Alliance Agreement (the “Dexycu Agreement”) with Eyepoint Pharmaceuticals, Inc. (“Eyepoint”), pursuant to which Eyepoint granted ImprimisRx the right to promote DEXYCU® (dexamethasone intraocular suspension) 9% for the treatment of post-operative inflammation following ocular surgery in the United States. Pursuant to the Dexycu Agreement, Eyepoint pays ImprimisRx a fee that is calculated based on the quarterly sales of Dexycu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IOPIDINE®, MAXITROL® EYE DROPS, MOXEZA®</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December 2021, we entered into an Asset Purchase Agreement (the “NVS Agreement”) with Novartis Technology, LLC and Novartis Ophthalmics AG (together, “NVS”), pursuant to which we acquired U.S. commercial rights to four FDA-approved ophthalmic medicines:</w:t>
      </w:r>
    </w:p>
    <w:p>
      <w:pPr>
        <w:spacing w:after="0" w:line="146" w:lineRule="exact"/>
        <w:rPr>
          <w:sz w:val="20"/>
          <w:szCs w:val="20"/>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IOPIDINE 1% (apraclonidine hydrochloride) is indicated to control or prevent post-surgical elevations in intraocular pressure (IOP) that occur in patients after argon laser trabeculoplasty, argon laser iriodotomy or Nd:YAG posterior capsulotomy;</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IOPIDINE 0.5% (apraclonidine hydrochloride) is for short-term adjunctive therapy in patients on maximally tolerated medical therapy who require additional IOP reduction;</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MAXITROL (neomycin/polymyxin B/dexamethasone) is an eye drop used to treat steroid-responsive inflammatory ocular conditions where bacterial infection or a risk of bacterial ocular infection exists;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MOXEZA 0.5% (moxifloxacin hydrochloride) is a topical fluoroquinolone anti-infective eye drop used to treat bacterial conjunctivitis.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NVS Agreement, NVS will continue to sell the products and transfer the net profit to us for a transitional period of approximately six months after the date of execution. Following the transition period, we expect to have the products manufactured by third parties and commercialize the products for the U.S. market.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by expanding our product portfolio to include these branded FDA-approved products, we will be positioned to leverage our ImprimisRx platform to introduce unique lifecycle management strategies that could grow sales and address needs of our customers that we are unable to meet with our other compounded product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AMP-100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we acquired the exclusive marketing and supply rights to AMP-100 in the U.S. and Canada from Sintetica S.A. (“Sintetica”). AMP-100 is a patented, ophthalmic topical anesthetic drug candidate. If FDA-approved, the active ingredient used in AMP-100 will be the first approved use of this active ingredient in the U.S. ophthalmic market.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safety and efficacy of AMP-100 were evaluated in various clinical trials, including a Phase 2/3 randomized, double-masked, vehicle-controlled, efficacy, safety and tolerability study in healthy volunteers and a non-inferiority Phase 3 study of 342 patients undergoing cataract surgeries, comparing AMP-100 to an active comparator. Ultimately, these studies demonstrated:</w:t>
      </w:r>
    </w:p>
    <w:p>
      <w:pPr>
        <w:spacing w:after="0" w:line="184"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AMP-100 is generally well tolerated, and the most common adverse event was mydriasis (dilation of pupil) in about 20% of patients,;</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AMP-100 has similar onset of action and met the primary endpoint of a Phase 3 non-inferiority study comparing AMP-100 to an active control (Phase 3);</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Anesthesia success of patients receiving AMP-100 was 95% vs. 20% with placebo (Phase 2/3 study)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AMP-100 has been shown to have predictable offset (end of anesthesia) within a narrow bell curve (i.e. no wide variance).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new drug application (“NDA”) for AMP-100 was submitted by Sintetica to the FDA in the fourth quarter of 2021 and the FDA has assigned the application standard review and a Prescription Drug User Fee Act (PDUFA) target action date of October 16, 2022. If approved, we expect our initial commercial focus of AMP-100 to be on ophthalmic procedures that traditionally require the eye to be anesthetized.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AMP-100 is protected by one issued patent and another patent-pending. The issued patent includes composition of matter and method of use claims and could provide protection for AMP-100 into 2037.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MAQ-100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August 2021, we acquired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w:t>
      </w:r>
    </w:p>
    <w:p>
      <w:pPr>
        <w:spacing w:after="0" w:line="1" w:lineRule="exact"/>
        <w:rPr>
          <w:sz w:val="20"/>
          <w:szCs w:val="20"/>
          <w:color w:val="auto"/>
        </w:rPr>
      </w:pPr>
    </w:p>
    <w:p>
      <w:pPr>
        <w:jc w:val="both"/>
        <w:ind w:firstLine="8"/>
        <w:spacing w:after="0" w:line="253" w:lineRule="auto"/>
        <w:tabs>
          <w:tab w:leader="none" w:pos="2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We intend to request a meeting with FDA during the first half of 2022 to discuss our planned clinical program for MAQ-100.</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to acquire and/or develop additional FDA-approved/approvable ophthalmic products and product candidates that will allow us to leverage the commercial infrastructure of ImprimisRx to promote, sell, and ultimately bring these products to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Visionology, a direct-to-consumer online eye health platform, leverages our experience in the ophthalmic pharmaceutical business as well as our relationships with eyecare professionals across the United States. We recently launched a proof-of-concept model for Visionology within certain U.S. markets, and if successful, expect to expand the launch on a nationwide basis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Ophthalmology Market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For any ocular procedure, a surgeon may require drugs for sedation, dilation, inflammation and infection prevention, and ocular surface preservation. The cataract surgery market continues to experience significant growth. According to </w:t>
      </w:r>
      <w:r>
        <w:rPr>
          <w:rFonts w:ascii="Arial" w:cs="Arial" w:eastAsia="Arial" w:hAnsi="Arial"/>
          <w:sz w:val="16"/>
          <w:szCs w:val="16"/>
          <w:i w:val="1"/>
          <w:iCs w:val="1"/>
          <w:color w:val="auto"/>
        </w:rPr>
        <w:t>Market Scope</w:t>
      </w:r>
      <w:r>
        <w:rPr>
          <w:rFonts w:ascii="Arial" w:cs="Arial" w:eastAsia="Arial" w:hAnsi="Arial"/>
          <w:sz w:val="16"/>
          <w:szCs w:val="16"/>
          <w:color w:val="auto"/>
        </w:rPr>
        <w:t>, approximately 4.2 million cataract surgeries were performed in the U.S. in 2019. The National Eye Institute estimates that over 24 million Americans currently have cataracts and that this number will grow to 38 million by 2030 and reach more than 50 million by 2050. In addition,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 xml:space="preserve">According to the Glaucoma Research Foundation, there are over 3 million Americans with glaucoma but only half are aware they have it. Open-angle glaucoma (the most common type of glaucoma) is a condition of increased intraocular pressure that causes gradual loss of sight. Glaucoma is incurable, and if not managed, can lead to blindness. Generally, the first line of treatment consists of a prostaglandin analogue (PGA) eye drop regimen. As the disease progresses, non-PGA products are generally added as a second line treatment. Topical agents, other than PGAs, include beta blockers, alpha agonists, miotics and steroids. According to a 2013 article in </w:t>
      </w:r>
      <w:r>
        <w:rPr>
          <w:rFonts w:ascii="Arial" w:cs="Arial" w:eastAsia="Arial" w:hAnsi="Arial"/>
          <w:sz w:val="16"/>
          <w:szCs w:val="16"/>
          <w:i w:val="1"/>
          <w:iCs w:val="1"/>
          <w:color w:val="auto"/>
        </w:rPr>
        <w:t>Glaucoma Today</w:t>
      </w:r>
      <w:r>
        <w:rPr>
          <w:rFonts w:ascii="Arial" w:cs="Arial" w:eastAsia="Arial" w:hAnsi="Arial"/>
          <w:sz w:val="16"/>
          <w:szCs w:val="16"/>
          <w:color w:val="auto"/>
        </w:rPr>
        <w:t>, up to 50% of glaucoma patients require more than one drug following a few months of initial treatment and there is a direct correlation between the number of glaucoma bottles and decreased adherence; however, the FDA has yet to approve a PGA combination product despite combination products including a PGA (Xalacom</w:t>
      </w:r>
      <w:r>
        <w:rPr>
          <w:rFonts w:ascii="Arial" w:cs="Arial" w:eastAsia="Arial" w:hAnsi="Arial"/>
          <w:sz w:val="26"/>
          <w:szCs w:val="26"/>
          <w:color w:val="auto"/>
          <w:vertAlign w:val="superscript"/>
        </w:rPr>
        <w:t>®</w:t>
      </w:r>
      <w:r>
        <w:rPr>
          <w:rFonts w:ascii="Arial" w:cs="Arial" w:eastAsia="Arial" w:hAnsi="Arial"/>
          <w:sz w:val="16"/>
          <w:szCs w:val="16"/>
          <w:color w:val="auto"/>
        </w:rPr>
        <w:t>, DuoTrav</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Ganfort</w:t>
      </w:r>
      <w:r>
        <w:rPr>
          <w:rFonts w:ascii="Arial" w:cs="Arial" w:eastAsia="Arial" w:hAnsi="Arial"/>
          <w:sz w:val="26"/>
          <w:szCs w:val="26"/>
          <w:color w:val="auto"/>
          <w:vertAlign w:val="superscript"/>
        </w:rPr>
        <w:t>®</w:t>
      </w:r>
      <w:r>
        <w:rPr>
          <w:rFonts w:ascii="Arial" w:cs="Arial" w:eastAsia="Arial" w:hAnsi="Arial"/>
          <w:sz w:val="16"/>
          <w:szCs w:val="16"/>
          <w:color w:val="auto"/>
        </w:rPr>
        <w:t>) available outside of the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According to a 2017 </w:t>
      </w:r>
      <w:r>
        <w:rPr>
          <w:rFonts w:ascii="Arial" w:cs="Arial" w:eastAsia="Arial" w:hAnsi="Arial"/>
          <w:sz w:val="18"/>
          <w:szCs w:val="18"/>
          <w:i w:val="1"/>
          <w:iCs w:val="1"/>
          <w:color w:val="auto"/>
        </w:rPr>
        <w:t>Market Scope</w:t>
      </w:r>
      <w:r>
        <w:rPr>
          <w:rFonts w:ascii="Arial" w:cs="Arial" w:eastAsia="Arial" w:hAnsi="Arial"/>
          <w:sz w:val="18"/>
          <w:szCs w:val="18"/>
          <w:color w:val="auto"/>
        </w:rPr>
        <w:t xml:space="preserve"> report, the glaucoma pharmaceuticals market is expected to reach $5.3 billion in 2022.</w:t>
      </w:r>
    </w:p>
    <w:p>
      <w:pPr>
        <w:spacing w:after="0" w:line="20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Dry eye occurs when the eye does not produce enough tears, or when the tears are not of the correct consistency and evaporate too quickly. Inflammation of the surface of the eye may also occur. We believe that dry eye disease (“DED”) affects over 30 million people in the U.S., and a major epidemiological study, the Beaver Dam Offspring Study, published in 2014 in the </w:t>
      </w:r>
      <w:r>
        <w:rPr>
          <w:rFonts w:ascii="Arial" w:cs="Arial" w:eastAsia="Arial" w:hAnsi="Arial"/>
          <w:sz w:val="16"/>
          <w:szCs w:val="16"/>
          <w:i w:val="1"/>
          <w:iCs w:val="1"/>
          <w:color w:val="auto"/>
        </w:rPr>
        <w:t>American Journal of Ophthalmology</w:t>
      </w:r>
      <w:r>
        <w:rPr>
          <w:rFonts w:ascii="Arial" w:cs="Arial" w:eastAsia="Arial" w:hAnsi="Arial"/>
          <w:sz w:val="16"/>
          <w:szCs w:val="16"/>
          <w:color w:val="auto"/>
        </w:rPr>
        <w:t xml:space="preserve">, reported that in a cohort of over 3,000 patients, DED was self-reported by 14.5% of the patients. According to a 2017 </w:t>
      </w:r>
      <w:r>
        <w:rPr>
          <w:rFonts w:ascii="Arial" w:cs="Arial" w:eastAsia="Arial" w:hAnsi="Arial"/>
          <w:sz w:val="16"/>
          <w:szCs w:val="16"/>
          <w:i w:val="1"/>
          <w:iCs w:val="1"/>
          <w:color w:val="auto"/>
        </w:rPr>
        <w:t>Market Scope</w:t>
      </w:r>
      <w:r>
        <w:rPr>
          <w:rFonts w:ascii="Arial" w:cs="Arial" w:eastAsia="Arial" w:hAnsi="Arial"/>
          <w:sz w:val="16"/>
          <w:szCs w:val="16"/>
          <w:color w:val="auto"/>
        </w:rPr>
        <w:t xml:space="preserve"> report, the global dry eye treatments market is expected to grow from $3.7 billion in 2017 to $4.9 billion in 2022. Dry eye is among the most common conditions seen by eyecare professionals.</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Presbyopia is the normal loss of near focusing ability that occurs with age. Most people begin to notice the effects of presbyopia sometime after age 40, when they start having trouble seeing small print clearly. According to an </w:t>
      </w:r>
      <w:r>
        <w:rPr>
          <w:rFonts w:ascii="Arial" w:cs="Arial" w:eastAsia="Arial" w:hAnsi="Arial"/>
          <w:sz w:val="16"/>
          <w:szCs w:val="16"/>
          <w:i w:val="1"/>
          <w:iCs w:val="1"/>
          <w:color w:val="auto"/>
        </w:rPr>
        <w:t>American Academy of Ophthalmology</w:t>
      </w:r>
      <w:r>
        <w:rPr>
          <w:rFonts w:ascii="Arial" w:cs="Arial" w:eastAsia="Arial" w:hAnsi="Arial"/>
          <w:sz w:val="16"/>
          <w:szCs w:val="16"/>
          <w:color w:val="auto"/>
        </w:rPr>
        <w:t xml:space="preserve"> report from 2018, there are an estimated 1.8 billion people worldwide who suffer from presbyopia, with eye glasses (more commonly referred to as “readers”) being the most common treatment option. Based on our understanding, there are currently four eyedrops undergoing clinical trials/development in the U.S. aiming to be first to market topical eye drops to treat the symptoms associated with presbyopia. We believe most of these are designed to enhance depth of field via a “pinhole effect” and in one case to reduce lens stiffening; and some of these medications could be synergistic with each other or combined with refractive surgery to enhance outcomes. However, as of the date of this Annual Report, none of these drug candidates has received market approval from the FDA.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 markets outside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the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cGMPs or other FDA guidance documents and being subject to regular FDA inspection.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ownership interests in Surface, Melt, and Eton Pharmaceuticals, Inc. (“Eton”)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NDA where at least some of the information required for approval comes from studies not conducted by or for the applicant and for which the applicant has not obtained a right of reference.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2018 and 2019, we formed and created subsidiaries named Radley Pharmaceuticals, Inc. (“Radley”), Mayfield Pharmaceuticals, Inc. (“Mayfield”), and Stowe Pharmaceuticals, Inc. (“Stowe”). In 2020, we halted nearly all operating activities related to these subsidiaries to invest resources in other areas, and we may not restart any or all activities related to these businesses. In addition, we terminated license and acquisition agreements for Mayfield’s MAY-66 and MAY-44 drug candidates, and Stowe’s STE-006 drug candidate.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55" w:lineRule="auto"/>
        <w:rPr>
          <w:sz w:val="20"/>
          <w:szCs w:val="20"/>
          <w:color w:val="auto"/>
        </w:rPr>
      </w:pPr>
      <w:r>
        <w:rPr>
          <w:rFonts w:ascii="Arial" w:cs="Arial" w:eastAsia="Arial" w:hAnsi="Arial"/>
          <w:sz w:val="18"/>
          <w:szCs w:val="18"/>
          <w:color w:val="auto"/>
        </w:rPr>
        <w:t>In January 2021, Surface announced positive top-line results from a Phase 2 trial of its drug candidate SURF-201, a 0.2% betamethasone, preservative-free ophthalmic solution in the Klarity delivery vehicle for the treatment of post cataract surgery pain and inflammation.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 SURF-201 marks the first ophthalmic therapeutic in the United States to utilize betamethasone and the first preservative-free unit dose therapy for the treatment of post-operative pain and inflammation.</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Also in January 2021, Surface announced the first patient dosed in a head-to-head Phase 2 trial for its drug candidate SURF-100 (mycophenolate sodium and betamethasone in Klarity vehicle) for the treatment of chronic dry eye disease. The head-to-head study will compare SURF-100 against leading on-market competitors lifitegrast ophthalmic solution 5% (marketed as Xiidra®) and cyclosporine ophthalmic emulsion 0.05% (marketed as Restasis®).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Surface announced the first patient dosed in a Phase 2 trial for its drug candidate SURF-200 (betamethasone in Klarity vehicle) for the treatment of episodic dry eye flares. The dose ranging study for SURF-200 will be administered in two different low concentration formulations of betamethasone in the Klarity vehicle. The trial will enroll 120 to 140 patients with a primary endpoint of Symptom Improvement of one unit based on the University of North Carolina Dry Eye Management Scale by the eighth day.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is approximately 20% of the equity and voting interests as of December 31, 2021. Harrow owns mid-single digit royalty rights on net sales of SURF-100, SURF-200 and SURF-201.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recently began enrolling patients in its Phase 2 study for MELT-300.</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2019, Melt closed an offering of its Series A Preferred Stock. At that time, we lost our controlling interest and deconsolidated Melt from our consolidated financial statements. We own 3,500,000 shares of Melt common stock, which was approximately 46% of the equity and voting interests issued and outstanding as of December 31, 2021. In September 2021, we provided Melt with a senior secured loan in the amount of $13,500,000, which is intended to fund the Phase 2 program of MELT-300. In connection with the loan, we also were provided the right, but not the obligation, to match any offer received by Melt associated with the commercial rights to any of its drug candidates for a period of five years. 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Eton is a commercial-stage pharmaceutical company focused on developing and commercializing innovative drug products. Its pipeline includes several products and drug candidates in various stages of development across a variety of dosage forms. In May 2017, Eton closed an offering of its Series A Preferred Stock, as a result of which we gave up our controlling interest in it. In November 2018, Eton completed an initial public offering of its common stock. We own 1,982,000 shares of Eton common stock, which is less than 10% of Eton’s equity and voting interests issued and outstanding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focus of our sales and marketing is in the U.S. We do, however, believe that our proprietary drug formulations, drug candidates and drug products could have commercial appeal in international markets, and in the past we have engaged distributors and entered into out-licensing arrangements for certain of our proprietary formulations in certain non-U.S. markets, including Canada. Our sales and marketing efforts are currently organized into two teams, the larger of which focuses on our ophthalmology pharmaceutical business and the other on our non-ophthalmology pharmaceutical compounding business. Our sales and marketing activities consist primarily of efforts to educate doctors, ambulatory surgery centers, healthcare systems, hospitals and other users throughout the U.S. about our compounded formulations. We expect that we may experience growth in the sales of our proprietary pharmaceutical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902" w:gutter="0" w:footer="0" w:header="0"/>
        </w:sectPr>
      </w:pPr>
    </w:p>
    <w:bookmarkStart w:id="8" w:name="page9"/>
    <w:bookmarkEnd w:id="8"/>
    <w:p>
      <w:pPr>
        <w:jc w:val="both"/>
        <w:ind w:firstLine="648"/>
        <w:spacing w:after="0" w:line="257" w:lineRule="auto"/>
        <w:rPr>
          <w:sz w:val="20"/>
          <w:szCs w:val="20"/>
          <w:color w:val="auto"/>
        </w:rPr>
      </w:pPr>
      <w:r>
        <w:rPr>
          <w:rFonts w:ascii="Arial" w:cs="Arial" w:eastAsia="Arial" w:hAnsi="Arial"/>
          <w:sz w:val="18"/>
          <w:szCs w:val="18"/>
          <w:color w:val="auto"/>
        </w:rPr>
        <w:t>We expect to continue to acquire and/or develop additional FDA-approved ophthalmic drugs that allow us to leverage the commercial infrastructure of ImprimisRx to promote, sell, and ultimately bring these products to market. As we execute this strategy, we will likely expand our sales and marketing team, expertise and expenses. This would include the addition of market access expertise and team members, where roles include discussions with payors regarding the costs and benefits of our products for their members, assisting with the addition of our products to the medical policy of payors, and providing the market with assistance regarding reimbursement queries.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entered into various sales and marketing agreements with certain organizations to provide exclusive sales and marketing representation services to ImprimisRx in select geographies in the U.S., in connection with our pharmaceutical products and compounded formulations. Under the terms of the sales and marketing agreements, we are required to make commission payments, generally equal to 10% to 14% of net sales for products above and beyond the initial existing sales amounts. In addition, we are required to make periodic milestone payments to certain organizations in shares of our restricted common stock if net sales in the assigned territory reach certain future levels by the end of their terms, as applicable. We believe these sales and marketing agreements will continue to accelerate launches of our new ophthalmology programs and limit our initial capital requirements commonly associated with new product launches and increased sizes of sales forces.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some of our compounded formulations in accordance with cGMP standards and our other formulations are produced according to the standards provided by United States Pharmacopoeia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operating under Section 503A of the FDCA,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business may not be scalable on the scope available to our competitors that produce FDA-approved drugs, which may limit our potential for profitable operations. These facets of our operations may subject our business to limitations our competitors offering FDA-approved drugs may not face.</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are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Reimbursement Options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Dexycu is covered under Medicare Part B, and we are developing drug candidates that we believe will be covered under Medicare Part B. New drugs approved by the FDA that are used in surgeries performed in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the Centers for Medicare &amp; Medicaid Services (“CMS”), pass-through status applies for a period of three years, measured from the date Medicare makes its first pass-through payment for the product, following which the product would be incorporated into the cataract bundled payment system, which could significantly reduce the pricing for that product. Following expiration of pass-through status, under current CMS policy, non-opioid pain management surgical drugs when used on Medicare Part B patients in the ASC setting can qualify for ongoing separate payment. CMS’ current non-opioid separate payment policy, like other CMS policies, can be changed by CMS through its annual rulemaking and comment process. We believe that CMS will continue its separate payment policy for non-opioid pain management surgical drugs, which has been in effect since 2019.</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working with outside consultants to potentially gain an extension to the transitional payment system, or to separate the drug payment from the bundled cataract surgery payment after the three-year transitional payment ends and continue to be reimbursed separately for a longer period of time, potentially through patent life. Unless extended, Dexycu transitional pass-through reimbursement status will expire on December 31, 2022, which will have an adverse impact on our commission revenues from this product.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proprietary ophthalmic compounded formulations are currently primarily available on a cash-pay basis. However, MOXEZA, MAXITROL and IOPIDINE, are and we expect that other drug candidates we are developing, if approved, will be eligible for reimbursement by third-party payors. We may devote time and other resources to seek reimbursement and patient pay opportunities for these and other drug products and candidates. However, we may be unsuccessful in achieving these goals, as many third-party payors have imposed significant challenges for products to be eligible for reimbursement in recent years. Moreover, third-party payors, including Medicare, are increasingly attempting to contain health care costs by limiting coverage and the level of reimbursement for new drugs and, in some cases, by refusing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conceivably have a material adverse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drug products and candidates available to more patients and at optimized pricing levels. However, if government and other third-party payors do not provide adequate coverage and reimbursement levels for our drug products and candidates, the market acceptance and opportunity for them may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March 1, 2022, we owned and/or licensed 117 total issued and pending patent applications, which includes 18 U.S. issued patents, 11 international issued patents, and 88 U.S. and foreign/international patent pending applications. We expect to file additional patent applications in the U.S. and pursue patent protection for certain of our formulations in other important international jurisdictions in the future.</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As of March 1, 2022, we had, on a worldwide basis, 162 issued trademarks, pending trademark and copyright applications, or registered copyright and/or trademarks including, but not limited to: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Harrow Health</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Cataract Therapy</w:t>
      </w:r>
      <w:r>
        <w:rPr>
          <w:rFonts w:ascii="Arial" w:cs="Arial" w:eastAsia="Arial" w:hAnsi="Arial"/>
          <w:sz w:val="29"/>
          <w:szCs w:val="29"/>
          <w:color w:val="auto"/>
          <w:vertAlign w:val="superscript"/>
        </w:rPr>
        <w:t>®</w:t>
      </w:r>
      <w:r>
        <w:rPr>
          <w:rFonts w:ascii="Arial" w:cs="Arial" w:eastAsia="Arial" w:hAnsi="Arial"/>
          <w:sz w:val="18"/>
          <w:szCs w:val="18"/>
          <w:color w:val="auto"/>
        </w:rPr>
        <w:t>, Dropless Therapy</w:t>
      </w:r>
      <w:r>
        <w:rPr>
          <w:rFonts w:ascii="Arial" w:cs="Arial" w:eastAsia="Arial" w:hAnsi="Arial"/>
          <w:sz w:val="29"/>
          <w:szCs w:val="29"/>
          <w:color w:val="auto"/>
          <w:vertAlign w:val="superscript"/>
        </w:rPr>
        <w:t>®</w:t>
      </w:r>
      <w:r>
        <w:rPr>
          <w:rFonts w:ascii="Arial" w:cs="Arial" w:eastAsia="Arial" w:hAnsi="Arial"/>
          <w:sz w:val="18"/>
          <w:szCs w:val="18"/>
          <w:color w:val="auto"/>
        </w:rPr>
        <w:t>, MKO Melt</w:t>
      </w:r>
      <w:r>
        <w:rPr>
          <w:rFonts w:ascii="Arial" w:cs="Arial" w:eastAsia="Arial" w:hAnsi="Arial"/>
          <w:sz w:val="29"/>
          <w:szCs w:val="29"/>
          <w:color w:val="auto"/>
          <w:vertAlign w:val="superscript"/>
        </w:rPr>
        <w:t>®</w:t>
      </w:r>
      <w:r>
        <w:rPr>
          <w:rFonts w:ascii="Arial" w:cs="Arial" w:eastAsia="Arial" w:hAnsi="Arial"/>
          <w:sz w:val="18"/>
          <w:szCs w:val="18"/>
          <w:color w:val="auto"/>
        </w:rPr>
        <w:t>, and Simple Drops</w:t>
      </w:r>
      <w:r>
        <w:rPr>
          <w:rFonts w:ascii="Arial" w:cs="Arial" w:eastAsia="Arial" w:hAnsi="Arial"/>
          <w:sz w:val="29"/>
          <w:szCs w:val="29"/>
          <w:color w:val="auto"/>
          <w:vertAlign w:val="superscript"/>
        </w:rPr>
        <w:t>®</w:t>
      </w:r>
      <w:r>
        <w:rPr>
          <w:rFonts w:ascii="Arial" w:cs="Arial" w:eastAsia="Arial" w:hAnsi="Arial"/>
          <w:sz w:val="18"/>
          <w:szCs w:val="18"/>
          <w:color w:val="auto"/>
        </w:rPr>
        <w:t>. We may choose to pursue trademark protection in other jurisdictions for any one or more of these or other marks in the future.</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(“HIPAA”); the Health Care Reform Law; statutes and regulations of the FDA, the U.S. Federal Trade Commission,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complexity of the current state and federal regulatory environment, as well as the expected continued evolution of state and federal laws governing pharmaceutical compounding, have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FDA New Drug Application Process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in other sections of this Annual Report, we are pursing, and may continue to pursue, alone or with project partners, FDA approval to market and sell one or more of our formulations through the FDA’s NDA process.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New Drug Applications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Section 505(b)(2) path to approval are drugs that have a new dosage form, strength, route of administration, formulation or indication. The AMP-100 NDA that was submitted and we expect the MAQ-100 NDA will be submitted as Section 505(b)(2) NDAs.</w:t>
      </w:r>
    </w:p>
    <w:p>
      <w:pPr>
        <w:spacing w:after="0" w:line="19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w:t>
      </w:r>
    </w:p>
    <w:p>
      <w:pPr>
        <w:spacing w:after="0" w:line="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listed patent has expired; (iii) the listed patent has not expired, but will expire on a particular date and approval is sought after patent expiration; or</w:t>
      </w:r>
    </w:p>
    <w:p>
      <w:pPr>
        <w:spacing w:after="0" w:line="32" w:lineRule="exact"/>
        <w:rPr>
          <w:rFonts w:ascii="Arial" w:cs="Arial" w:eastAsia="Arial" w:hAnsi="Arial"/>
          <w:sz w:val="16"/>
          <w:szCs w:val="16"/>
          <w:color w:val="auto"/>
        </w:rPr>
      </w:pPr>
    </w:p>
    <w:p>
      <w:pPr>
        <w:jc w:val="both"/>
        <w:ind w:firstLine="8"/>
        <w:spacing w:after="0" w:line="253" w:lineRule="auto"/>
        <w:tabs>
          <w:tab w:leader="none" w:pos="30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listed patent is invalid or will not be infringed by the new product. The Section 505(b)(2) application also will not be approved until any non-patent exclusivity, such as exclusivity for obtaining approval of a new chemical entity, listed in the Orange Book for the reference product has expired. Thus, the Section 505(b)(2) applicant may invest a significant amount of time and expense in the development of its products only to be subject to significant delay and patent litigation before its products may be commercialized.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Regulation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acceptable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that are produced, and greater accuracy and uniformity in finished medications, as larger batches decrease the variation caused by preparing multiple, smaller batches. Based on our history of meeting the needs of our customers, we are able to anticipatorily compound batches of our formulations for our customers, per the applicable regulations.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9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Further, under federal law, Section 503A of the FDCA previously had language that implied a limitation of the amount of compounded products that a pharmacy can distribute interstate. The interpretation and enforcement of this provision is dependent on the FDA entering into a standard Memorandum of Understanding (“MOU”) with each state setting forth limits on shipments of interstate compounding. In January of 2019, the FDA released the “2018 Compounding Policy Priorities Plan” (the “2018 Compounding Plan”) which provided an overview of the key priorities the FDA planned to focus on in 2018 in connection with compounding regulations. One of the priorities outlined in the 2018 Compounding Plan addressed the FDA’s plan to release a revised MOU (the “Revised MOU”). Pursuant to the statements in the 2018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On October 27, 2020, the FDA announced availability of a final MOU, Addressing Certain Distributions of Compounded Human Drug Products Between the State Board of Pharmacy or Other Appropriate State Agency and the Food and Drug Administration (the “Final MOU”). The Final MOU describes the responsibilities of a state board of pharmacy, or other appropriate 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the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5% limit on compounded drugs distributed outside the state by a pharmacist, pharmacy or physician located in a state that has not entered into the Final MOU. States have 365 days to sign the Final MOU, before the FDA intends to enforce the 5% limit described in Section 503A of the FDCA in states that have not signed the Final MOU. Our pharmacy is based in the state of New Jersey, and based on feedback we have received from the state board of pharmacy in New Jersey, we believe the state board of pharmacy in New Jersey will sign the Final MOU and as a result, our operations will not be materially affected by the Final MOU. In the event New Jersey does not sign the Final MOU, our pharmacy that operates under Section 503A may be materially affected and we will transition as many prescription orders as possible to our outsourcing facility, which is not subject to the Final MOU.</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2022, the FDA said it would suspend implementation of the Final MOU and engage in a formal rulemaking process. During the rulemaking process, the agency will not enter into new agreements with states based on the Final MOU. The FDA does not expect states that have signed the Final MOU to carry out the activities described in the Final MOU. Thus, there is no reporting requirement for any pharmacy concerning interstate shipments pursuant to Section 503A and will not be until the Final MOU is finalized through the rulemaking process, which will include the engagement of a notice-and-comment and rulemaking period to implement certain provisions of Section 503A. The agency indicated that the process may take “several years” to complete. In the same announcement, the FDA stated it does not intend to enforce the statutory 5% limit on the distribution of compounded drugs out of the state in which they are compounded by compounders located in states that do not sign the Final MOU for the duration of the rulemaking process.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provisions of the FDCA govern the preparation, handling, storage, marketing and distribution of pharmaceutical products. The Drug Quality and Security Act of 2013 (the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ind w:firstLine="648"/>
        <w:spacing w:after="0" w:line="269" w:lineRule="auto"/>
        <w:rPr>
          <w:sz w:val="20"/>
          <w:szCs w:val="20"/>
          <w:color w:val="auto"/>
        </w:rPr>
      </w:pPr>
      <w:r>
        <w:rPr>
          <w:rFonts w:ascii="Arial" w:cs="Arial" w:eastAsia="Arial" w:hAnsi="Arial"/>
          <w:sz w:val="17"/>
          <w:szCs w:val="17"/>
          <w:color w:val="auto"/>
        </w:rPr>
        <w:t xml:space="preserve">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distributing them out of state without limitation, if the drug formulations appear on the FDA’s drug shortage list or the bulk drug substances contained in the formulations appear on a “clinical need” list to be established by the FDA. In January 2017, the FDA issued </w:t>
      </w:r>
      <w:r>
        <w:rPr>
          <w:rFonts w:ascii="Arial" w:cs="Arial" w:eastAsia="Arial" w:hAnsi="Arial"/>
          <w:sz w:val="17"/>
          <w:szCs w:val="17"/>
          <w:i w:val="1"/>
          <w:iCs w:val="1"/>
          <w:color w:val="auto"/>
        </w:rPr>
        <w:t>Interim Policy on Compounding Using Bulk Drug Substances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Under Section 503B of the FFDCA </w:t>
      </w:r>
      <w:r>
        <w:rPr>
          <w:rFonts w:ascii="Arial" w:cs="Arial" w:eastAsia="Arial" w:hAnsi="Arial"/>
          <w:sz w:val="17"/>
          <w:szCs w:val="17"/>
          <w:color w:val="auto"/>
        </w:rPr>
        <w:t>(“Interim Policy”) that informs stakeholders about how the FDA intends to exercise its enforcement discretion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compounding with those substances on a “Category 1 list” while the agency compiles and evaluates its clinical needs list, as well as in March 2019 the FDA issued </w:t>
      </w:r>
      <w:r>
        <w:rPr>
          <w:rFonts w:ascii="Arial" w:cs="Arial" w:eastAsia="Arial" w:hAnsi="Arial"/>
          <w:sz w:val="17"/>
          <w:szCs w:val="17"/>
          <w:i w:val="1"/>
          <w:iCs w:val="1"/>
          <w:color w:val="auto"/>
        </w:rPr>
        <w:t>Evaluation of Bulk Substances Nominated for Use in Compounding Under Section 503B of the Federal Food, Drug and Cosmetic Act</w:t>
      </w:r>
      <w:r>
        <w:rPr>
          <w:rFonts w:ascii="Arial" w:cs="Arial" w:eastAsia="Arial" w:hAnsi="Arial"/>
          <w:sz w:val="17"/>
          <w:szCs w:val="17"/>
          <w:color w:val="auto"/>
        </w:rPr>
        <w:t xml:space="preserve"> which provides further guidance as to the FDA’s policy for evaluating bulk drug substances nominated for use in compounding by outsourcing facilities. Entities voluntarily registering as outsourcing facilities are subject to cGMP requirements and regular FDA inspection, among other requirements. As described above, our current pharmacy operations in NJ are governed by Section 503A of the FDCA, and our New Jersey based outsourcing facility is governed by Section 503B of the FDCA.</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 In addition, during September 2020 through January 2021, NJOF was inspected by the FDA (the “2020 Inspection”) and certain observations were made by FDA in a Form</w:t>
      </w:r>
    </w:p>
    <w:p>
      <w:pPr>
        <w:spacing w:after="0" w:line="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Five observations made during the 2020 Inspection were considered repeat observations from a 2017 FDA inspection of NJOF. In addition, during the</w:t>
      </w:r>
    </w:p>
    <w:p>
      <w:pPr>
        <w:spacing w:after="0" w:line="32"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2020 Inspection, the FDA noted that we were compounding drugs for which there is no change that produces for an individual patient a clinical difference,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two recent California federal court decisions, </w:t>
      </w:r>
      <w:r>
        <w:rPr>
          <w:rFonts w:ascii="Arial" w:cs="Arial" w:eastAsia="Arial" w:hAnsi="Arial"/>
          <w:sz w:val="17"/>
          <w:szCs w:val="17"/>
          <w:i w:val="1"/>
          <w:iCs w:val="1"/>
          <w:color w:val="auto"/>
        </w:rPr>
        <w:t>Allergan USA, Inc. v. Prescribers Choice, Inc.</w:t>
      </w:r>
      <w:r>
        <w:rPr>
          <w:rFonts w:ascii="Arial" w:cs="Arial" w:eastAsia="Arial" w:hAnsi="Arial"/>
          <w:sz w:val="17"/>
          <w:szCs w:val="17"/>
          <w:color w:val="auto"/>
        </w:rPr>
        <w:t xml:space="preserve"> and </w:t>
      </w:r>
      <w:r>
        <w:rPr>
          <w:rFonts w:ascii="Arial" w:cs="Arial" w:eastAsia="Arial" w:hAnsi="Arial"/>
          <w:sz w:val="17"/>
          <w:szCs w:val="17"/>
          <w:i w:val="1"/>
          <w:iCs w:val="1"/>
          <w:color w:val="auto"/>
        </w:rPr>
        <w:t>Allergan USA, Inc. v. Imprimis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Inc., </w:t>
      </w:r>
      <w:r>
        <w:rPr>
          <w:rFonts w:ascii="Arial" w:cs="Arial" w:eastAsia="Arial" w:hAnsi="Arial"/>
          <w:sz w:val="17"/>
          <w:szCs w:val="17"/>
          <w:color w:val="auto"/>
        </w:rPr>
        <w:t>the Court made rulings which impact 503B and 503A facilities operating in and shipping to the state of California. In the</w:t>
      </w:r>
      <w:r>
        <w:rPr>
          <w:rFonts w:ascii="Arial" w:cs="Arial" w:eastAsia="Arial" w:hAnsi="Arial"/>
          <w:sz w:val="17"/>
          <w:szCs w:val="17"/>
          <w:i w:val="1"/>
          <w:iCs w:val="1"/>
          <w:color w:val="auto"/>
        </w:rPr>
        <w:t xml:space="preserve"> Prescribers Choice </w:t>
      </w:r>
      <w:r>
        <w:rPr>
          <w:rFonts w:ascii="Arial" w:cs="Arial" w:eastAsia="Arial" w:hAnsi="Arial"/>
          <w:sz w:val="17"/>
          <w:szCs w:val="17"/>
          <w:color w:val="auto"/>
        </w:rPr>
        <w:t>case, the Court determined that while the FDA’s interim policies do not override the statutory obligations of the DQSA, the Court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supported the FDA’s authority and flexibility as it determines what clinical needs exist and finalizes the bulk drug substances list. The Court would not hold a party liable under California’s Sherman Food, Drug and Cosmetic Law (“Sherman Law”) for selling, delivering, or giving away any new drug that has not been approved by the California Department of Health Services or FDA if that party has complied with the FDA’s Interim Policy. In other words, it is not unlawful in California to utilize bulk drugs appearing on the Category 1 list while the FDA finalizes its clinical needs list. In the </w:t>
      </w:r>
      <w:r>
        <w:rPr>
          <w:rFonts w:ascii="Arial" w:cs="Arial" w:eastAsia="Arial" w:hAnsi="Arial"/>
          <w:sz w:val="17"/>
          <w:szCs w:val="17"/>
          <w:i w:val="1"/>
          <w:iCs w:val="1"/>
          <w:color w:val="auto"/>
        </w:rPr>
        <w:t>Imprimis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w:t>
      </w:r>
      <w:r>
        <w:rPr>
          <w:rFonts w:ascii="Arial" w:cs="Arial" w:eastAsia="Arial" w:hAnsi="Arial"/>
          <w:sz w:val="17"/>
          <w:szCs w:val="17"/>
          <w:color w:val="auto"/>
        </w:rPr>
        <w:t>case, the Court made clear that its rulings related to violations of California’s Unfair Competition Law (“UCL”) (Cal. Bus. Prof. Code</w:t>
      </w:r>
      <w:r>
        <w:rPr>
          <w:rFonts w:ascii="Arial" w:cs="Arial" w:eastAsia="Arial" w:hAnsi="Arial"/>
          <w:sz w:val="17"/>
          <w:szCs w:val="17"/>
          <w:i w:val="1"/>
          <w:iCs w:val="1"/>
          <w:color w:val="auto"/>
        </w:rPr>
        <w:t xml:space="preserve"> </w:t>
      </w:r>
      <w:r>
        <w:rPr>
          <w:rFonts w:ascii="Arial" w:cs="Arial" w:eastAsia="Arial" w:hAnsi="Arial"/>
          <w:sz w:val="17"/>
          <w:szCs w:val="17"/>
          <w:color w:val="auto"/>
        </w:rPr>
        <w:t>§17200) were limited in geographical scope to drugs prepared in, dispensed from within or shipped to the State of California. With respect to 503A facilities, the Court followed FDA’s guidance allowing compounding pharmacies to ship more than 5% of its medications out of state while finalizing the MOUs. It further held that 503A facilities operating within or shipping into the state of California must follow statutory guidance found in 21 U.S.C. 353(a). With respect to the statutory guidance related to compounding in response to valid prescription orders, the Court added a requirement that the valid prescription order must contain language that “an FDA-approved drug is not medically appropriate.” The practical effect of these two rulings is that 503A and 503B facilities operating within or shipping drugs into the State of California now have clear guidance as to what is, and is not, lawful behavior with respect the California’s UCL and Sherman Law.</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compounded formulations in accordance with the standards provided by the USP &lt;795&gt; and USP &lt;797&gt; and applicable state and federal law. In September 2021, USP announced proposed revisions to USP &lt;795&gt; and &lt;797&gt; for public comment. The proposed revisions include limitations on, among others, beyond use dating of sterile and preservative-free products and on batch sizes. After a comment and review period, we expect USP to announce the final revisions to USP guidelines in 2022 or 2023 with an effective date some time in 2023 or 2024. If adopted as originally proposed, the proposed revisions to USP &lt;797&gt; would likely have a negative impact on revenues generated from our 503A compounding pharmacy and limit the number of products we could sell from our 503A pharmacy.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Confidentiality, Privacy and HIPAA</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and certain other countries have enacted privacy and security laws that protect identifiable patient information that is not health-related. For example, California recently enacted the California Consumer Privacy Act (the “CCPA”) that creates new individual privacy rights for consumers and places increased privacy and security obligations on entities handling personal data of consumers or households. Effective January 1, 2020, the CCPA gives California residents expanded privacy rights and protections, and provides civil penalties for violations and a private right of action for data breaches. The CCPA will likely impact our business activities and exemplifies the vulnerability of our business to not only cyber threats but also the evolving regulatory environment related to personal data and protected health information.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Medicaid Reimbursement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of whom may have inadequate or no medical insurance. Currently, most of our compounded formulations are sold in cash transactions, and the customers decide whether or not to seek reimbursement opportunities from Medicare, Medicaid and other third parties.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Care Reform Law may have a considerable impact on the existing U.S. system for the delivery and financing of health care and could conceivably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we obtain third-party reimbursement for our drug products, drug candidates, and compounded formulations, we may become subject to Medicare, Medicaid and other publicly financed health benefit plan regulations prohibiting kickbacks, beneficiary inducement and the submission of false 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pursue commercialization of our proprietary formulations in countries other than the United States,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Other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pandemic caused by an outbreak of a new strain of coronavirus, or the COVID-19 pandemic, that is affecting the U.S. and global economy and financial markets and the related responses of government, businesses and individuals are impacting our employees, patients, communities and business operations. The implementation of travel bans and restrictions, quarantines, shelter-in-place/stay-at-home and social distancing orders and shutdowns, for example, affected our business in 2020 and 2021. The full extent to which the COVID-19 pandemic will continue to directly or indirectly impact our business, results of operations and financial condition and those of our customers, vendors, suppliers, and collaboration partners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Management continues to actively monitor this situation and the possible effects on our financial condition, liquidity, operations, suppliers, industry, and workforce. In the paragraphs that follow, we have described impacts of the COVID-19 pandemic on our clinical development programs. For additional information on risks posed by the COVID-19 pandemic, please see “Item 1A — Risk Factors,” included elsewhere in this Annual Report on Form 10-K.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686"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research and development (“R&amp;D”) expenses incurred in 2021 and 2020 primarily include expenses related to the upfront and milestone payments from the acquisition and licensing of technology for drug and product candidates that are not yet approved by the FDA (acquired in-process R&amp;D), development of intellectual property, researcher and investigator-initiated evaluations, and formulation development related primarily to our ophthalmic formulations and certain other assets, in addition to costs associated with our drug candidate development programs.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2021, we incurred $11,084,000 in R&amp;D expenses, compared to $2,413,000 during the year ended December 31, 2020. The increase is related to milestone payments and the $8,117,000 payment to Sintetica related to our acquisition of rights to AMP-100 along with increased costs associated with the clinical program for MAQ-100.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Management evaluated the Company’s 2021 performance based on operating segments. Segment performance for its two operating segments was based on segment contribution. Our reportable segments consisted of (i) our commercial stage pharmaceutical business (Pharmaceutical Compounding), generally including the operations of our ImprimisRx business; and (ii) our start-up operations associated with our pharmaceutical drug development business (Pharmaceutical Drug Development). Segment contribution for our segments represented net revenues less cost of sales, R&amp;D expenses, selling and marketing expenses, and select general and administrative expenses. Management did not evaluate the following items at the segment level:</w:t>
      </w:r>
    </w:p>
    <w:p>
      <w:pPr>
        <w:spacing w:after="0" w:line="161" w:lineRule="exact"/>
        <w:rPr>
          <w:sz w:val="20"/>
          <w:szCs w:val="20"/>
          <w:color w:val="auto"/>
        </w:rPr>
      </w:pPr>
    </w:p>
    <w:p>
      <w:pPr>
        <w:ind w:left="1300" w:right="2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general and administrative expenses that result from shared infrastructure, including certain expenses associated with legal matters, our board of directors and principal executive officers, investor relations and other like shared expenses;</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select revenues and operating expenses including R&amp;D expenses, amortization, and asset sales and impairments, net as not all such information has been accounted for at the segment level, or such information has not been used by both segments; and</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defined segment net revenues as pharmaceutical compounded drug sales, revenues from licenses and other revenues derived from related agreements.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consisted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in 2022, due to shifts in the Company’s strategic plans to further focus on growing the Company’s ImprimisRx business and suspension of activities related to starting up development-stage pharmaceutical companies, along with changes to the Company’s organizational and internal reporting structure, management will no longer evaluate the Company’s business in two segments and will instead focus on the performance of the business as a single operating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19 to our consolidated financial statements included in this Annual Report for more information about our reportable segments.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1, 2022, we employed 182 employees. Our employees are engaged in pharmacy operations, sales, marketing, research, development, and general and administrative functions. We expect to add additional employees in all departmental functions as we carry out our business plan in the next 12 months. We are not party to any collective bargaining agreements with any of our employees. We have never experienced a work stoppage, and we believe our employee relations are good. We hire independent contractors and consultants on an as-needed basis, and our salesforce is comprised primarily of contract sales organizations and contract labor.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Talent Acquisition and Retention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recognize that our employees largely contribute to our success. To this end, we support business growth by seeking to attract and retain best-in-class talent. Our talent acquisition team uses internal and external resources to recruit highly skilled candidates in the U.S.. We believe that we continue to attract and retain superior talent as measured by our turnover rate and employee service tenure.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total rewards philosophy has been to create investment in our workforce by offering competitive compensation and benefits packages. We provide employees with compensation packages that include base salary, annual incentive bonuses, and long-term equity awards. We also offer comprehensive employee benefits, which vary by country and region, such as life, disability, and health insurance, health savings and flexible spending accounts, paid time off, and a 401(k) plan. It is our expressed intent to be an employer of choice in our industry by providing market-competitive compensation and benefits packages.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These investments and the prioritization of employee health, safety, and wellness took on particular significance in 2020 and 2021 in light of COVID-19. To protect and support our essential team members, we have implemented health and safety measures that included maximizing personal workspaces, changing shift schedules, providing personal protective equipment (PPE), and instituting screening before accessing buildings. In response to local stay-at-home orders and in alignment with CDC recommendations, we have limited our employees onsite in our office location based in California. To aid in containing the spread of COVID-19, we have implemented remote-work options when appropriate and are limiting employee travel. We are monitoring this rapidly evolving situation and will continue to seek programs to educate and assist employees whenever possible.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a diverse workforce is critical to our success. Our mission is to value differences in races, ethnicities, religions, nationalities, genders, ages, sexual orientations, as well as education, skill sets and experience. We are focused on inclusive hiring practices, fair and equitable treatment, organizational flexibility, and training and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in encouraging employees in becoming lifelong learners by providing ongoing learning, training and leadership opportunities. We provide our employees with a tuition reimbursement program, and in certain instances, onsite training programs.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Transparency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early 2022, we released and published on our corporate website (harrowinc.com) our Corporate Transparency Report, which describes and summarizes the initiatives the Company has undertaken and associated metrics related to certain issues including:</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  Energy, Emissions, Waste and Water</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2820" w:type="dxa"/>
            <w:vAlign w:val="bottom"/>
          </w:tcPr>
          <w:p>
            <w:pPr>
              <w:ind w:left="120"/>
              <w:spacing w:after="0"/>
              <w:rPr>
                <w:sz w:val="20"/>
                <w:szCs w:val="20"/>
                <w:color w:val="auto"/>
              </w:rPr>
            </w:pPr>
            <w:r>
              <w:rPr>
                <w:rFonts w:ascii="Arial" w:cs="Arial" w:eastAsia="Arial" w:hAnsi="Arial"/>
                <w:sz w:val="18"/>
                <w:szCs w:val="18"/>
                <w:color w:val="auto"/>
              </w:rPr>
              <w:t>Embracing our Community</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Supply Chain Management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2820" w:type="dxa"/>
            <w:vAlign w:val="bottom"/>
          </w:tcPr>
          <w:p>
            <w:pPr>
              <w:ind w:left="120"/>
              <w:spacing w:after="0"/>
              <w:rPr>
                <w:sz w:val="20"/>
                <w:szCs w:val="20"/>
                <w:color w:val="auto"/>
              </w:rPr>
            </w:pPr>
            <w:r>
              <w:rPr>
                <w:rFonts w:ascii="Arial" w:cs="Arial" w:eastAsia="Arial" w:hAnsi="Arial"/>
                <w:sz w:val="18"/>
                <w:szCs w:val="18"/>
                <w:color w:val="auto"/>
              </w:rPr>
              <w:t>Innovation/Sustainable Products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Community Involvement</w:t>
            </w: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  Employee Health and Safety</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w w:val="96"/>
              </w:rPr>
              <w:t>●  Employee Recruitment, Development and Retention</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2820" w:type="dxa"/>
            <w:vAlign w:val="bottom"/>
          </w:tcPr>
          <w:p>
            <w:pPr>
              <w:ind w:left="120"/>
              <w:spacing w:after="0"/>
              <w:rPr>
                <w:sz w:val="20"/>
                <w:szCs w:val="20"/>
                <w:color w:val="auto"/>
              </w:rPr>
            </w:pPr>
            <w:r>
              <w:rPr>
                <w:rFonts w:ascii="Arial" w:cs="Arial" w:eastAsia="Arial" w:hAnsi="Arial"/>
                <w:sz w:val="18"/>
                <w:szCs w:val="18"/>
                <w:color w:val="auto"/>
              </w:rPr>
              <w:t>Governance</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Employee Diversity</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2820" w:type="dxa"/>
            <w:vAlign w:val="bottom"/>
          </w:tcPr>
          <w:p>
            <w:pPr>
              <w:ind w:left="120"/>
              <w:spacing w:after="0"/>
              <w:rPr>
                <w:sz w:val="20"/>
                <w:szCs w:val="20"/>
                <w:color w:val="auto"/>
              </w:rPr>
            </w:pPr>
            <w:r>
              <w:rPr>
                <w:rFonts w:ascii="Arial" w:cs="Arial" w:eastAsia="Arial" w:hAnsi="Arial"/>
                <w:sz w:val="18"/>
                <w:szCs w:val="18"/>
                <w:color w:val="auto"/>
              </w:rPr>
              <w:t>Drug Safety</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  Business Ethics, Compliance and Bribery</w:t>
            </w: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w w:val="94"/>
              </w:rPr>
              <w:t>●  Data Protection, Patient Data Privacy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corporate headquarters are located at 102 Woodmont Blvd., Suite 610, Nashville, Tennessee, 37205, and our telephone number at such office is (615) 733-4730. Our website address is www.harrowinc.com. Information contained on our website is not deemed part of this Annual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a variety of risks and uncertainties, including risks related to the COVID-19 pandemic, financial risks, operational risks, human capital risks, legal proceedings and regulatory risks and certain general risks, which could have a material adverse effect on our business results of operations, financial condition and prospects. Risks that we deem material are described under “Risk Factors” below and include, but are not limited to, the following:</w:t>
      </w:r>
    </w:p>
    <w:p>
      <w:pPr>
        <w:spacing w:after="0" w:line="18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for our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market, commercialize, and sell current and future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adverse impact of health epidemics, including the COVID-19 pandemic;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Securing and maintaining patent or other intellectual property protection for our products and related improvements;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drug products, drug candidates, compounded drugs and pharmacies;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research, develop and timely manufacture our current and future products and drug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regulations, including, but not limited to, potential changes to USP 797, 503B bulks list and others, that could or currently do burden operations or narrow the market for our products;</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exposure to liabilities and reputation harm if our products give rise to defects, recalls, patient injury or death;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indebtedness and ability to access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customers and increase sales of current and future products;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marketing approval and ongoing expense associated with it for any of our drug candidates, including those we own royalty rights of;</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third parties for manufacturing certain components, FDA approved drugs and to conduct clinical trials;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enforce protect our intellectual property rights along with the potential of future legal proceedings filed against us claiming intellectual property infringement;</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Retention, recruitment, and training of senior management and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of the price of our common stock;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 price falling as a result of future offerings or sales.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profitable in the future.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December 31, 2021, our accumulated deficit was $(95,407,000). Our current projections indicate that we will have operating income and/or net income during 2022;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plan involves the preparation and sale of our proprietary formulations through our compounding pharmacies and outsourcing facilities, along with the sale and marketing of FDA-approved products and drug candidates through third-party wholesaler and pharmacy channels. We have limited experience operating pharmacies and commercializing compounded formulations and selling FDA-approved products, and we may be unable to successfully manage this business or generate sufficient revenue to recover our development costs and operational expenses. We may have only limited success in marketing and selling our products and formulations. Although we have established and plan to grow our internal sales teams to market and sell our products and formulations and other non-proprietary products, we have limited experience with such activities and may not be able to generate sufficient physician and patient interest in our products and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and products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COVID-19 pandemic has had an adverse effect on our business and results of operations and is expected to continue to have further adverse effects, which could be material, on our business, results of operations, financial condition, liquidity, and capital investments.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11, 2020, the World Health Organization declared the COVID-19 outbreak a global pandemic. The COVID-19 pandemic has negatively impacted the global economy, disrupted supply chains and created significant volatility in financial markets. We have implemented business policies intended to protect our employees from the spread of COVID-19. Those policies include employees working from home when possible and employees in our facilities increasing physical distancing.</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March 18, 2020, CMS released guidance for U.S. healthcare providers to limit all elective medical procedures in order to conserve personal protective equipment and limit exposure to COVID-19 during the pendency of the pandemic. Many of our customers use our products in procedures impacted by the guidance. In addition to limiting medical procedures, many hospitals and other healthcare providers have strictly limited access to their facilities during the pandemic. We cannot predict the duration or scope of the pandemic, actions that may be taken by governments and businesses in response to the pandemic, or the impacts of the pandemic on healthcare systems. The impacts of the pandemic may include, but are not limited to:</w:t>
      </w:r>
    </w:p>
    <w:p>
      <w:pPr>
        <w:spacing w:after="0" w:line="161" w:lineRule="exact"/>
        <w:rPr>
          <w:sz w:val="20"/>
          <w:szCs w:val="20"/>
          <w:color w:val="auto"/>
        </w:rPr>
      </w:pPr>
    </w:p>
    <w:p>
      <w:pPr>
        <w:ind w:left="980" w:right="20" w:hanging="324"/>
        <w:spacing w:after="0" w:line="25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revenues from our customers, including our major customers, whose products are impacted by CMS guidance to limit elective medical procedures;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or willingness of third parties to market, distribute and sell our products, due to reduced demand from, or lack of access to, healthcare facilities and providers;</w:t>
      </w: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or inability, to complete clinical trials and other activities required to achieve regulatory clearance of our products under development due to lack of access to healthcare facilities, healthcare providers and patients;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or lost access to third-party service providers that we use in our research and development or marketing efforts;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cash flow from our operations due to reductions in revenues or collections from our customers and increases in operating costs related to actions we have taken in response to the pandemic;</w:t>
      </w: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business productivity due to inefficiencies in employees working from home or increasing physical distancing and other pandemic response protocols in our production facilities;</w:t>
      </w: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susceptibility to the risk of information technology security breaches and other disruptions due to increased volumes of remote access to our information systems from our employees working at home;</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source sufficient components used in our products due to disruptions in supply chains;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to identify, evaluate and acquire, or effectively integrate, complementary businesses, products, materials or technologies due to travel restrictions, physical distancing protocols, and lack of access to third-party service providers related to our development activities;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manufacturing capacity, which could lead to failures to meet product delivery commitments, or increased operating costs if one of our facilities were to experience a COVID-19 outbreak;</w:t>
      </w:r>
    </w:p>
    <w:p>
      <w:pPr>
        <w:ind w:left="980" w:right="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assessing and securing intellectual property rights due to lack of access to, or delayed responsiveness of, third-party service providers or governmental agencies;</w:t>
      </w: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to retain personnel over concerns about workplace exposure to COVID-19, or to hire and effectively train new personnel, due to physical distancing protocols; and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goodwill or other assets due to reductions in the fair value of our reporting units.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and other factors relating to, or arising from, the pandemic could have material adverse effects on our business, results of operations, cash flows, financial condition, and capital investments. Actual or anticipated adverse effects on our cash flows or financial condition may lead us to seek additional funding.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We cannot be certain that additional funding will be available on acceptable terms, if at all. If we do not have, or are not able to obtain, sufficient funds, we may have to delay development or commercialization of our products or otherwise curtail our operations. Any of these events could materially harm our business and operating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Our operations, and those of contract research organizations (“CROs”), contractors and consultants, could be subject to power shortages, telecommunications failures, wildfires, water shortages, floods, earthquakes, hurricanes, typhoons, fires, extreme weather conditions, medical epidemics, such as the COVID-19 pandemic,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the contract manufacturers of our development partners are affected by a man-made or natural disaster or other business interruption.</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sell our proprietary formulations primarily through pharmaceutical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currently have two compounding facilities in New Jersey. We may expand our pharmacy operations and personnel. We have developed “ImprimisRx” as a uniform brand for our compounding facilities and ophthalmology focused pharmaceutical business. We have limited experience acquiring, building or operating compounding pharmacies or other prescription dispensing facilities or commercializing our formulations through ownership of or licensing arrangements with pharmacies. In addition, as we have in the past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7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relation to expansion efforts;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achieve or maintain a sufficient physician and patient customer base to sustain our pharmacy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regulations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firstLine="648"/>
        <w:spacing w:after="0" w:line="285" w:lineRule="auto"/>
        <w:rPr>
          <w:sz w:val="20"/>
          <w:szCs w:val="20"/>
          <w:color w:val="auto"/>
        </w:rPr>
      </w:pPr>
      <w:r>
        <w:rPr>
          <w:rFonts w:ascii="Arial" w:cs="Arial" w:eastAsia="Arial" w:hAnsi="Arial"/>
          <w:sz w:val="16"/>
          <w:szCs w:val="16"/>
          <w:color w:val="auto"/>
        </w:rPr>
        <w:t>In August 2017, the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We no longer compound curcumin emulsion products.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are taking steps to address the items outlined in the FDA letter. In June 2019, our outsourcing facility was issued a warning letter related to an April 2017 inspection and our use of certain active pharmaceutical ingredients in our compounded medications. During September 2020 through January 2021, our New Jersey based outsourcing facility was inspected by the FDA (the “2020 Inspection”) and certain observations were made by the FDA in a Form 483. Five observations made during the 2020 Inspection were considered repeat observations from a 2017 FDA inspection. In addition, during the 2020 Inspection, the FDA noted that we were compounding drugs for which there is no change that produces for an individual patient a clinical difference,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worked and communicated, and will continue to work and communicate, with the FDA to assure that all allegations in the warning letters and 483s have been addressed. We believe, to date, we have addressed all of the material items of concern in the FDA’s 483, warning letters and those related to the MedWatch notification (and any other requirements observed by the FDA and noted to us), and we do not believe there will be any further action taken by the FDA in these matters. Nonetheless, these items increased further scrutiny and negative publicity on us as a company. As part of our commitment to actively work with regulators, at times, we have become aware of concerns related to certain formulations, and as a result, discontinued compounding certain drug formulations in an attempt to help mitigate potential regulatory risk. As a result of the MedWatch notice, warning letters and other regulatory notifications, some physicians may be hesitant to prescribe and some patients may be hesitant to purchase and use non-FDA-approved compounded formulations, particularly when an FDA-approved potential alternative is available. For other reasons, physicians may be unwilling to prescribe or patients may be unwilling to use our proprietary compounded formulations, including the following: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proprietary compounded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We own, we are pursuing FDA approval to market and sell drug candidates, both owned by us and by Melt and Surface, FDA approval of those drug candidates, along with the marketing and sale of FDA-approved drugs and compounded formulations is subject to and must comply with extensive state and federal statutes and regulations governing those products and compounding pharmacies. These compounding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ind w:firstLine="648"/>
        <w:spacing w:after="0" w:line="273" w:lineRule="auto"/>
        <w:rPr>
          <w:sz w:val="20"/>
          <w:szCs w:val="20"/>
          <w:color w:val="auto"/>
        </w:rPr>
      </w:pPr>
      <w:r>
        <w:rPr>
          <w:rFonts w:ascii="Arial" w:cs="Arial" w:eastAsia="Arial" w:hAnsi="Arial"/>
          <w:sz w:val="17"/>
          <w:szCs w:val="17"/>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27, 2020, the FDA announced availability of a final Memorandum of Understanding, Addressing Certain Distributions of Compounded Human Drug Products Between the State Board of Pharmacy or Other Appropriate State Agency and the Food and Drug Administration (the “Final MOU”). The Final MOU describes the responsibilities of a state board of pharmacy, or other appropriate 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the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5% limit on compounded drugs distributed outside the state by a pharmacist, pharmacy or physician located in a state that has not entered into the Final MOU.</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2022, the FDA said it would suspend implementation of the Final MOU and engage in a formal rulemaking process. During the rulemaking process, the agency will not enter into new agreements with states based on the Final MOU. The FDA does not expect states that have signed the Final MOU to carry out the activities described in the Final MOU. Thus, there is no reporting requirement for any pharmacy concerning interstate shipments pursuant to Section 503A and will not be until the Final MOU is finalized through the rulemaking process, which will include the engagement of a notice-and-comment and rulemaking period to implement certain provisions of Section 503A. The agency indicated that the process may take “several years” to complete. In the same announcement, the FDA stated it does not intend to enforce the statutory 5% limit on the distribution of compounded drugs out of the state in which they are compounded by compounders located in states that do not sign the Final MOU for the duration of the rulemaking process.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one of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one of our pharmacies, or one with which we may partner, is found not to comply with state pharmacy and controlled substance laws and regulations, the pharmacy could be required to cease operations or become subject to burdensome restrictions and limitations on its business.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 Additionally, the permanent injunction entered on July 22, 2019, by the United States District Court of the Central District of California in the Allergan litigation (also referenced in Item. 3 Legal Proceedings), enjoins the Company from engaging in activities that are inconsistent with current FDA guidelines for 503A and 503B operations. While the Company believes its operations fully comply with the injunction, if the Court were to find the Company to be in violation of the injunction, further sanctions, including fines and limitations on the pharmacies’ operations, could occur.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i w:val="1"/>
          <w:iCs w:val="1"/>
          <w:color w:val="auto"/>
        </w:rPr>
        <w:t>There are many competitive risks related to marketing and selling our proprietary formulations and operating our compounding pharmacy business.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2021, USP announced proposed revisions to USP &lt;795&gt; and &lt;797&gt; for public comment. The proposed revisions include limitations of beyond use dating of sterile and preservative-free products, and limitations on batch sizes, among other items. After a comment and review period, we expect USP to announce the final revisions to USP guidelines in 2022 or 2023 with an effective date some time in 2023 or 2024. If adopted, the proposed revisions to USP &lt;797&gt; would likely have a negative impact on revenues generated from our 503A compounding pharmacy and limit the number of products we could sell from our 503A pharmacy.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FDA approved products and drug candidates.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and FDA approved products in the future, but only if we are able to identify attractive products and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and commercial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product development strategy is to focus on a ophthalmology and eye care related products and formulations in which we believe there is broad market potential, large unmet needs and/or unique value to physicians and patients and to develop and offer formulations and products within these therapeutic areas that could afford us with gross and operating margins consistent with our current and historical figures. However, our expectations and assumptions about market potential and patient needs may prove to be wrong, and we may invest capital and other resources on products, drug candidates, and formulations that do not generate sufficient revenues for us to recoup 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drug products and drug candidates. We are currently pursuing development and commercialization opportunities with respect to a number of these products, drug candidates and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drug products and drug candidates, our operating results would be adversely affected. Even if we are able to successfully sell one or more proprietary formulations, drug products and drug candidates, we may never recoup our investment in acquiring or developing the formulations, drug products and drug candidates. Our failure to identify and expend our resources and technologies with commercial potential and execute an effective commercialization strategy for each of our formulations, drug products and drug candidates would negatively impact the long-term profitability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only recently started generating cash from operations, but we do not currently earn sufficient revenues to support our operations. We may need significant additional capital to execute our business plan, execute on future acquisitions and fund our proposed business operations. Additionally, our plans may change or the estimates of our operating expenses and working capital requirements could be inaccurate, we may pursue acquisitions of FDA-approved products, drug candidates,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raised over $85,000,000 in funds through equity and debt financings in April, May and June 2021.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drug candidates, drug products or technologies, acquisitions of companies, and asset purchases. We may also consider a variety of different business arrangements in the future, including strategic partnerships, joint ventures, spin-offs, carve-outs,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part of our efforts to complete any significant transaction, we would need to expend significant resources to conduct business, regulatory,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built an internal sales and marketing infrastructure to implement our business plan by developing internal sales teams and education campaigns to market our proprietary formulations and FDA-approved drug products.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drug products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drug products or services or generate meaningful revenues.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For example,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HIPAA-protected health information,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GDPR in the EU that became effective in May 2018 and the Personal Information Protection and Electronic Documents Act that became effective in Canada in April 2000. We anticipate that over time we may expand our business to include operations outside of the United States. With such expansion, we would be subject to increased governmental regulation in the EU countries in which we might operate, including the GDPR. These laws and similar laws adopted in the future could increase our potential liability, increase our compliance costs and adversely affect our business.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contract manufacturers,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Senior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April, May and June 2021, we issued $75,000,000 aggregate principal amount of 8.625% senior notes due 2026 (the “Notes”). We may incur additional indebtedness in the future. 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instruments contain, or from time to time may contain, various restrictive covenants, including, among others, our obligation to deliver certain financial and other information, our obligation to comply with certain notice and insurance requirements, and our inability, without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lenders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that we currently have or that we may incur in the future.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Notes were issued contains limited protection for holders of the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indenture under which the Notes were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the holders of the Notes. In particular, the terms of the indenture and the Notes do not place any restrictions on our or our subsidiaries’ ability to:</w:t>
      </w:r>
    </w:p>
    <w:p>
      <w:pPr>
        <w:spacing w:after="0" w:line="187"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leveraged recapitalization, “going private” transaction (which may result in a significant increase of our indebtedness),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the holders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general, as market interest rates rise, notes bearing interest at a fixed rate decline in value. Consequently, if the market interest rates increase, the market value of the Notes may decline. We cannot predict the future level of market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lack of an active trading market for the Notes could adversely affect the market price of the Notes or limit a holder’s ability to sell them.</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Notes are quoted on Nasdaq under the symbol “HROWL.” Although the Notes are quoted, we cannot provide any assurances that an active trading market will be maintained for the Notes or that a holder will be able to sell the Notes. If the Notes are traded, they may trade at a discount from their initial offering price depending on prevailing interest rates, the market for similar securities, our credit ratings, general economic conditions, our financial condition, performance and prospects and other factors. The underwriters of the Notes may make a market in the Notes, but they are not obligated to do so. The underwriters may discontinue any market-making in the Notes at any time at their sole discretion. Accordingly, we cannot assure a holder that a liquid trading market will develop for the Notes, that a holder will be able to sell the Notes at a particular time or that the price received will be favorable. To the extent an active trading market is not maintained, the liquidity and trading price for the Notes may be harmed. Accordingly, a holder may be required to bear the financial risk of an investment in the Notes for an indefinite period of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terms of the indenture governing the Notes, we may from time to time, without notice to or the consent of the holders of the Notes, create and issue additional notes which will be equal in rank to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rating for the Notes could at any time be revised downward or withdrawn entirely at the discretion of the issuing rating agency.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ratings lower than market expectations or that are subsequently lowered or withdrawn, the market for or the market value of the Notes could be adversely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enter into various transactions that could increase the amount of our outstanding debt or adversely affect our capital structure or credit rating.</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Subject to certain limited exceptions, the terms of the Notes do not prevent us from entering into a variety of acquisition, divestiture, refinancing, recapitalization or other highly leveraged transactions. As a result, we could enter into any such transaction even though the transaction could increase the total amount of our outstanding indebtedness, adversely affect our capital structure or credit rating or otherwise adversely affect the holders of the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such as drug candidates that we have royalty interests in that are being developed by Melt and Surface, AMP-100, and MAQ-100, we may be unable to demonstrate the necessary safety and efficacy to obtain such FDA approval.</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more recent years, we have sought, and in the future, we, alone or with project partners, intend to seek, FDA regulatory approval to market and sell one or more of our assets as an FDA-approved drug. Obtaining FDA approval to market and sell pharmaceutical products is costly, time-consuming,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drug candidates are in various stages of clinical development.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aspects of our business depend on the successful development, regulatory approval and commercialization of our drug candidates, which may never occur.</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for a drug candidate, we will not be able to commercialize such drug candidate and our ability to generate revenues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(“IRBs”)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the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ectPr>
          <w:pgSz w:w="11900" w:h="16838" w:orient="portrait"/>
          <w:cols w:equalWidth="0" w:num="1">
            <w:col w:w="11240"/>
          </w:cols>
          <w:pgMar w:left="320" w:top="692" w:right="339" w:bottom="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Excluding any activities through our ownership interest in Eton, we have not received regulatory approval to market our drug candidates in any jurisdiction. We have only limited experience in filing the applications necessary to gain regulatory approvals and expect to rely on consultants and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willingness of patients to pay out-of-pocket in the absence of third-party coverage or reimbursement or government pricing approvals.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4"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Adverse regulatory action, whether pre- or post-approval, can also potentially lead to product liability claims and increase our product liability exposure.</w:t>
      </w: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United States, the Medicare Modernization Act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will depend in part on our ability to obtain and maintain patent protection for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be completely dependent on third parties to manufacture IOPIDINE, MAXITROL, MOXEZA,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third-party manufacturing partners, or the lack of capacity available at our third-party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existing and potential products. Any business interruptions resulting from geopolitical actions, including war and terrorism, adverse public health developments such as the outbreak of the COVID-19 coronavirus, or natural disasters including earthquakes, typhoons, floods and fires, could affect our supply chain.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be available on acceptable terms or at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We are dependent on our Chief Executive Officer, Mark L. Baum, and other key persons for the continued growth and development of our Company.</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Chief Executive Officer, Mark L. Baum, along with other key persons, including, but not limited to, our Chief Financial Officer, Andrew R. Boll, and the President of ImprimisRx, John P. Saharek, have played a primary role in creating and developing our current business model. We are highly dependent on these executives for the implementation of our business plan and the future development of our assets and our business, and the loss of their services and leadership could materially adversely impact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 In addition, any staffing interruptions resulting from geopolitical actions, including war and terrorism, adverse public health developments such as the outbreak of the COVID-19 novel coronavirus, or natural disasters including earthquakes, typhoons, floods and fires, could have a material adverse effect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 in Item 9A of this Annual Report, our management concluded that our internal controls over financial reporting were effective as of December 31, 2021.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market price of our common stock is likely to be highly volatile and could fluctuate widely in response to various factors, many of which are beyond our control, including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From time to time, including recently as a result of the COVID-19 pandemic,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approximately 35,326 square feet of lab, warehouse, and office space in Ledgewood, New Jersey, in three separate suites. The current lease term expires on July 31, 2027 and includes options to extend the lease term through 2037. This space serves as an outsourcing facility and pharmacy for ImprimisRx.</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5,500 square feet of office space in Nashville, Tennessee. The current lease term expires on December 31, 2024 and includes options to extend the lease term through 2034. This office serves as our corporate headquarters.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approximately 5,789 square feet of office space in Carlsbad, California. The current lease term began January 1, 2022 and expires on March 31, 2025. This office generally supports the sales, general and administrative functions of ImprimisRx. Since the commencement date of this lease occurred after December 31, 2021, right-of-use assets and operating lease liabilities associated with it are not included in our consolidated balance sheet as of December 31, 2021.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lease additional space in the near term to accommodate an internally run analytical lab and expanded office 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18 to our consolidated financial statements included in this Annual Report for information on various legal proceedings,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and the Notes are listed on The Nasdaq Global Market under the symbols “HROW” and “HROWL,”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4, 2022, there were approximately 82 stockholders of record (excluding an indeterminable number of stockholders whose shares are held in street or “nominee” name)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equity securities during the fourth quarter of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the related notes contained in this Annual Report on Form 10-K (this “Annual Report”). Our consolidated financial statements have been prepared and, unless otherwise stated, the information derived therefrom as presented in this discussion and analysis is presented, in accordance with accounting principles generally accepted in the United States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As used in this discussion and analysis, unless the context indicates otherwise, the terms the “Company,” “Harrow” “we,” “us” and “our” refer to Harrow Health, Inc. and its consolidated subsidiaries, consisting of Imprimis Rx NJ, LLC, Imprimis NJOF, LLC, ImprimisRx, LLC, Radley Pharmaceuticals, Inc., Stowe Pharmaceuticals, Inc. and Mayfield Pharmaceuticals,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ophthalmic-focused healthcare company. Our business specializes in the development, production and sale of innovative medications that offer unique competitive advantages and serve unmet needs in the marketplace through our subsidiaries and deconsolidated companies. We own and operate ImprimisRx, one of the nation’s leading ophthalmology-focused pharmaceutical businesses, and Visionology, Inc. (“Visionology”), a direct-to-consumer eyecare subsidiary focused on chronic vision care. In addition, we also have non-controlling equity positions in Surface Ophthalmics, Inc. (“Surface”) and Melt Pharmaceuticals, Inc. (“Melt”), both companies that began as subsidiaries of Harrow and were subsequently deconsolidated. We also own royalty rights in various drug candidates being developed by Surface and Melt.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ImprimisRx is our ophthalmology-focused prescription pharmaceutical business. From its inception in 2014, ImprimisRx, which consists of integrated research and development, production, dispensing/distribution, sales, marketing, and customer serve capabilities, has offered physician customers and their patients access to critical medicines to meet their clinical needs. Initially, ImprimisRx focused exclusively on compounded medications to serve needs unmet by commercially available drugs. We make our formulations available at prices that are, in most cases, lower than non-customized commercial drugs, ImprimisRx’s customer base has grown to include more than 10,000 U.S. eyecare dedicated prescribers and institutions. Our current ophthalmology formulary includes over twenty compounded formulations, many of which are patented or patent-pending, and are customizable for the specific needs of a patient. Some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FDA-guidance documents, in our FDA-registered New Jersey outsourcing facility (“NJOF”).</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past two years, in order to more fully serve the needs of our growing customer base, we have invested in broadening ImprimisRx’s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DEXYCU®</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ImprimisRx entered into a Commercial Alliance Agreement (the “Dexycu Agreement”) with Eyepoint Pharmaceuticals, Inc. (“Eyepoint”), pursuant to which Eyepoint granted ImprimisRx the right to promote DEXYCU® (dexamethasone intraocular suspension) 9% for the treatment of post-operative inflammation following ocular surgery in the United States. Pursuant to the Dexycu Agreement, Eyepoint pays ImprimisRx a fee that is calculated based on the quarterly sales of DEXYCU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IOPIDINE®, MAXITROL® EYE DROPS, MOXEZA®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2021, we acquired U.S. commercial rights to four FDA-approved ophthalmic medicines: IOPIDINE 1% and 0.5% (apraclonidine hydrochloride); MAXITROL (neomycin/polymyxin B/dexamethasone) eye drops; and MOXEZA (moxifloxacin hydrochloride). We believe by expanding our product portfolio to include branded FDA-approved products, we will be uniquely positioned to leverage our ImprimisRx platform to introduce unique lifecycle management strategies that could grow sales and address needs of our customers that we are unable to meet with our other compounded product offerings.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closing, we agreed to a transitional period with the seller, which is expect to last approximately six months following the closing of the transaction. During the transition period, the seller will continue to sell the products and transfer the net profit to us. Following the transition period, we expect to have the products manufactured by third parties and commercialize the products for the U.S. market.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AMP-100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2021, we acquired the exclusive marketing and supply rights to AMP-100 in the U.S. and Canada from Sintetica S.A. (“Sintetica”). AMP-100 is a patented, ophthalmic topical anesthetic drug candidate. If FDA-approved, the active ingredient used in AMP-100 will be the first approved use of this active ingredient in the U.S. ophthalmic market. A new drug application (“NDA”) for AMP-100 was submitted by Sintetica to the FDA in the fourth quarter of 2021 and the FDA has assigned the application standard review and a Prescription Drug User Fee Act (PDUFA) target action date of October 16,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MAQ-100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August 2021, we acquired exclusive the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w:t>
      </w:r>
    </w:p>
    <w:p>
      <w:pPr>
        <w:spacing w:after="0" w:line="1" w:lineRule="exact"/>
        <w:rPr>
          <w:sz w:val="20"/>
          <w:szCs w:val="20"/>
          <w:color w:val="auto"/>
        </w:rPr>
      </w:pPr>
    </w:p>
    <w:p>
      <w:pPr>
        <w:jc w:val="both"/>
        <w:ind w:firstLine="8"/>
        <w:spacing w:after="0" w:line="253" w:lineRule="auto"/>
        <w:tabs>
          <w:tab w:leader="none" w:pos="2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We intend to request a meeting with FDA during the first half of 2022 to discuss our planned clinical program for MAQ-100.</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to acquire and/or develop additional FDA-approved/approvable ophthalmic products and product candidates that will allow us to leverage the commercial infrastructure of ImprimisRx to promote, sell, and ultimately bring these products to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Visionology, a direct-to-consumer online eye health platform, leverages our experience in the ophthalmic pharmaceutical business as well as our relationships with eyecare professionals across the United States. We recently launched a proof-of-concept model for Visionology within certain U.S. markets, and if successful, will expand the launch on a nationwide basis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 markets outside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the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2018 and 2019, we formed and created subsidiaries named Radley Pharmaceuticals, Inc. (“Radley”), Mayfield Pharmaceuticals, Inc. (“Mayfield”), and Stowe Pharmaceuticals, Inc. (“Stowe”). In 2020, we halted nearly all operating activities related to these subsidiaries to invest resources in other areas, and we may not restart any or all activities related to these businesses. In addition, we terminated license and acquisition agreements for Mayfield’s MAY-66 and MAY-44 drug candidates, and Stowe’s STE-006 drug candidate.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2021, Surface announced positive top-line results from a Phase 2 trial of its drug candidate SURF-201, a 0.2% betamethasone, preservative-free ophthalmic solution in the Klarity delivery vehicle for the treatment of post cataract surgery pain and inflammation.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 Also in January 2021, Surface announced the first patient dosed in a head-to-head Phase 2 trial for its drug candidate SURF-100 (mycophenolate sodium and betamethasone in Klarity vehicle) for the treatment of chronic dry eye disease. In February 2021, Surface announced the first patient dosed in a Phase 2 trial for its drug candidate SURF-200 (betamethasone in Klarity vehicle) for the treatment of episodic dry eye flares.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the equity and voting interests as of December 31, 2021. Harrow owns mid-single digit royalty rights on net sales of SURF-100, SURF-200 and SURF-201.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recently began enrolling patients in its Phase 2 study for MELT-300.</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2019, Melt closed an offering of its Series A Preferred Stock. At that time, we lost our controlling interest and deconsolidated Melt from our consolidated financial statements. We own 3,500,000 shares of Melt common stock, which was approximately 46% of the equity and voting interests issued and outstanding as of December 31, 2021. In September 2021, we provided Melt with a senior secured loan in the amount of $13,500,000, which is intended to fund the Phase 2 program of MELT-300. In connection with the loan we provided Melt, we also were provided the right, but not the obligation, to match any offer received by Melt associated with the commercial rights to any of its drug candidates for a period of five years. 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118"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Eton is a commercial-stage pharmaceutical company focused on developing and commercializing innovative drug products. Its pipeline includes several products and drug candidates in various stages of development across a variety of dosage forms. In May 2017, we gave up our controlling interest in Eton. We own 1,982,000 shares of Eton common stock, which is less than 10% of the equity and voting interests issued and outstanding of Eton as of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Dexycu is covered under Medicare Part B, and we are developing drug candidates that we believe will be covered under Medicare Part B. 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the Centers for Medicare &amp; Medicaid Services (“CMS”), pass-through status applies for a period of three years, measured from the date Medicare makes its first pass-through payment for the product, following which the product would be incorporated into the cataract bundled payment system, which could significantly reduce the pricing for that product. Following expiration of pass-through status, under current CMS policy, non-opioid pain management surgical drugs when used on Medicare Part B patients in the ASC setting can qualify for ongoing separate payment. CMS’ current non-opioid separate payment policy, like other CMS policies, can be changed by CMS through its annual rulemaking and comment process. We believe that CMS will continue its separate payment policy for non-opioid pain management surgical drugs, which has been in effect since 2019.</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working with outside consultants to potentially gain an extension to the transitional payment system, or to separate the drug payment from the bundled cataract surgery payment after the three-year transitional payment ends and continue to be reimbursed separately for a longer period of time, potentially through patent life. Unless extended, Dexycu transitional pass-through reimbursement status will expire on December 31, 2022, which will have an adverse impact on our commission revenues from this product.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expect that MOXEZA, MAXITROL and IOPIDINE are, and we expect that other drug candidates we are developing, if approved, will be eligible for reimbursement by third-party payors. We may devote time and other resources to seek reimbursement and patient pay opportunities for these and other drug products and candidates. However, we may be unsuccessful in achieving these goals, as many third-party payors have imposed significant challenges for products to be eligible for reimbursement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conceivably have a material adverse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drug products and candidates available to more patients and at optimized pricing levels. However, if government and other third-party payors do not provide adequate coverage and reimbursement levels for our drug products and candidates, the market acceptance and opportunity for them may be limited.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 In May 2020 and the following months, U.S. states and geographies began easing restrictions associated with the COVID-19 pandemic including those restrictions related to elective procedures. We have since seen sales of our products return to near historical norms and trends as restrictions associated with elective procedures and the COVID-19 pandemic have continued to ease.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given the unprecedented and dynamic nature of the COVID-19 pandemic virus, including any mutations/variants, we may not be able to reasonably estimate the impacts it may have on our financial condition, results of operations or cash flows in the future, especially if there are new restrictions in elective procedures in the future which would have an adverse impact, which may be material, on our future revenues, profitability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describes certain developments in 2021 to date that are important to understand our financial condition and results of operations. See the notes to our condensed consolidated financial statements included in this Annual Report for additional information about each of these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U.S. Rights to MAXITROL Eye Drops, IOPIDINE and MOXEZA</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17, 2021 (the “Closing Date”), we entered into an Asset Purchase Agreement (the “NVS Agreement”) with Novartis Technology, LLC and Novartis Ophthalmics AG (together, “ NVS”), pursuant to which the Company purchased from NVS the exclusive commercial rights to assets associated with ophthalmic products Moxeza® (moxifloxacin) 0.5%, Iopidine® (apraclonidine hydrochloride) 1% and 0.5%, and Maxitrol® (Neomycin/Polymyxin B/Dexamethasone) eyedrops suspension (collectively the “NVS Products”) in the U.S.. On the Closing Date, we made a one-time payment of $14,050,000 to NVS for the U.S. rights to the NVS Products and their related intellectual property.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NVS Agreement and various ancillary agreements, immediately following the Closing Date and subject to certain conditions, for a period of up to six months, and prior to the transfer of the NVS Products NDAs to the Company, Novartis will continue to sell the NVS Products on our behalf and transfer the net profit from the sale of the NVS Products to us. NVS has agreed to supply certain NVS Products to us for a period of time after the NDAs are transferred to the Company and to assist with technology transfer of the NVS Products manufacturing to other third-party manufacturers, if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2020, we entered into an unsecured promissory note and related Business Loan Agreement with Renasant Bank, as lender, for a loan (the “PPP Loan”) in the principal amount of $1,967,000 and received cash proceeds of the same amount, pursuant to the Paycheck Protection Program (the “PPP”) under the Federal Coronavirus Aid, Relief, and Economic Security Act (the “CARES Act”), which was enacted March 27, 2020. The PPP is administered by the U.S. Small Business Administration. On March 30, 2021, the Company received a notice of forgiveness of the full balance of the PPP Loan, including all accrued interest, in accordance with the terms and conditions of the CARES Act and accordingly recognized a gain on forgiveness of debt of $1,967,000.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Stock Sale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2021, we closed an underwritten public offering of 1,518,000 shares of our Eton common stock at a public offering price of $7.00 per share (the “Eton Stock Sale”). The gross proceeds to us from the Eton Stock Sale were $10,626,000 before deducting underwriting discounts and commissions and other offering expenses payable by the Company. Following such sale, we own 1,982,000 shares of Eton common stock, which represented less than 10% of the equity interests issued and outstanding of Eton as of December 31, 2021.</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part of the Eton Stock Sale, we also agreed, for a period of 180 days, not to conduct any further sales of shares of its common stock of Eton or otherwise dispose of, directly or indirectly, any common stock of Eton (or any securities convertible into, or exercisable or exchangeable for, the common stock of Eton).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 Due 2026</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April, May and June 2021, we closed offerings totaling $75,000,000 aggregate principal amount of 8.625% senior notes due 2026 (the “Notes”). The Notes are senior unsecured obligations of the Company and rank equally in right of payment with all of our other existing and future senior unsecured and unsubordinated indebtedness. The Notes are effectively subordinated in right of payment to all of our existing and future secured indebtedness and structurally subordinated to all existing and future indebtedness of the Company’s subsidiaries, including trade payables. The Notes bear interest at the rate of 8.625% per annum. Interest on the Notes is payable quarterly in arrears on January 31, April 30, July 31 and October 31 of each year, and commenced on July 31, 2021. The Notes will mature on April 30, 2026.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both"/>
        <w:ind w:firstLine="648"/>
        <w:spacing w:after="0" w:line="257" w:lineRule="auto"/>
        <w:rPr>
          <w:sz w:val="20"/>
          <w:szCs w:val="20"/>
          <w:color w:val="auto"/>
        </w:rPr>
      </w:pPr>
      <w:r>
        <w:rPr>
          <w:rFonts w:ascii="Arial" w:cs="Arial" w:eastAsia="Arial" w:hAnsi="Arial"/>
          <w:sz w:val="18"/>
          <w:szCs w:val="18"/>
          <w:color w:val="auto"/>
        </w:rPr>
        <w:t>Prior to February 1, 2026, we may, at our option, redeem the Notes, in whole at any time or in part from time to time, at a redemption price equal to 100% of the principal amount of the Notes to be redeemed, plus a make-whole amount, if any, plus accrued and unpaid interest to, but excluding, the date of redemption. We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Cumulative Preferred Stock - Redeemed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5, 2021, we sold 440,000 shares of Series B Cumulative Preferred Stock (the “Series B Preferred Stock”) for net proceeds of $10,655,000. On June 17, 2021, we redeemed all of the outstanding shares of the Series B Preferred Stock. The redemption price for the 440,000 shares of the Series B Preferred Stock outstanding was equal to $25.00 per share, plus accrued and unpaid dividends, which in aggregate totaled $11,127,000.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Sintetica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July 2021, we entered into a License and Supply Agreement (the “Sintetica Agreement”) with Sintetica S.A. (“Sintetica”), pursuant to which Sintetica granted the Company the exclusive license and marketing rights to its patented ophthalmic drug candidate (“AMP-100”) in the U.S. and Canada.</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Sintetica Agreement, the Company will pay Sintetica a per unit transfer price to supply AMP-100, along with a per unit royalty for units sold. The Company is required to pay Sintetica up to $18,000,000 in one-time milestone payments, $5,000,000 of which was paid shortly after the signing of the Sintetica Agreement, $3,117,000 upon the submission of the AMP-100 NDA and the balance of payments due upon achievement of certain regulatory and commercial milestones. Under the terms of the Sintetica Agreement, Sintetica will be responsible for regulatory filings for AMP-100 in the 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certain limitations, the term of the Sintetica Agreement is ten years and allows for a ten-year extension if certain sales thresholds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Wakamoto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2021, we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Wakamoto Agreements, Wakamoto will supply MAQ-100 to us, and we will pay Wakamoto a per unit transfer price to supply MAQ-100. In addition, we are required to pay Wakamoto various one-time milestone payments totaling up to $2,000,000 upon the achievement of certain regulatory milestones and up to $6,200,000 upon the achievement of certain commercial milestones. Under the terms of the Wakamoto Agreements, we are responsible for regulatory filings and fees for MAQ-100 in the U.S. and Canada.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certain limitations, the term of the Wakamoto Agreements is for five years from the date of the FDA’s market approval of MAQ-100 and allows for a five-year extension if certain unit sales thresholds are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Loan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September 2021, we entered into a loan and security agreement in the principal amount of $13,500,000 (the “Melt Loan Agreement”), as lender, with Melt, as borrower. Amounts borrowed under the Melt Loan Agreement bear interest at twelve and one-half percent (12.50%) per annum, which can be paid in kind interest at the option of Melt until the maturity date. The Melt Loan Agreement permits Melt to pay interest only on the principal amount loaned thereunder through the term and all amounts owed will be due and payable on September 1, 2022. Melt may elect to prepay all, but not less than all, of the amounts owed prior to the maturity date at any time without penalty.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Melt has granted us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us, and the interest rate on the loan may be increased by three percent (3%) per annum.</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Melt Loan Agreement, we entered into a Right of First Refusal Agreement with Melt providing us with the right, but not the obligation, to match any offer received by Melt associated with the commercial rights to any of Melt’s drug candidates for a period of five years following the effective date of the Melt Loan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year-to-year comparisons of our financial results are not necessarily indicative of results for any future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and non-proprietary pharmaceutical compounded drug formulations and revenues received from royalty and milestone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5"/>
              </w:rPr>
              <w:t>For the Year Ended December 31,</w:t>
            </w:r>
          </w:p>
        </w:tc>
        <w:tc>
          <w:tcPr>
            <w:tcW w:w="240" w:type="dxa"/>
            <w:vAlign w:val="bottom"/>
          </w:tcPr>
          <w:p>
            <w:pPr>
              <w:spacing w:after="0"/>
              <w:rPr>
                <w:sz w:val="22"/>
                <w:szCs w:val="22"/>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r>
      <w:tr>
        <w:trPr>
          <w:trHeight w:val="223"/>
        </w:trPr>
        <w:tc>
          <w:tcPr>
            <w:tcW w:w="4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69,104,000</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48,479,000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Other revenues</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3,372,000</w:t>
            </w:r>
          </w:p>
        </w:tc>
        <w:tc>
          <w:tcPr>
            <w:tcW w:w="3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392,000</w:t>
            </w:r>
          </w:p>
        </w:tc>
        <w:tc>
          <w:tcPr>
            <w:tcW w:w="2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2,980,000</w:t>
            </w:r>
          </w:p>
        </w:tc>
      </w:tr>
      <w:tr>
        <w:trPr>
          <w:trHeight w:val="216"/>
        </w:trPr>
        <w:tc>
          <w:tcPr>
            <w:tcW w:w="4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72,476,000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48,871,000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23,605,000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revenue between periods was largely attributable to an increase in sales volumes of our ophthalmology formulations, and products and commissions attributable to sales of Dexycu®. During the year ended December 31, 2020, we believe sales of our ophthalmology formulations were adversely impacted due to the onset and influence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Year Ended December 31,</w:t>
            </w:r>
          </w:p>
        </w:tc>
        <w:tc>
          <w:tcPr>
            <w:tcW w:w="24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18,214,000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our cost of sales between periods was largely attributable to an increase in unit volumes sold during the year ended December 31, 2021 compared to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w w:val="94"/>
              </w:rPr>
              <w:t>For the 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54,262,000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19,854,000</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74.9</w:t>
            </w:r>
          </w:p>
        </w:tc>
        <w:tc>
          <w:tcPr>
            <w:tcW w:w="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70.4</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increase in gross profit and margin between periods is largely attributable to increased unit volumes sold, efficiencies in our production process, including increased batch sizes, and improved utilization of capacities as a result of increased output during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Year Ended December 31,</w:t>
            </w:r>
          </w:p>
        </w:tc>
        <w:tc>
          <w:tcPr>
            <w:tcW w:w="240" w:type="dxa"/>
            <w:vAlign w:val="bottom"/>
          </w:tcPr>
          <w:p>
            <w:pPr>
              <w:spacing w:after="0"/>
              <w:rPr>
                <w:sz w:val="20"/>
                <w:szCs w:val="20"/>
                <w:color w:val="auto"/>
              </w:rPr>
            </w:pPr>
          </w:p>
        </w:tc>
        <w:tc>
          <w:tcPr>
            <w:tcW w:w="126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Variance</w:t>
            </w:r>
          </w:p>
        </w:tc>
        <w:tc>
          <w:tcPr>
            <w:tcW w:w="1140" w:type="dxa"/>
            <w:vAlign w:val="bottom"/>
          </w:tcPr>
          <w:p>
            <w:pPr>
              <w:spacing w:after="0"/>
              <w:rPr>
                <w:sz w:val="19"/>
                <w:szCs w:val="19"/>
                <w:color w:val="auto"/>
              </w:rPr>
            </w:pPr>
          </w:p>
        </w:tc>
      </w:tr>
      <w:tr>
        <w:trPr>
          <w:trHeight w:val="216"/>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41,315,000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31,247,000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10,068,000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4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8" w:name="page49"/>
    <w:bookmarkEnd w:id="48"/>
    <w:p>
      <w:pPr>
        <w:jc w:val="both"/>
        <w:ind w:firstLine="648"/>
        <w:spacing w:after="0" w:line="257" w:lineRule="auto"/>
        <w:rPr>
          <w:sz w:val="20"/>
          <w:szCs w:val="20"/>
          <w:color w:val="auto"/>
        </w:rPr>
      </w:pPr>
      <w:r>
        <w:rPr>
          <w:rFonts w:ascii="Arial" w:cs="Arial" w:eastAsia="Arial" w:hAnsi="Arial"/>
          <w:sz w:val="18"/>
          <w:szCs w:val="18"/>
          <w:color w:val="auto"/>
        </w:rPr>
        <w:t>The increase in selling, general and administrative expenses between periods was primarily attributable to an increase in legal expenses associated with a lawsuit that went to trial in 2021, an increase in stock-based compensation associated with performance stock units that were granted during 2021, commissions and other expenses related to increased sales, and an increase in sales and marketing expenses related to in-person conferences and new employee costs to support sales growth. In addition, during the year ended December 31, 2021, the Company recorded $1,500,000 in expenses related to a litigation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research and development (“R&amp;D”) expenses primarily include expenses related to acquired in-process R&amp;D, the development of acquired intellectual property, investigator-initiated research and evaluations and other costs related to the clinical development of our assets and drug candidates.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R&amp;D expenses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Year Ended December 31,</w:t>
            </w:r>
          </w:p>
        </w:tc>
        <w:tc>
          <w:tcPr>
            <w:tcW w:w="24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R&amp;D expenses between periods was primarily as a result of milestone payments of $8,117,000 to Sintetica along with increased costs associated with the clinical program for MAQ-100.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and Disposal of Long-Lived Assets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2021, we recorded a loss of $249,000, of which, $99,000 was related to the impairment of patents and patent applications and $150,000 was related to equipment that was no longer in service, compared to $363,000 during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expense, net was $5,436,000 during the year ended December 31, 2021 compared to $2,236,000 during the year ended December 31, 2020. The increase was primarily due to interest expense recognition related to an increase in the principal balance of our loans.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from Unconsolidated Entities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years ended December 31, 2021 and 2020, we recorded a loss of $4,020,000 and $2,313,000, respectively, for our share of losses based on our ownership of Melt. During the years ended December 31, 2021 and 2020, we recorded a loss of $1,314,000 and $2,433,000, respectively, for our share of losses based on our ownership of Surface.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Gain from Eton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recorded a loss of $10,126,000 related to our investment in Eton’s common stock for the year ended December 31, 2021, including a realized loss of $1,406,000 from the sale of 1,518,000 shares of Eton’s common stock. We recorded a gain of $3,255,000 related to the change in fair market value of Eton’s common stock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Forgiveness of PPP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2021, we recorded gain on forgiveness of PPP loan of $1,967,000 related to the forgiveness of our PPP Loan.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December 31, 2021, we recorded other income, net of $197,000. This was primarily the result of income of $238,000 related to forgiveness of old payables and expense of $41,000 related to loss on disposal of property, plant and equipment. During the year ended December 31, 2020, we recorded other expense, net of $(73,000). This was primarily the result of income of $13,000 related to equipment that was sold during the year ended December 31, 2020 and an expense of $105,000 related to the disposal of property, plant and equipment related to the discontinued use of certain computer software and hardware.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The following table presents our net loss attributable to common stockholders for the years ended December 31, 2021 and 2020:</w:t>
      </w: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For the Year Ended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(18,479,000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(3,357,000</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(0.69</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(0.13</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at December 31, 2021 was $42,167,000, compared to $4,301,000 (including restricted cash) at December 31, 2020. Since inception through December 31, 2021, we incurred aggregate losses of $95,407,000.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Annual Report, we believe that cash and cash equivalents of $42,167,000 at December 31, 2021, will be sufficient to sustain our planned level of operations and capital expenditures for at least the next 12 months. We also may consider the sale of certain assets including, but not limited to, part of, or all of, our ownership interest in Eton, Surface, Melt, and/or any of our consolidated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use our current cash position and funds generated from our operations and any financing to pursue our business plan, which includes developing and commercializing compounded formulations, FDA-approved products and technologies, integrating and developing our compounding operations, pursuing potential future strategic transactions as opportunities arise, including potential acquisitions of products, compounding pharmacies and outsourcing facilities, drug companies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5,081,000</w:t>
            </w:r>
          </w:p>
        </w:tc>
        <w:tc>
          <w:tcPr>
            <w:tcW w:w="78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(1,100,000)</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(18,685,000)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(981,000)</w:t>
            </w:r>
          </w:p>
        </w:tc>
      </w:tr>
      <w:tr>
        <w:trPr>
          <w:trHeight w:val="223"/>
        </w:trPr>
        <w:tc>
          <w:tcPr>
            <w:tcW w:w="62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51,470,000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1,433,000</w:t>
            </w:r>
          </w:p>
        </w:tc>
      </w:tr>
      <w:tr>
        <w:trPr>
          <w:trHeight w:val="216"/>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37,866,000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3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4,301,000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4,949,000</w:t>
            </w:r>
          </w:p>
        </w:tc>
      </w:tr>
      <w:tr>
        <w:trPr>
          <w:trHeight w:val="216"/>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42,167,000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(used in) operating activities was $5,081,000 in 2021, compared to $(1,100,000) in the prior year. Net cash provided by operating activities during the years ended December 31, 2021 was primarily attributed to the increase in product sales and associated revenues and production efficiencies.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investing activities in 2021 and 2020 was $(18,685,000) and $(981,000), respectively. Cash used in investing activities in 2021 was primarily associated with cash payments made in connection with the issuance of the Melt note receivable and the acquisition of the NVS Products, offset by cash received through the sale of a portion of our Eton Common Stock. Cash used in investing activities during the 2020 period was primarily associated with equipment and software purchases and upgrades along with investments in our intellectual property portfolio.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in 2021 and 2020 was $51,470,000 and $1,433,000, respectively. Cash provided by financing activities during the year ended December 31, 2021 was primarily related to proceeds received from the sale of the Notes, net of the payment of all outstanding obligations to the Company’s previous senior lender, SWK Funding, LLC and its partners (“SWK”). The cash provided by financing activities during 2020 is primarily related to proceeds received from the amendment to our loan and security agreement with SWK as well as proceeds received from the PPP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sources of cash consist of cash provided by operating activities from our ImprimisRx business, and recently, proceeds from the sale of the Notes and sale of Eton common stock. We may also sell some or all of our ownership interests in Surface, Melt or our other subsidiaries, along with the some or all of the remaining portion of our Eton common stock.</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changing trends and overall economic outlook in light of the COVID-19 pandemic, including the historic interim stay-at-home orders and bans on elective surgeries, created uncertainty surrounding our operating outlook and may impact our future operating results if there is a resurgence in COVID-19 cases in the U.S. In addition, 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We account for contracts with customers in accordance with ASC 606, </w:t>
      </w:r>
      <w:r>
        <w:rPr>
          <w:rFonts w:ascii="Arial" w:cs="Arial" w:eastAsia="Arial" w:hAnsi="Arial"/>
          <w:sz w:val="16"/>
          <w:szCs w:val="16"/>
          <w:i w:val="1"/>
          <w:iCs w:val="1"/>
          <w:color w:val="auto"/>
        </w:rPr>
        <w:t>Revenues from Contracts with Customers.</w:t>
      </w:r>
      <w:r>
        <w:rPr>
          <w:rFonts w:ascii="Arial" w:cs="Arial" w:eastAsia="Arial" w:hAnsi="Arial"/>
          <w:sz w:val="16"/>
          <w:szCs w:val="16"/>
          <w:color w:val="auto"/>
        </w:rPr>
        <w:t xml:space="preserve"> We have two primary streams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(1) revenue recognized from our sale of products within our pharmacy services and (2) revenue recognized from intellectual property license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 purchase agreements.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sell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we have identified the following:</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We record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We will defer any revenues received for a product that has not been delivered or is subject to refund until such time that we and the customer jointly determine that the product has been delivered and no refund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 ended December 31, 2020, we entered into an agreement whereby we are paid a fee calculated based on sales we generate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us and no consequential continuing involvement on our part to recognize the associated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Profit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year ended December 31, 2021, we entered into an agreement to purchase the exclusive commercial rights to assets associated with certain ophthalmic products from another pharmaceutical company (the “Seller”). During a temporary, transition period, the Seller will continue to manufacture and market these products, and transfer the net profit from the sale of the products to us. The revenue recognized by us from the transfer of net profit is recognized at the time profit from the products sales has been calculated by the Seller and confirmed by us, typically on a monthly basis, at which point there is no future performance obligation required by us and no consequential continuing involvement on the us in part to recognize the associated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hold four intellectual property license and related agreements in which we have promised to grant a license or sale which provides a customer with right to access our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ind w:firstLine="648"/>
        <w:spacing w:after="0" w:line="253" w:lineRule="auto"/>
        <w:rPr>
          <w:sz w:val="20"/>
          <w:szCs w:val="20"/>
          <w:color w:val="auto"/>
        </w:rPr>
      </w:pPr>
      <w:r>
        <w:rPr>
          <w:rFonts w:ascii="Arial" w:cs="Arial" w:eastAsia="Arial" w:hAnsi="Arial"/>
          <w:sz w:val="18"/>
          <w:szCs w:val="18"/>
          <w:color w:val="auto"/>
        </w:rPr>
        <w:t>Non-refundable fees that are not contingent on any future performance by us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it has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its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Eton Pharmaceuticals, Inc.</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own 1,982,000 shares of Eton common stock, which represents approximately 8 % of the equity and voting interests of Eton as of December 31, 2021. At December 31, 2021, the fair market value of Eton’s common stock was $4.29 per share. In accordance with Accounting Standard Update (“ASU”) 2016-01, </w:t>
      </w:r>
      <w:r>
        <w:rPr>
          <w:rFonts w:ascii="Arial" w:cs="Arial" w:eastAsia="Arial" w:hAnsi="Arial"/>
          <w:sz w:val="16"/>
          <w:szCs w:val="16"/>
          <w:i w:val="1"/>
          <w:iCs w:val="1"/>
          <w:color w:val="auto"/>
        </w:rPr>
        <w:t>Financial Instruments-Overall (Subtopic 825-10): Recognition and Measurement of Financial Assets and Financial Liabilities</w:t>
      </w:r>
      <w:r>
        <w:rPr>
          <w:rFonts w:ascii="Arial" w:cs="Arial" w:eastAsia="Arial" w:hAnsi="Arial"/>
          <w:sz w:val="16"/>
          <w:szCs w:val="16"/>
          <w:color w:val="auto"/>
        </w:rPr>
        <w:t>, for the years ended December 31, 2021 and 2020, we recorded an investment (loss) gain from our Eton common stock position of $(10,126,000) and $3,255,000 respectively, related to our investment in Eton during the measurement periods, including a realized loss of $1,406,000 from the sale of 1,518,000 shares of Eton’s common stock. As of December 31, 2021 and 2020, the fair market value of our investment in Eton was $8,503,000 and $28,455,000,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Surface Ophthalmics, Inc. – Related Party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own 3,500,000 common shares of Surface, which is approximately 20% of its equity interests as of December 31, 2021, and use the equity method of accounting for this investment, as management has determined that we have the ability to exercise significant influence over the operating and financial decisions of Surface. Under this method, we recognize earnings and losses in Surface in its consolidated financial statements and adjusts the carrying amount of its investment in Surface accordingly. Our share of earnings and losses are based on our ownership interest of Surface. Any intra-entity profits and losses are eliminated. We recorded equity in the net loss of Surface of $2,433 during the year ended December 31, 2020. We recorded equity in the net loss of Surface of $1,314 during the year ended December 31, 2021. As of December 31, 2021 and 2020, the carrying value of our investment in Surface was $0 and $1,314, respectively.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Melt Pharmaceuticals, Inc. – Related Party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April 2018, we formed Melt as a wholly-owned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$11,400,000 of proceeds (collectively the “Melt Series A Round”) at a purchase price of $5.00 per share. As a result, we lost voting and ownership control of Melt and ceased consolidating Melt’s financial statements.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At the time of deconsolidation, we recorded a gain of $5,810,000 and adjusted the carrying value in Melt to reflect the increased valuation of Melt and our new ownership interest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own 3,500,000 common shares of Melt, which is approximately 46% of its equity interests as of December 31, 2021. We analyze our investment in Melt and related agreements on a regular basis to evaluate our position of variable interests in Melt. We no longer have a controlling position in Melt; however, we do have the ability to exercise significant influence over the operating and financial decisions of Melt. We use the equity method of accounting for this investment. Under this method, we recognize earnings and losses of Melt in its consolidated financial statements and adjusts the carrying amount of its investment in Melt accordingly. Our share of earnings and losses are based on our ownership interest of Melt. Any intra-entity profits and losses are eliminated. During the year ended December 31, 2021 we reduced our common stock investment in Melt to $0. As of December 31, 2021 and at the time of entering into the Melt Loan Agreement, we owned 100% of the debt owed by Melt. Following the reduction of the carrying value of our common stock investment in Melt to $0 we began recording 100% of the equity method losses of Melt, based on our ownership of total debt owed by Melt. We recorded equity in net loss of Melt of $4,020,000 and $2,313,000 during the year ended December 31, 2021 and 2020, respectively. Our investment in Melt was $11,133,000 and $2,506,000 and $48,000 and $851,000 is due from Melt for reimbursable expenses and amounts due under the Melt Master Service Agreement (“Melt MSA”) as of December 31, 2021 and 2020, respectively.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2 and 4 for more information and related party disclosure regarding Melt.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stock-based payments to employees, directors and consultants, including grants of stock options, warrants, restricted stock units and restricted stock, are recognized in the consolidated financial statements based upon their estimated fair values. We use the Black-Scholes option pricing model and Monte-Carlo simulation model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We must assess the likelihood that the deferred tax assets will be recovered from future taxable income and, to the extent we believe that recovery is not more likely than not, a valuation allowance must be established which reduces the amount of deferred tax assets recorded on the consolidated balance sheets. To the extent we establish a valuation allowance or increase or decrease this allowance in a period, the impact will be included in income tax expense in the consolidated statements of operations.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account for income taxes under the provisions of Financial Accounting Standards Board (the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As of December 31, 2021 and 2020, there were no unrecognized tax benefits included in the consolidated balance sheets that would, if recognized, affect the effective tax rate. Our practice is to recognize interest and/or penalties related to income tax matters in income tax expense. We had no accrual for interest or penalties in its consolidated balance sheets at December 31, 2021 and 2020, and have not recognized interest and/or penalties in the consolidated statements of operations for the years ended December 31, 2021 and 2020. We are subject to taxation in the United States, California, Florida, Georgia, Illinois, New Jersey, New York, Tennessee, and Wisconsin. Our tax years since 2000 may be subject to examination by the federal and state tax authorities due to the carryforward of unutilized net operating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R&amp;D expenses consist of expenses incurred in performing research and development activities, including salaries and benefits, other overhead expenses, and costs related to clinical trials, contract services and outsourced contracts. We expense all costs related to R&amp;D as they are incurred.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Upfront and milestone payments related to the acquisition and licensing of technology for drug and product candidates that are not yet approved by the FDA are considered acquisition of in process R&amp;D and expensed as R&amp;D in the period in which the expense occurs.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We began capitalizing certain costs associated with acquiring intellectual property rights during 2015, if costs are not capitalized, they are expensed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we capitalize third-party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underperformance of the our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decline in the our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and the debt discount are recorded net of loans payable in the consolidated balance sheet. Amortization of debt issuance costs and the debt discount is calculated using the effective interest method over the term of the debt and is recorded in interest expense in the accompanying consolidated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2021, the end of the period covered by this Annual Report, pursuant to Rules 13a-15(b) and 15d-15(b) under the Securities Exchange Act of 1934, as amended (the “Exchange Act”).</w:t>
      </w:r>
    </w:p>
    <w:p>
      <w:pPr>
        <w:spacing w:after="0" w:line="187"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In connection with that evaluation, our CEO and CFO concluded that, as of December 31, 2021,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Based on such evaluation, management concluded that our internal control over financial reporting was effective as of December 31, 2021.</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in accordance with applicable SEC rules that permit us to provide only management’s report in the annual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year ended December 31, 2021,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54"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“Election of Directors,” “Executive Officers,” “Corporate Governance,” “Corporate Governance — Delinquent Section 16(a) Reports,” and “Corporate Governance — Code of Business Conduct and Ethics” in the Company’s Proxy Statement for the 2022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“Executive Compensation” and “Director Compensation” in the Company’s Proxy Statement for the 2022 Annual Meeting of Stockholders.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“Security Ownership of Certain Beneficial Owners and Management and Related Stockholder Matters” and “Executive Compensation — Securities Authorized for Issuance Under Equity Compensation Plans” in the Company’s Proxy Statement for the 2022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“Corporate Governance — Transactions with Related Persons” and “Corporate Governance — Director Independence” in the Company’s Proxy Statement for the 2022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set forth under the caption “Ratification of Selection of Independent Registered Public Accounting Firm” in the Company’s Proxy Statement for the 2022 Annual Meeting of Stockholders.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See the index to our consolidated financial statements on page F-1 for a list of the financial statements being filed in this Annual Report.</w:t>
      </w:r>
    </w:p>
    <w:p>
      <w:pPr>
        <w:spacing w:after="0" w:line="248" w:lineRule="exact"/>
        <w:rPr>
          <w:rFonts w:ascii="Arial" w:cs="Arial" w:eastAsia="Arial" w:hAnsi="Arial"/>
          <w:sz w:val="16"/>
          <w:szCs w:val="16"/>
          <w:color w:val="auto"/>
        </w:rPr>
      </w:pPr>
    </w:p>
    <w:p>
      <w:pPr>
        <w:ind w:left="1300" w:right="320" w:hanging="320"/>
        <w:spacing w:after="0" w:line="182" w:lineRule="auto"/>
        <w:tabs>
          <w:tab w:leader="none" w:pos="1300" w:val="left"/>
        </w:tabs>
        <w:numPr>
          <w:ilvl w:val="1"/>
          <w:numId w:val="23"/>
        </w:numPr>
        <w:rPr>
          <w:rFonts w:ascii="Arial" w:cs="Arial" w:eastAsia="Arial" w:hAnsi="Arial"/>
          <w:sz w:val="34"/>
          <w:szCs w:val="34"/>
          <w:color w:val="auto"/>
          <w:vertAlign w:val="subscript"/>
        </w:rPr>
      </w:pPr>
      <w:r>
        <w:rPr>
          <w:rFonts w:ascii="Arial" w:cs="Arial" w:eastAsia="Arial" w:hAnsi="Arial"/>
          <w:sz w:val="17"/>
          <w:szCs w:val="17"/>
          <w:color w:val="auto"/>
        </w:rPr>
        <w:t>All financial statement schedules are omitted because they are not applicable or the required information is shown in the consolidated financial statements or the notes thereto.</w:t>
      </w:r>
    </w:p>
    <w:p>
      <w:pPr>
        <w:spacing w:after="0" w:line="203" w:lineRule="exact"/>
        <w:rPr>
          <w:rFonts w:ascii="Arial" w:cs="Arial" w:eastAsia="Arial" w:hAnsi="Arial"/>
          <w:sz w:val="34"/>
          <w:szCs w:val="34"/>
          <w:color w:val="auto"/>
          <w:vertAlign w:val="subscript"/>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See Item 15(b) below for all exhibits being filed or incorporated by reference herein.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 to be UPDATED BY HARROW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jc w:val="both"/>
        <w:ind w:left="780" w:hanging="768"/>
        <w:spacing w:after="0" w:line="286"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2.1</w:t>
      </w:r>
      <w:r>
        <w:rPr>
          <w:sz w:val="20"/>
          <w:szCs w:val="20"/>
          <w:color w:val="auto"/>
        </w:rPr>
        <w:tab/>
      </w:r>
      <w:hyperlink r:id="rId67">
        <w:r>
          <w:rPr>
            <w:rFonts w:ascii="Arial" w:cs="Arial" w:eastAsia="Arial" w:hAnsi="Arial"/>
            <w:sz w:val="17"/>
            <w:szCs w:val="17"/>
            <w:u w:val="single" w:color="auto"/>
            <w:color w:val="0000EE"/>
          </w:rPr>
          <w:t>Agreement and Plan of Merger, dated as of September 17, 2007, by and among Imprimis Pharmaceuticals, Inc., Transdel Pharmaceuticals</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Holdings, Inc. and Trans-Pharma Acquisition Corp. Incorporation (incorporated herein by reference to Exhibit 2.1 to the Current Report on Form</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8-K of Imprimis Pharmaceuticals, Inc. filed with the Securities and Exchange Commission on September 21, 2007)</w:t>
        </w:r>
      </w:hyperlink>
    </w:p>
    <w:p>
      <w:pPr>
        <w:spacing w:after="0" w:line="165" w:lineRule="exact"/>
        <w:rPr>
          <w:rFonts w:ascii="Arial" w:cs="Arial" w:eastAsia="Arial" w:hAnsi="Arial"/>
          <w:sz w:val="17"/>
          <w:szCs w:val="17"/>
          <w:u w:val="single" w:color="auto"/>
          <w:color w:val="0000EE"/>
        </w:rPr>
      </w:pPr>
    </w:p>
    <w:p>
      <w:pPr>
        <w:jc w:val="both"/>
        <w:ind w:left="780" w:hanging="768"/>
        <w:spacing w:after="0" w:line="259"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8">
        <w:r>
          <w:rPr>
            <w:rFonts w:ascii="Arial" w:cs="Arial" w:eastAsia="Arial" w:hAnsi="Arial"/>
            <w:sz w:val="18"/>
            <w:szCs w:val="18"/>
            <w:u w:val="single" w:color="auto"/>
            <w:color w:val="0000EE"/>
          </w:rPr>
          <w:t>Amended and Restated Certificate of Incorporation, as amended by the Certificate of Amendment to Amended and Restated Certificate of</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Incorporation effective February 28, 2012, as further amended by the Certificate of Amendment to Amended and Restated Certificate of</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Incorporation effective February 7, 2013, and as further amended by the Certificate of Amendment to Amended and Restated Certificate of</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Incorporation effective September 10, 2014</w:t>
        </w:r>
      </w:hyperlink>
    </w:p>
    <w:p>
      <w:pPr>
        <w:spacing w:after="0" w:line="187"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69">
        <w:r>
          <w:rPr>
            <w:rFonts w:ascii="Arial" w:cs="Arial" w:eastAsia="Arial" w:hAnsi="Arial"/>
            <w:sz w:val="16"/>
            <w:szCs w:val="16"/>
            <w:u w:val="single" w:color="auto"/>
            <w:color w:val="0000EE"/>
          </w:rPr>
          <w:t>Amended and Restated Bylaws of Imprimis Pharmaceuticals, Inc. (incorporated herein by reference to Exhibit 3.2 to the Annual Report on Form</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8-K of Imprimis Pharmaceuticals, Inc. filed with the Securities and Exchange Commission on March 28, 2014)</w:t>
        </w:r>
      </w:hyperlink>
    </w:p>
    <w:p>
      <w:pPr>
        <w:spacing w:after="0" w:line="211"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70">
        <w:r>
          <w:rPr>
            <w:rFonts w:ascii="Arial" w:cs="Arial" w:eastAsia="Arial" w:hAnsi="Arial"/>
            <w:sz w:val="18"/>
            <w:szCs w:val="18"/>
            <w:u w:val="single" w:color="auto"/>
            <w:color w:val="0000EE"/>
          </w:rPr>
          <w:t>Certificate of Designation of Series A Convertible Preferred Stock of Imprimis Pharmaceuticals, Inc. (incorporated herein by reference to</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Exhibit 3.1 to the Current Report on Form 8-K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December 20, 2011)</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71">
        <w:r>
          <w:rPr>
            <w:rFonts w:ascii="Arial" w:cs="Arial" w:eastAsia="Arial" w:hAnsi="Arial"/>
            <w:sz w:val="18"/>
            <w:szCs w:val="18"/>
            <w:u w:val="single" w:color="auto"/>
            <w:color w:val="0000EE"/>
          </w:rPr>
          <w:t>Amended and Restated Certificate of Incorporation, filed July 2, 2018 (incorporated herein by reference to Exhibit 3.1 to the Current Report on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Form 8-K of Imprimis Pharmaceuticals, Inc. filed with the Securities and Exchange Commission on July 2, 2018)</w:t>
        </w:r>
      </w:hyperlink>
    </w:p>
    <w:p>
      <w:pPr>
        <w:spacing w:after="0" w:line="170"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72">
        <w:r>
          <w:rPr>
            <w:rFonts w:ascii="Arial" w:cs="Arial" w:eastAsia="Arial" w:hAnsi="Arial"/>
            <w:sz w:val="18"/>
            <w:szCs w:val="18"/>
            <w:u w:val="single" w:color="auto"/>
            <w:color w:val="0000EE"/>
          </w:rPr>
          <w:t>Amendment to the Restated Certificate of Incorporation for the name change, filed as of December 27, 2018 (incorporated herein by reference to</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Exhibit 3.1 to the Current Report on Form 8-K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December 31,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3.6</w:t>
      </w:r>
      <w:r>
        <w:rPr>
          <w:sz w:val="20"/>
          <w:szCs w:val="20"/>
          <w:color w:val="auto"/>
        </w:rPr>
        <w:tab/>
      </w:r>
      <w:hyperlink r:id="rId73">
        <w:r>
          <w:rPr>
            <w:rFonts w:ascii="Arial" w:cs="Arial" w:eastAsia="Arial" w:hAnsi="Arial"/>
            <w:sz w:val="17"/>
            <w:szCs w:val="17"/>
            <w:u w:val="single" w:color="auto"/>
            <w:color w:val="0000EE"/>
          </w:rPr>
          <w:t>Certificate of Designation designating the Series B Cumulative Preferred Stock of the Company (incorporated herein by reference to Exhibit 3.1</w:t>
        </w:r>
      </w:hyperlink>
      <w:r>
        <w:rPr>
          <w:rFonts w:ascii="Arial" w:cs="Arial" w:eastAsia="Arial" w:hAnsi="Arial"/>
          <w:sz w:val="17"/>
          <w:szCs w:val="17"/>
          <w:u w:val="single" w:color="auto"/>
          <w:color w:val="0000EE"/>
        </w:rPr>
        <w:t xml:space="preserve"> </w:t>
      </w:r>
      <w:hyperlink r:id="rId73">
        <w:r>
          <w:rPr>
            <w:rFonts w:ascii="Arial" w:cs="Arial" w:eastAsia="Arial" w:hAnsi="Arial"/>
            <w:sz w:val="17"/>
            <w:szCs w:val="17"/>
            <w:u w:val="single" w:color="auto"/>
            <w:color w:val="0000EE"/>
          </w:rPr>
          <w:t>to the Current Report on Form 8-K of the Company filed with the Securities and Exchange Commission on May 5, 2021).</w:t>
        </w:r>
      </w:hyperlink>
    </w:p>
    <w:p>
      <w:pPr>
        <w:spacing w:after="0" w:line="146"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103">
        <w:r>
          <w:rPr>
            <w:rFonts w:ascii="Arial" w:cs="Arial" w:eastAsia="Arial" w:hAnsi="Arial"/>
            <w:sz w:val="16"/>
            <w:szCs w:val="16"/>
            <w:u w:val="single" w:color="auto"/>
            <w:color w:val="0000EE"/>
          </w:rPr>
          <w:t>Description of the Company’s Securities</w:t>
        </w:r>
      </w:hyperlink>
    </w:p>
    <w:p>
      <w:pPr>
        <w:spacing w:after="0" w:line="225"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74">
        <w:r>
          <w:rPr>
            <w:rFonts w:ascii="Arial" w:cs="Arial" w:eastAsia="Arial" w:hAnsi="Arial"/>
            <w:sz w:val="18"/>
            <w:szCs w:val="18"/>
            <w:u w:val="single" w:color="auto"/>
            <w:color w:val="0000EE"/>
          </w:rPr>
          <w:t>Indenture, dated as of April 20, 2021, by and between the Company and U.S. Bank National Association, as Trustee (incorporated herein by</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reference to Exhibit 4.1 to the Current Report on Form 8-K of the Company filed with the Securities and Exchange Commission on April 20,</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2021).</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75">
        <w:r>
          <w:rPr>
            <w:rFonts w:ascii="Arial" w:cs="Arial" w:eastAsia="Arial" w:hAnsi="Arial"/>
            <w:sz w:val="18"/>
            <w:szCs w:val="18"/>
            <w:u w:val="single" w:color="auto"/>
            <w:color w:val="0000EE"/>
          </w:rPr>
          <w:t>First Supplemental Indenture, dated as of April 20, 2021, by and between the Company and U.S. Bank National Association, as Trustee</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(incorporated herein by reference to Exhibit 4.2 to the Current Report on Form 8-K of the Company filed with the Securities and Exchange</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Commission on April 20, 2021).</w:t>
        </w:r>
      </w:hyperlink>
    </w:p>
    <w:p>
      <w:pPr>
        <w:spacing w:after="0" w:line="184"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75">
        <w:r>
          <w:rPr>
            <w:rFonts w:ascii="Arial" w:cs="Arial" w:eastAsia="Arial" w:hAnsi="Arial"/>
            <w:sz w:val="16"/>
            <w:szCs w:val="16"/>
            <w:u w:val="single" w:color="auto"/>
            <w:color w:val="0000EE"/>
          </w:rPr>
          <w:t>Form of 8.625% Senior Note due 2026 (included in Exhibit 4.3).</w:t>
        </w:r>
      </w:hyperlink>
    </w:p>
    <w:p>
      <w:pPr>
        <w:spacing w:after="0" w:line="225" w:lineRule="exact"/>
        <w:rPr>
          <w:rFonts w:ascii="Arial" w:cs="Arial" w:eastAsia="Arial" w:hAnsi="Arial"/>
          <w:sz w:val="18"/>
          <w:szCs w:val="18"/>
          <w:u w:val="single" w:color="auto"/>
          <w:color w:val="0000EE"/>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76">
        <w:r>
          <w:rPr>
            <w:rFonts w:ascii="Arial" w:cs="Arial" w:eastAsia="Arial" w:hAnsi="Arial"/>
            <w:sz w:val="18"/>
            <w:szCs w:val="18"/>
            <w:u w:val="single" w:color="auto"/>
            <w:color w:val="0000EE"/>
          </w:rPr>
          <w:t>Form of Directors and Officers Indemnification Agreement (incorporated herein by reference to Exhibit 10.8 to the Current Report on Form 8-K</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of Imprimis Pharmaceuticals, Inc. filed with the Securities and Exchange Commission on September 21, 2007)</w:t>
        </w:r>
      </w:hyperlink>
    </w:p>
    <w:p>
      <w:pPr>
        <w:spacing w:after="0" w:line="170" w:lineRule="exact"/>
        <w:rPr>
          <w:sz w:val="20"/>
          <w:szCs w:val="20"/>
          <w:color w:val="auto"/>
        </w:rPr>
      </w:pPr>
    </w:p>
    <w:p>
      <w:pPr>
        <w:jc w:val="both"/>
        <w:ind w:left="78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77">
        <w:r>
          <w:rPr>
            <w:rFonts w:ascii="Arial" w:cs="Arial" w:eastAsia="Arial" w:hAnsi="Arial"/>
            <w:sz w:val="16"/>
            <w:szCs w:val="16"/>
            <w:u w:val="single" w:color="auto"/>
            <w:color w:val="0000EE"/>
          </w:rPr>
          <w:t>Imprimis Pharmaceuticals, Inc. Amended and Restated 2007 Stock Incentive and Awards Plan (incorporated herein by reference to Exhibit 10.3</w:t>
        </w:r>
      </w:hyperlink>
      <w:r>
        <w:rPr>
          <w:rFonts w:ascii="Arial" w:cs="Arial" w:eastAsia="Arial" w:hAnsi="Arial"/>
          <w:sz w:val="16"/>
          <w:szCs w:val="16"/>
          <w:u w:val="single" w:color="auto"/>
          <w:color w:val="0000EE"/>
        </w:rPr>
        <w:t xml:space="preserve"> </w:t>
      </w:r>
      <w:hyperlink r:id="rId77">
        <w:r>
          <w:rPr>
            <w:rFonts w:ascii="Arial" w:cs="Arial" w:eastAsia="Arial" w:hAnsi="Arial"/>
            <w:sz w:val="16"/>
            <w:szCs w:val="16"/>
            <w:u w:val="single" w:color="auto"/>
            <w:color w:val="0000EE"/>
          </w:rPr>
          <w:t>to the Quarterly Report on Form 10-Q of Imprimis Pharmaceuticals, Inc. filed with the Securities and Exchange Commission on May 8, 2013)</w:t>
        </w:r>
      </w:hyperlink>
    </w:p>
    <w:p>
      <w:pPr>
        <w:spacing w:after="0" w:line="124"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78">
        <w:r>
          <w:rPr>
            <w:rFonts w:ascii="Arial" w:cs="Arial" w:eastAsia="Arial" w:hAnsi="Arial"/>
            <w:sz w:val="18"/>
            <w:szCs w:val="18"/>
            <w:u w:val="single" w:color="auto"/>
            <w:color w:val="0000EE"/>
          </w:rPr>
          <w:t>Amendment No. 1 to Imprimis Pharmaceuticals, Inc. Amended and Restated 2007 Incentive Stock and Awards Plan (incorporated herein by</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reference to Exhibit 10.3 to the Quarterly Report on Form 10-Q of Imprimis Pharmaceuticals, Inc. filed with the Securities and Exchange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Commission on November 6, 2013)</w:t>
        </w:r>
      </w:hyperlink>
    </w:p>
    <w:p>
      <w:pPr>
        <w:spacing w:after="0" w:line="184" w:lineRule="exact"/>
        <w:rPr>
          <w:rFonts w:ascii="Arial" w:cs="Arial" w:eastAsia="Arial" w:hAnsi="Arial"/>
          <w:sz w:val="18"/>
          <w:szCs w:val="18"/>
          <w:u w:val="single" w:color="auto"/>
          <w:color w:val="0000EE"/>
        </w:rPr>
      </w:pPr>
    </w:p>
    <w:p>
      <w:pPr>
        <w:jc w:val="both"/>
        <w:ind w:left="780" w:right="2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79">
        <w:r>
          <w:rPr>
            <w:rFonts w:ascii="Arial" w:cs="Arial" w:eastAsia="Arial" w:hAnsi="Arial"/>
            <w:sz w:val="18"/>
            <w:szCs w:val="18"/>
            <w:u w:val="single" w:color="auto"/>
            <w:color w:val="0000EE"/>
          </w:rPr>
          <w:t>Form of Incentive Stock Option Agreement (incorporated herein by reference to Exhibit 10.12 to the Current Report on Form 8-K of Imprimis</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Pharmaceuticals, Inc. filed with the Securities and Exchange Commission on September 21, 2007)</w:t>
        </w:r>
      </w:hyperlink>
    </w:p>
    <w:p>
      <w:pPr>
        <w:spacing w:after="0" w:line="170" w:lineRule="exact"/>
        <w:rPr>
          <w:sz w:val="20"/>
          <w:szCs w:val="20"/>
          <w:color w:val="auto"/>
        </w:rPr>
      </w:pPr>
    </w:p>
    <w:p>
      <w:pPr>
        <w:jc w:val="both"/>
        <w:ind w:left="780" w:right="2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80">
        <w:r>
          <w:rPr>
            <w:rFonts w:ascii="Arial" w:cs="Arial" w:eastAsia="Arial" w:hAnsi="Arial"/>
            <w:sz w:val="18"/>
            <w:szCs w:val="18"/>
            <w:u w:val="single" w:color="auto"/>
            <w:color w:val="0000EE"/>
          </w:rPr>
          <w:t>Form of Non-Qualified Stock Option Agreement (incorporated herein by reference to Exhibit 10.13 to the Current Report on Form 8-K of</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Imprimis Pharmaceuticals, Inc. filed with the Securities and Exchange Commission on September 21, 2007)</w:t>
        </w:r>
      </w:hyperlink>
    </w:p>
    <w:p>
      <w:pPr>
        <w:sectPr>
          <w:pgSz w:w="11900" w:h="16838" w:orient="portrait"/>
          <w:cols w:equalWidth="0" w:num="1">
            <w:col w:w="11240"/>
          </w:cols>
          <w:pgMar w:left="320" w:top="688" w:right="339" w:bottom="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82">
        <w:r>
          <w:rPr>
            <w:rFonts w:ascii="Arial" w:cs="Arial" w:eastAsia="Arial" w:hAnsi="Arial"/>
            <w:sz w:val="18"/>
            <w:szCs w:val="18"/>
            <w:u w:val="single" w:color="auto"/>
            <w:color w:val="0000EE"/>
          </w:rPr>
          <w:t>Form of Restricted Stock Unit Agreement (incorporated herein by reference to Exhibit 10.4 to the Quarterly Report on Form 10-Q of Imprimis</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Pharmaceuticals, Inc. filed with the Securities and Exchange Commission on May 8, 2013)</w:t>
        </w:r>
      </w:hyperlink>
    </w:p>
    <w:p>
      <w:pPr>
        <w:spacing w:after="0" w:line="170"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83">
        <w:r>
          <w:rPr>
            <w:rFonts w:ascii="Arial" w:cs="Arial" w:eastAsia="Arial" w:hAnsi="Arial"/>
            <w:sz w:val="18"/>
            <w:szCs w:val="18"/>
            <w:u w:val="single" w:color="auto"/>
            <w:color w:val="0000EE"/>
          </w:rPr>
          <w:t>Employment Agreement, dated as of April 25, 2016, by and between Imprimis Pharmaceuticals, Inc. and Mark L. Baum (incorporated herein by</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reference to Exhibit 10.1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Commission on April 26, 2016)</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84">
        <w:r>
          <w:rPr>
            <w:rFonts w:ascii="Arial" w:cs="Arial" w:eastAsia="Arial" w:hAnsi="Arial"/>
            <w:sz w:val="18"/>
            <w:szCs w:val="18"/>
            <w:u w:val="single" w:color="auto"/>
            <w:color w:val="0000EE"/>
          </w:rPr>
          <w:t>Employment Agreement, dated as of April 25, 2016, by and between Imprimis Pharmaceuticals, Inc. and Andrew R. Boll (incorporated herein</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by reference to Exhibit 10.4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Commission on April 26, 2016)</w:t>
        </w:r>
      </w:hyperlink>
    </w:p>
    <w:p>
      <w:pPr>
        <w:spacing w:after="0" w:line="184" w:lineRule="exact"/>
        <w:rPr>
          <w:rFonts w:ascii="Arial" w:cs="Arial" w:eastAsia="Arial" w:hAnsi="Arial"/>
          <w:sz w:val="18"/>
          <w:szCs w:val="18"/>
          <w:u w:val="single" w:color="auto"/>
          <w:color w:val="0000EE"/>
        </w:rPr>
      </w:pPr>
    </w:p>
    <w:p>
      <w:pPr>
        <w:jc w:val="both"/>
        <w:ind w:left="780" w:right="2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85">
        <w:r>
          <w:rPr>
            <w:rFonts w:ascii="Arial" w:cs="Arial" w:eastAsia="Arial" w:hAnsi="Arial"/>
            <w:sz w:val="18"/>
            <w:szCs w:val="18"/>
            <w:u w:val="single" w:color="auto"/>
            <w:color w:val="0000EE"/>
          </w:rPr>
          <w:t>Employment Agreement, dated as of April 25, 2016, by and between Imprimis Pharmaceuticals, Inc. and John P. Saharek (incorporated herein</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by reference to Exhibit 10.7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Commission on April 26, 2016)</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86">
        <w:r>
          <w:rPr>
            <w:rFonts w:ascii="Arial" w:cs="Arial" w:eastAsia="Arial" w:hAnsi="Arial"/>
            <w:sz w:val="18"/>
            <w:szCs w:val="18"/>
            <w:u w:val="single" w:color="auto"/>
            <w:color w:val="0000EE"/>
          </w:rPr>
          <w:t>License Agreement dated April 1, 2017 between Imprimis Pharmaceuticals, Inc. and Richard L. Lindstrom, M.D. (incorporated herein by</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reference to Exhibit 10.1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Commission on April 6,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87">
        <w:r>
          <w:rPr>
            <w:rFonts w:ascii="Arial" w:cs="Arial" w:eastAsia="Arial" w:hAnsi="Arial"/>
            <w:sz w:val="18"/>
            <w:szCs w:val="18"/>
            <w:u w:val="single" w:color="auto"/>
            <w:color w:val="0000EE"/>
          </w:rPr>
          <w:t>Strategic Sales &amp; Marketing Agreement dated April 13, 2017 between Imprimis Pharmaceuticals, Inc. and Cameron Ehlen Group, Inc.</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(incorporated herein by reference to Exhibit 10.1 to the Current Report on Form 8-K of Imprimis Pharmaceuticals, Inc. filed with the Securities</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and Exchange Commission on April 17,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88">
        <w:r>
          <w:rPr>
            <w:rFonts w:ascii="Arial" w:cs="Arial" w:eastAsia="Arial" w:hAnsi="Arial"/>
            <w:sz w:val="18"/>
            <w:szCs w:val="18"/>
            <w:u w:val="single" w:color="auto"/>
            <w:color w:val="0000EE"/>
          </w:rPr>
          <w:t>Strategic Sales &amp; Marketing Agreement dated April 28, 2017 between Imprimis Pharmaceuticals, Inc. and SightLife Surgical, Inc. (incorporated</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herein by reference to Exhibit 10.1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Commission on May 2, 2017)</w:t>
        </w:r>
      </w:hyperlink>
    </w:p>
    <w:p>
      <w:pPr>
        <w:spacing w:after="0" w:line="184"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89">
        <w:r>
          <w:rPr>
            <w:rFonts w:ascii="Arial" w:cs="Arial" w:eastAsia="Arial" w:hAnsi="Arial"/>
            <w:sz w:val="16"/>
            <w:szCs w:val="16"/>
            <w:u w:val="single" w:color="auto"/>
            <w:color w:val="0000EE"/>
          </w:rPr>
          <w:t>Consulting Agreement dated May 1, 2017 between Eton Pharmaceuticals, Inc. and Mark L. Baum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89">
        <w:r>
          <w:rPr>
            <w:rFonts w:ascii="Arial" w:cs="Arial" w:eastAsia="Arial" w:hAnsi="Arial"/>
            <w:sz w:val="16"/>
            <w:szCs w:val="16"/>
            <w:u w:val="single" w:color="auto"/>
            <w:color w:val="0000EE"/>
          </w:rPr>
          <w:t>10.8 to the Quarterly Report on Form 10-Q of Imprimis Pharmaceuticals, Inc. filed with the Securities and Exchange Commission on August 10,</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2017)</w:t>
        </w:r>
      </w:hyperlink>
    </w:p>
    <w:p>
      <w:pPr>
        <w:spacing w:after="0" w:line="21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90">
        <w:r>
          <w:rPr>
            <w:rFonts w:ascii="Arial" w:cs="Arial" w:eastAsia="Arial" w:hAnsi="Arial"/>
            <w:sz w:val="16"/>
            <w:szCs w:val="16"/>
            <w:u w:val="single" w:color="auto"/>
            <w:color w:val="0000EE"/>
          </w:rPr>
          <w:t>Consulting Agreement dated May 1, 2017 between Eton Pharmaceuticals, Inc. and Andrew R. Boll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10.9 to the Quarterly Report on Form 10-Q of Imprimis Pharmaceuticals, Inc. filed with the Securities and Exchange Commission on August 10,</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2017)</w:t>
        </w:r>
      </w:hyperlink>
    </w:p>
    <w:p>
      <w:pPr>
        <w:spacing w:after="0" w:line="21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91">
        <w:r>
          <w:rPr>
            <w:rFonts w:ascii="Arial" w:cs="Arial" w:eastAsia="Arial" w:hAnsi="Arial"/>
            <w:sz w:val="16"/>
            <w:szCs w:val="16"/>
            <w:u w:val="single" w:color="auto"/>
            <w:color w:val="0000EE"/>
          </w:rPr>
          <w:t>Consulting Agreement dated May 1, 2017 between Eton Pharmaceuticals, Inc. and John P. Saharek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91">
        <w:r>
          <w:rPr>
            <w:rFonts w:ascii="Arial" w:cs="Arial" w:eastAsia="Arial" w:hAnsi="Arial"/>
            <w:sz w:val="16"/>
            <w:szCs w:val="16"/>
            <w:u w:val="single" w:color="auto"/>
            <w:color w:val="0000EE"/>
          </w:rPr>
          <w:t>10.10 to the Quarterly Report on Form 10-Q of Imprimis Pharmaceuticals, Inc. filed with the Securities and Exchange Commission on August</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10, 2017)</w:t>
        </w:r>
      </w:hyperlink>
    </w:p>
    <w:p>
      <w:pPr>
        <w:spacing w:after="0" w:line="211"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92">
        <w:r>
          <w:rPr>
            <w:rFonts w:ascii="Arial" w:cs="Arial" w:eastAsia="Arial" w:hAnsi="Arial"/>
            <w:sz w:val="18"/>
            <w:szCs w:val="18"/>
            <w:u w:val="single" w:color="auto"/>
            <w:color w:val="0000EE"/>
          </w:rPr>
          <w:t>Asset Purchase and License Agreement (pentoxifylline) dated May 9, 2017 between Imprimis Pharmaceuticals, Inc. and Eton Pharmaceuticals,</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Inc. (incorporated herein by reference to Exhibit 10.1 to the Current Report on Form 8-K of Imprimis Pharmaceuticals, Inc. filed with the</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Securities and Exchange Commission on June 20,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93">
        <w:r>
          <w:rPr>
            <w:rFonts w:ascii="Arial" w:cs="Arial" w:eastAsia="Arial" w:hAnsi="Arial"/>
            <w:sz w:val="18"/>
            <w:szCs w:val="18"/>
            <w:u w:val="single" w:color="auto"/>
            <w:color w:val="0000EE"/>
          </w:rPr>
          <w:t>Asset Purchase and License Agreement (corticotropin) dated May 9, 2017 between Imprimis Pharmaceuticals, Inc. and Eton Pharmaceuticals,</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Inc. (incorporated herein by reference to Exhibit 10.2 to the Current Report on Form 8-K of Imprimis Pharmaceuticals, Inc. filed with the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Securities and Exchange Commission on June 20,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94">
        <w:r>
          <w:rPr>
            <w:rFonts w:ascii="Arial" w:cs="Arial" w:eastAsia="Arial" w:hAnsi="Arial"/>
            <w:sz w:val="18"/>
            <w:szCs w:val="18"/>
            <w:u w:val="single" w:color="auto"/>
            <w:color w:val="0000EE"/>
          </w:rPr>
          <w:t>Management Services Agreement dated May 1, 2017 between Imprimis Pharmaceuticals, Inc. and Eton Pharmaceuticals, Inc. (incorporated</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herein by reference to Exhibit 10.4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Commission on June 20,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95">
        <w:r>
          <w:rPr>
            <w:rFonts w:ascii="Arial" w:cs="Arial" w:eastAsia="Arial" w:hAnsi="Arial"/>
            <w:sz w:val="18"/>
            <w:szCs w:val="18"/>
            <w:u w:val="single" w:color="auto"/>
            <w:color w:val="0000EE"/>
          </w:rPr>
          <w:t>Consulting Agreement dated October 27, 2017 between Surface Pharmaceuticals, Inc. and Mark L. Baum (incorporated herein by reference to</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Exhibit 10.53 to the Annual Report on Form 10-K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March 8,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96">
        <w:r>
          <w:rPr>
            <w:rFonts w:ascii="Arial" w:cs="Arial" w:eastAsia="Arial" w:hAnsi="Arial"/>
            <w:sz w:val="18"/>
            <w:szCs w:val="18"/>
            <w:u w:val="single" w:color="auto"/>
            <w:color w:val="0000EE"/>
          </w:rPr>
          <w:t>Consulting Agreement dated October 27, 2017 between Surface Pharmaceuticals, Inc. and Andrew R. Boll (incorporated herein by reference to</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Exhibit 10.54 to the Annual Report on Form 10-K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March 8, 2017)</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97">
        <w:r>
          <w:rPr>
            <w:rFonts w:ascii="Arial" w:cs="Arial" w:eastAsia="Arial" w:hAnsi="Arial"/>
            <w:sz w:val="18"/>
            <w:szCs w:val="18"/>
            <w:u w:val="single" w:color="auto"/>
            <w:color w:val="0000EE"/>
          </w:rPr>
          <w:t>Consulting Agreement dated October 27, 2017 between Surface Pharmaceuticals, Inc. and John P. Saharek (incorporated herein by reference to</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Exhibit 10.55 to the Annual Report on Form 10-K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March 8, 2017)</w:t>
        </w:r>
      </w:hyperlink>
    </w:p>
    <w:p>
      <w:pPr>
        <w:spacing w:after="0" w:line="184"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spacing w:after="0" w:line="131" w:lineRule="exact"/>
        <w:rPr>
          <w:sz w:val="20"/>
          <w:szCs w:val="20"/>
          <w:color w:val="auto"/>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99">
        <w:r>
          <w:rPr>
            <w:rFonts w:ascii="Arial" w:cs="Arial" w:eastAsia="Arial" w:hAnsi="Arial"/>
            <w:sz w:val="18"/>
            <w:szCs w:val="18"/>
            <w:u w:val="single" w:color="auto"/>
            <w:color w:val="0000EE"/>
          </w:rPr>
          <w:t>Asset Purchase and License Agreement dated September 28, 2017 between Imprimis Pharmaceuticals, Inc. and Surface Pharmaceuticals, Inc.</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(incorporated herein by reference to Exhibit 10.1 to the Current Report on Form 8-K of Imprimis Pharmaceuticals, Inc. filed with the Securities</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and Exchange Commission on May 15,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00">
        <w:r>
          <w:rPr>
            <w:rFonts w:ascii="Arial" w:cs="Arial" w:eastAsia="Arial" w:hAnsi="Arial"/>
            <w:sz w:val="18"/>
            <w:szCs w:val="18"/>
            <w:u w:val="single" w:color="auto"/>
            <w:color w:val="0000EE"/>
          </w:rPr>
          <w:t>Amended and Restated Asset Purchase and License Agreement dated April 10, 2018 between Imprimis Pharmaceuticals, Inc. and Surface</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Pharmaceuticals, Inc. (incorporated herein by reference to Exhibit 10.2 to the Current Report on Form 8-K of Imprimis Pharmaceuticals, Inc.</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filed with the Securities and Exchange Commission on May 15,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01">
        <w:r>
          <w:rPr>
            <w:rFonts w:ascii="Arial" w:cs="Arial" w:eastAsia="Arial" w:hAnsi="Arial"/>
            <w:sz w:val="18"/>
            <w:szCs w:val="18"/>
            <w:u w:val="single" w:color="auto"/>
            <w:color w:val="0000EE"/>
          </w:rPr>
          <w:t>Amended and Restated License Agreement dated April 10, 2018 between Imprimis Pharmaceuticals, Inc. and Richard L. Lindstrom, M.D.</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(incorporated herein by reference to Exhibit 10.3 to the Quarterly Report on Form 10-Q of Imprimis Pharmaceuticals, Inc. filed with the</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Securities and Exchange Commission on August 6, 2018)</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02">
        <w:r>
          <w:rPr>
            <w:rFonts w:ascii="Arial" w:cs="Arial" w:eastAsia="Arial" w:hAnsi="Arial"/>
            <w:sz w:val="18"/>
            <w:szCs w:val="18"/>
            <w:u w:val="single" w:color="auto"/>
            <w:color w:val="0000EE"/>
          </w:rPr>
          <w:t>Consulting Agreement dated March 1, 2018 between Surface Pharmaceuticals, Inc. and Richard L. Lindstrom, M.D. (incorporated herein by</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reference to Exhibit 10.4 to the Quarterly Report on Form 10-Q of Imprimis Pharmaceuticals, Inc. filed with the Securities and Exchange</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Commission on August 6, 2018)</w:t>
        </w:r>
      </w:hyperlink>
    </w:p>
    <w:p>
      <w:pPr>
        <w:spacing w:after="0" w:line="184"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10.26#</w:t>
      </w:r>
      <w:r>
        <w:rPr>
          <w:sz w:val="20"/>
          <w:szCs w:val="20"/>
          <w:color w:val="auto"/>
        </w:rPr>
        <w:tab/>
      </w:r>
      <w:hyperlink r:id="rId103">
        <w:r>
          <w:rPr>
            <w:rFonts w:ascii="Arial" w:cs="Arial" w:eastAsia="Arial" w:hAnsi="Arial"/>
            <w:sz w:val="16"/>
            <w:szCs w:val="16"/>
            <w:u w:val="single" w:color="auto"/>
            <w:color w:val="0000EE"/>
          </w:rPr>
          <w:t>Consulting Agreement dated May 1, 2018 between Melt Pharmaceuticals, Inc. and Mark L. Baum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103">
        <w:r>
          <w:rPr>
            <w:rFonts w:ascii="Arial" w:cs="Arial" w:eastAsia="Arial" w:hAnsi="Arial"/>
            <w:sz w:val="16"/>
            <w:szCs w:val="16"/>
            <w:u w:val="single" w:color="auto"/>
            <w:color w:val="0000EE"/>
          </w:rPr>
          <w:t>10.1 to the Quarterly Report on Form 10-Q of Imprimis Pharmaceuticals, Inc. filed with the Securities and Exchange Commission on November</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13, 2018)</w:t>
        </w:r>
      </w:hyperlink>
    </w:p>
    <w:p>
      <w:pPr>
        <w:spacing w:after="0" w:line="21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r:id="rId104">
        <w:r>
          <w:rPr>
            <w:rFonts w:ascii="Arial" w:cs="Arial" w:eastAsia="Arial" w:hAnsi="Arial"/>
            <w:sz w:val="16"/>
            <w:szCs w:val="16"/>
            <w:u w:val="single" w:color="auto"/>
            <w:color w:val="0000EE"/>
          </w:rPr>
          <w:t>Consulting Agreement dated May 1, 2018 between Melt Pharmaceuticals, Inc. and Andrew R. Boll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104">
        <w:r>
          <w:rPr>
            <w:rFonts w:ascii="Arial" w:cs="Arial" w:eastAsia="Arial" w:hAnsi="Arial"/>
            <w:sz w:val="16"/>
            <w:szCs w:val="16"/>
            <w:u w:val="single" w:color="auto"/>
            <w:color w:val="0000EE"/>
          </w:rPr>
          <w:t>10.2 to the Quarterly Report on Form 10-Q of Imprimis Pharmaceuticals, Inc. filed with the Securities and Exchange Commission on November</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13, 2018)</w:t>
        </w:r>
      </w:hyperlink>
    </w:p>
    <w:p>
      <w:pPr>
        <w:spacing w:after="0" w:line="211"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05">
        <w:r>
          <w:rPr>
            <w:rFonts w:ascii="Arial" w:cs="Arial" w:eastAsia="Arial" w:hAnsi="Arial"/>
            <w:sz w:val="16"/>
            <w:szCs w:val="16"/>
            <w:u w:val="single" w:color="auto"/>
            <w:color w:val="0000EE"/>
          </w:rPr>
          <w:t>Consulting Agreement dated May 1, 2018 between Melt Pharmaceuticals, Inc. and John P. Saharek (incorporated herein by reference to Exhibit</w:t>
        </w:r>
      </w:hyperlink>
    </w:p>
    <w:p>
      <w:pPr>
        <w:spacing w:after="0" w:line="23" w:lineRule="exact"/>
        <w:rPr>
          <w:rFonts w:ascii="Arial" w:cs="Arial" w:eastAsia="Arial" w:hAnsi="Arial"/>
          <w:sz w:val="18"/>
          <w:szCs w:val="18"/>
          <w:u w:val="single" w:color="auto"/>
          <w:color w:val="0000EE"/>
        </w:rPr>
      </w:pPr>
    </w:p>
    <w:p>
      <w:pPr>
        <w:ind w:left="780"/>
        <w:spacing w:after="0"/>
        <w:rPr>
          <w:rFonts w:ascii="Arial" w:cs="Arial" w:eastAsia="Arial" w:hAnsi="Arial"/>
          <w:sz w:val="16"/>
          <w:szCs w:val="16"/>
          <w:u w:val="single" w:color="auto"/>
          <w:color w:val="0000EE"/>
        </w:rPr>
      </w:pPr>
      <w:hyperlink r:id="rId105">
        <w:r>
          <w:rPr>
            <w:rFonts w:ascii="Arial" w:cs="Arial" w:eastAsia="Arial" w:hAnsi="Arial"/>
            <w:sz w:val="16"/>
            <w:szCs w:val="16"/>
            <w:u w:val="single" w:color="auto"/>
            <w:color w:val="0000EE"/>
          </w:rPr>
          <w:t>10.3 to the Quarterly Report on Form 10-Q of Imprimis Pharmaceuticals, Inc. filed with the Securities and Exchange Commission on November</w:t>
        </w:r>
      </w:hyperlink>
    </w:p>
    <w:p>
      <w:pPr>
        <w:spacing w:after="0" w:line="32" w:lineRule="exact"/>
        <w:rPr>
          <w:rFonts w:ascii="Arial" w:cs="Arial" w:eastAsia="Arial" w:hAnsi="Arial"/>
          <w:sz w:val="18"/>
          <w:szCs w:val="18"/>
          <w:u w:val="single" w:color="auto"/>
          <w:color w:val="0000EE"/>
        </w:rPr>
      </w:pPr>
    </w:p>
    <w:p>
      <w:pPr>
        <w:ind w:left="78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13, 2018)</w:t>
        </w:r>
      </w:hyperlink>
    </w:p>
    <w:p>
      <w:pPr>
        <w:spacing w:after="0" w:line="211" w:lineRule="exact"/>
        <w:rPr>
          <w:rFonts w:ascii="Arial" w:cs="Arial" w:eastAsia="Arial" w:hAnsi="Arial"/>
          <w:sz w:val="18"/>
          <w:szCs w:val="18"/>
          <w:u w:val="single" w:color="auto"/>
          <w:color w:val="0000EE"/>
        </w:rPr>
      </w:pPr>
    </w:p>
    <w:p>
      <w:pPr>
        <w:jc w:val="both"/>
        <w:ind w:left="780" w:right="2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06">
        <w:r>
          <w:rPr>
            <w:rFonts w:ascii="Arial" w:cs="Arial" w:eastAsia="Arial" w:hAnsi="Arial"/>
            <w:sz w:val="18"/>
            <w:szCs w:val="18"/>
            <w:u w:val="single" w:color="auto"/>
            <w:color w:val="0000EE"/>
          </w:rPr>
          <w:t>Asset Purchase Agreement dated December 11, 2018 between Harrow Health, Inc. (fka Imprimis Pharmaceuticals, Inc.) and Melt</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Pharmaceuticals, Inc. (incorporated herein by reference to Exhibit 10.1 to the Current Report on Form 8-K of Harrow Health, Inc. filed with the</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Securities and Exchange Commission on February 5, 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07">
        <w:r>
          <w:rPr>
            <w:rFonts w:ascii="Arial" w:cs="Arial" w:eastAsia="Arial" w:hAnsi="Arial"/>
            <w:sz w:val="18"/>
            <w:szCs w:val="18"/>
            <w:u w:val="single" w:color="auto"/>
            <w:color w:val="0000EE"/>
          </w:rPr>
          <w:t>Asset Purchase Agreement dated February 1, 2019 between Harrow Health, Inc. and Mayfield Pharmaceuticals, Inc. (incorporated herein by</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reference to Exhibit 10.2 to the Quarterly Report on Form 10-Q of Harrow Health, Inc. filed with the Securities and Exchange Commission on</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May 9, 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08">
        <w:r>
          <w:rPr>
            <w:rFonts w:ascii="Arial" w:cs="Arial" w:eastAsia="Arial" w:hAnsi="Arial"/>
            <w:sz w:val="18"/>
            <w:szCs w:val="18"/>
            <w:u w:val="single" w:color="auto"/>
            <w:color w:val="0000EE"/>
          </w:rPr>
          <w:t>Asset Purchase Agreement dated February 1, 2019 between Harrow Health, Inc. and Elle Pharmaceuticals, Inc. (incorporated herein by reference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to Exhibit 10.3 to the Quarterly Report on Form 10-Q of Harrow Health, Inc. filed with the Securities and Exchange Commission on May 9,</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09">
        <w:r>
          <w:rPr>
            <w:rFonts w:ascii="Arial" w:cs="Arial" w:eastAsia="Arial" w:hAnsi="Arial"/>
            <w:sz w:val="18"/>
            <w:szCs w:val="18"/>
            <w:u w:val="single" w:color="auto"/>
            <w:color w:val="0000EE"/>
          </w:rPr>
          <w:t>Joinder and Amendment to Loan and Security Agreement, dated May 24, 2019, by and between Harrow Health, Inc., each of its wholly-owned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subsidiaries and SWK Funding LLC. (incorporated herein by reference to Exhibit 10.1 to the Current Report on Form 8-K of Harrow Health,</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Inc. filed with the Securities and Exchange Commission on May 29, 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10">
        <w:r>
          <w:rPr>
            <w:rFonts w:ascii="Arial" w:cs="Arial" w:eastAsia="Arial" w:hAnsi="Arial"/>
            <w:sz w:val="18"/>
            <w:szCs w:val="18"/>
            <w:u w:val="single" w:color="auto"/>
            <w:color w:val="0000EE"/>
          </w:rPr>
          <w:t>Consulting Agreement dated June 3, 2019 between Mayfield Pharmaceuticals, Inc. and Mark L. Baum (incorporated herein by reference to</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Exhibit 10.3 to the Quarterly Report on Form 10-Q of Harrow Health, Inc. filed with the Securities and Exchange Commission on August 14,</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11">
        <w:r>
          <w:rPr>
            <w:rFonts w:ascii="Arial" w:cs="Arial" w:eastAsia="Arial" w:hAnsi="Arial"/>
            <w:sz w:val="18"/>
            <w:szCs w:val="18"/>
            <w:u w:val="single" w:color="auto"/>
            <w:color w:val="0000EE"/>
          </w:rPr>
          <w:t>Consulting Agreement dated June 3, 2019 between Mayfield Pharmaceuticals, Inc. and Andrew R. Boll (incorporated herein by reference to</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Exhibit 10.2 to the Quarterly Report on Form 10-Q of Harrow Health, Inc. filed with the Securities and Exchange Commission on August 14,</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12">
        <w:r>
          <w:rPr>
            <w:rFonts w:ascii="Arial" w:cs="Arial" w:eastAsia="Arial" w:hAnsi="Arial"/>
            <w:sz w:val="18"/>
            <w:szCs w:val="18"/>
            <w:u w:val="single" w:color="auto"/>
            <w:color w:val="0000EE"/>
          </w:rPr>
          <w:t>Consulting Agreement dated June 3, 2019 between Mayfield Pharmaceuticals, Inc. and John P. Saharek (incorporated herein by reference to</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Exhibit 10.4 to the Quarterly Report on Form 10-Q of Harrow Health, Inc. filed with the Securities and Exchange Commission on August 14,</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13">
        <w:r>
          <w:rPr>
            <w:rFonts w:ascii="Arial" w:cs="Arial" w:eastAsia="Arial" w:hAnsi="Arial"/>
            <w:sz w:val="18"/>
            <w:szCs w:val="18"/>
            <w:u w:val="single" w:color="auto"/>
            <w:color w:val="0000EE"/>
          </w:rPr>
          <w:t>License Agreement, dated July 28, 2019, among Mayfield Pharmaceuticals, Inc., TGV-Health, LLC and TGV-Gyneconix, LLC (incorporated</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herein by reference to Exhibit 10.3 to the Quarterly Report on Form 10-Q of Harrow Health, Inc. filed with the Securities and Exchange</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Commission on November 13, 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14">
        <w:r>
          <w:rPr>
            <w:rFonts w:ascii="Arial" w:cs="Arial" w:eastAsia="Arial" w:hAnsi="Arial"/>
            <w:sz w:val="18"/>
            <w:szCs w:val="18"/>
            <w:u w:val="single" w:color="auto"/>
            <w:color w:val="0000EE"/>
          </w:rPr>
          <w:t>License Agreement, dated July 29, 2019, among Stowe Pharmaceuticals, Inc., TGV-Health, LLC and TGV-Ophthalnix, LLC (incorporated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herein by reference to Exhibit 10.4 to the Quarterly Report on Form 10-Q of Harrow Health, Inc. filed with the Securities and Exchange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Commission on November 13, 2019).</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15">
        <w:r>
          <w:rPr>
            <w:rFonts w:ascii="Arial" w:cs="Arial" w:eastAsia="Arial" w:hAnsi="Arial"/>
            <w:sz w:val="18"/>
            <w:szCs w:val="18"/>
            <w:u w:val="single" w:color="auto"/>
            <w:color w:val="0000EE"/>
          </w:rPr>
          <w:t>Consulting Agreement dated February 13, 2020 between Stowe Pharmaceuticals, Inc. and Mark L. Baum (incorporated herein by reference to</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Exhibit 10.65# to the Annual Report on Form 10-K of Harrow Health, Inc. filed with the Securities and Exchange Commission on March 13,</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2020).</w:t>
        </w:r>
      </w:hyperlink>
    </w:p>
    <w:p>
      <w:pPr>
        <w:spacing w:after="0" w:line="184" w:lineRule="exact"/>
        <w:rPr>
          <w:rFonts w:ascii="Arial" w:cs="Arial" w:eastAsia="Arial" w:hAnsi="Arial"/>
          <w:sz w:val="18"/>
          <w:szCs w:val="18"/>
          <w:u w:val="single" w:color="auto"/>
          <w:color w:val="0000EE"/>
        </w:rPr>
      </w:pPr>
    </w:p>
    <w:p>
      <w:pPr>
        <w:jc w:val="both"/>
        <w:ind w:left="780" w:hanging="768"/>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16">
        <w:r>
          <w:rPr>
            <w:rFonts w:ascii="Arial" w:cs="Arial" w:eastAsia="Arial" w:hAnsi="Arial"/>
            <w:sz w:val="18"/>
            <w:szCs w:val="18"/>
            <w:u w:val="single" w:color="auto"/>
            <w:color w:val="0000EE"/>
          </w:rPr>
          <w:t>Consulting Agreement dated February 13, 2020 between Stowe Pharmaceuticals, Inc. and Andrew R. Boll (incorporated herein by reference to</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Exhibit 10.65# to the Annual Report on Form 10-K of Harrow Health, Inc. filed with the Securities and Exchange Commission on March 13,</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2020).</w:t>
        </w:r>
      </w:hyperlink>
    </w:p>
    <w:p>
      <w:pPr>
        <w:spacing w:after="0" w:line="184" w:lineRule="exact"/>
        <w:rPr>
          <w:rFonts w:ascii="Arial" w:cs="Arial" w:eastAsia="Arial" w:hAnsi="Arial"/>
          <w:sz w:val="18"/>
          <w:szCs w:val="18"/>
          <w:u w:val="single" w:color="auto"/>
          <w:color w:val="0000EE"/>
        </w:rPr>
      </w:pPr>
    </w:p>
    <w:p>
      <w:pPr>
        <w:jc w:val="both"/>
        <w:ind w:left="78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10.40#</w:t>
      </w:r>
      <w:r>
        <w:rPr>
          <w:sz w:val="20"/>
          <w:szCs w:val="20"/>
          <w:color w:val="auto"/>
        </w:rPr>
        <w:tab/>
      </w:r>
      <w:hyperlink r:id="rId117">
        <w:r>
          <w:rPr>
            <w:rFonts w:ascii="Arial" w:cs="Arial" w:eastAsia="Arial" w:hAnsi="Arial"/>
            <w:sz w:val="16"/>
            <w:szCs w:val="16"/>
            <w:u w:val="single" w:color="auto"/>
            <w:color w:val="0000EE"/>
          </w:rPr>
          <w:t>Consulting Agreement dated February 13, 2020 between Stowe Pharmaceuticals, Inc. and John P. Saharek (incorporated herein by reference to</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Exhibit 10.65# to the Annual Report on Form 10-K of Harrow Health, Inc. filed with the Securities and Exchange Commission on March 13,</w:t>
        </w:r>
      </w:hyperlink>
    </w:p>
    <w:p>
      <w:pPr>
        <w:sectPr>
          <w:pgSz w:w="11900" w:h="16969" w:orient="portrait"/>
          <w:cols w:equalWidth="0" w:num="1">
            <w:col w:w="11240"/>
          </w:cols>
          <w:pgMar w:left="320" w:top="692" w:right="339" w:bottom="0" w:gutter="0" w:footer="0" w:header="0"/>
        </w:sectPr>
      </w:pPr>
    </w:p>
    <w:bookmarkStart w:id="61" w:name="page62"/>
    <w:bookmarkEnd w:id="61"/>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2020).</w:t>
        </w:r>
      </w:hyperlink>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29210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59"/>
          </w:cols>
          <w:pgMar w:left="1100" w:top="125" w:right="1440" w:bottom="1440" w:gutter="0" w:footer="0" w:header="0"/>
        </w:sectPr>
      </w:pPr>
    </w:p>
    <w:bookmarkStart w:id="62" w:name="page63"/>
    <w:bookmarkEnd w:id="62"/>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10.41</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Business Loan Agreement with Renasant Bank pursuant to the Paycheck Protection Program, dated April 27, 2020 (incorporated herein by</w:t>
              </w:r>
            </w:hyperlink>
          </w:p>
        </w:tc>
      </w:tr>
      <w:tr>
        <w:trPr>
          <w:trHeight w:val="196"/>
        </w:trPr>
        <w:tc>
          <w:tcPr>
            <w:tcW w:w="900" w:type="dxa"/>
            <w:vAlign w:val="bottom"/>
          </w:tcPr>
          <w:p>
            <w:pPr>
              <w:spacing w:after="0"/>
              <w:rPr>
                <w:sz w:val="17"/>
                <w:szCs w:val="17"/>
                <w:color w:val="auto"/>
              </w:rPr>
            </w:pPr>
          </w:p>
        </w:tc>
        <w:tc>
          <w:tcPr>
            <w:tcW w:w="103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reference to Exhibit 10.1 to the Quarterly Report on Form 10-Q of Harrow Health, Inc. filed with the Securities and Exchange Commission on</w:t>
              </w:r>
            </w:hyperlink>
          </w:p>
        </w:tc>
      </w:tr>
      <w:tr>
        <w:trPr>
          <w:trHeight w:val="196"/>
        </w:trPr>
        <w:tc>
          <w:tcPr>
            <w:tcW w:w="90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August 10, 2020).</w:t>
              </w:r>
            </w:hyperlink>
          </w:p>
        </w:tc>
        <w:tc>
          <w:tcPr>
            <w:tcW w:w="9040" w:type="dxa"/>
            <w:vAlign w:val="bottom"/>
            <w:gridSpan w:val="14"/>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10.42</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Second Amendment, dated as of April 1, 2020, to the Loan and Security Agreement by and among Harrow Health, Inc., several of its wholly-</w:t>
              </w:r>
            </w:hyperlink>
          </w:p>
        </w:tc>
      </w:tr>
      <w:tr>
        <w:trPr>
          <w:trHeight w:val="196"/>
        </w:trPr>
        <w:tc>
          <w:tcPr>
            <w:tcW w:w="900" w:type="dxa"/>
            <w:vAlign w:val="bottom"/>
          </w:tcPr>
          <w:p>
            <w:pPr>
              <w:spacing w:after="0"/>
              <w:rPr>
                <w:sz w:val="17"/>
                <w:szCs w:val="17"/>
                <w:color w:val="auto"/>
              </w:rPr>
            </w:pPr>
          </w:p>
        </w:tc>
        <w:tc>
          <w:tcPr>
            <w:tcW w:w="10340" w:type="dxa"/>
            <w:vAlign w:val="bottom"/>
            <w:gridSpan w:val="17"/>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owned subsidiaries and the Lenders named therein (incorporated herein by reference to Exhibit 10.2 to the Quarterly Report on Form 10-Q of</w:t>
              </w:r>
            </w:hyperlink>
          </w:p>
        </w:tc>
      </w:tr>
      <w:tr>
        <w:trPr>
          <w:trHeight w:val="196"/>
        </w:trPr>
        <w:tc>
          <w:tcPr>
            <w:tcW w:w="90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Harrow Health, Inc. filed with the Securities and Exchange Commission on August 10, 2020).</w:t>
              </w:r>
            </w:hyperlink>
          </w:p>
        </w:tc>
        <w:tc>
          <w:tcPr>
            <w:tcW w:w="35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10.43+</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Commercial Alliance Agreement between Eyepoint Pharmaceuticals, Inc. and ImprimisRx, LLC dated August 1, 2020 (incorporated herein by</w:t>
              </w:r>
            </w:hyperlink>
          </w:p>
        </w:tc>
      </w:tr>
      <w:tr>
        <w:trPr>
          <w:trHeight w:val="196"/>
        </w:trPr>
        <w:tc>
          <w:tcPr>
            <w:tcW w:w="900" w:type="dxa"/>
            <w:vAlign w:val="bottom"/>
          </w:tcPr>
          <w:p>
            <w:pPr>
              <w:spacing w:after="0"/>
              <w:rPr>
                <w:sz w:val="17"/>
                <w:szCs w:val="17"/>
                <w:color w:val="auto"/>
              </w:rPr>
            </w:pPr>
          </w:p>
        </w:tc>
        <w:tc>
          <w:tcPr>
            <w:tcW w:w="103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reference to Exhibit 10.1+ to the Quarterly Report on Form 10-Q of Harrow Health, Inc. filed with the Securities and Exchange Commission</w:t>
              </w:r>
            </w:hyperlink>
          </w:p>
        </w:tc>
      </w:tr>
      <w:tr>
        <w:trPr>
          <w:trHeight w:val="196"/>
        </w:trPr>
        <w:tc>
          <w:tcPr>
            <w:tcW w:w="90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on November 9, 2020).</w:t>
              </w:r>
            </w:hyperlink>
          </w:p>
        </w:tc>
        <w:tc>
          <w:tcPr>
            <w:tcW w:w="8660" w:type="dxa"/>
            <w:vAlign w:val="bottom"/>
            <w:gridSpan w:val="11"/>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10.44</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Securities Purchase Agreement, dated as of May 5, 2021, by and between the Company and B. Riley Securities, Inc. (incorporated herein by</w:t>
              </w:r>
            </w:hyperlink>
          </w:p>
        </w:tc>
      </w:tr>
      <w:tr>
        <w:trPr>
          <w:trHeight w:val="196"/>
        </w:trPr>
        <w:tc>
          <w:tcPr>
            <w:tcW w:w="900" w:type="dxa"/>
            <w:vAlign w:val="bottom"/>
          </w:tcPr>
          <w:p>
            <w:pPr>
              <w:spacing w:after="0"/>
              <w:rPr>
                <w:sz w:val="17"/>
                <w:szCs w:val="17"/>
                <w:color w:val="auto"/>
              </w:rPr>
            </w:pPr>
          </w:p>
        </w:tc>
        <w:tc>
          <w:tcPr>
            <w:tcW w:w="103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reference to Exhibit 10.1 to the Current Report on Form 8-K of the Company filed with the Securities and Exchange Commission on May 5,</w:t>
              </w:r>
            </w:hyperlink>
          </w:p>
        </w:tc>
      </w:tr>
      <w:tr>
        <w:trPr>
          <w:trHeight w:val="196"/>
        </w:trPr>
        <w:tc>
          <w:tcPr>
            <w:tcW w:w="9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2">
              <w:r>
                <w:rPr>
                  <w:rFonts w:ascii="Arial" w:cs="Arial" w:eastAsia="Arial" w:hAnsi="Arial"/>
                  <w:sz w:val="18"/>
                  <w:szCs w:val="18"/>
                  <w:color w:val="0000EE"/>
                  <w:w w:val="86"/>
                </w:rPr>
                <w:t>2021).</w:t>
              </w:r>
            </w:hyperlink>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10.45+</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License and Supply Agreement, dated as of July 25, 2021, by and between the Company and Sintetica, S.A. (incorporated herein by reference</w:t>
              </w:r>
            </w:hyperlink>
          </w:p>
        </w:tc>
      </w:tr>
      <w:tr>
        <w:trPr>
          <w:trHeight w:val="196"/>
        </w:trPr>
        <w:tc>
          <w:tcPr>
            <w:tcW w:w="900" w:type="dxa"/>
            <w:vAlign w:val="bottom"/>
          </w:tcPr>
          <w:p>
            <w:pPr>
              <w:spacing w:after="0"/>
              <w:rPr>
                <w:sz w:val="17"/>
                <w:szCs w:val="17"/>
                <w:color w:val="auto"/>
              </w:rPr>
            </w:pPr>
          </w:p>
        </w:tc>
        <w:tc>
          <w:tcPr>
            <w:tcW w:w="103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123">
              <w:r>
                <w:rPr>
                  <w:rFonts w:ascii="Arial" w:cs="Arial" w:eastAsia="Arial" w:hAnsi="Arial"/>
                  <w:sz w:val="18"/>
                  <w:szCs w:val="18"/>
                  <w:color w:val="0000EE"/>
                  <w:w w:val="95"/>
                </w:rPr>
                <w:t>to Exhibit 10.2+ to the Current Report on Form 10-Q of the Company filed with the Securities and Exchange Commission on August 10,</w:t>
              </w:r>
            </w:hyperlink>
          </w:p>
        </w:tc>
      </w:tr>
      <w:tr>
        <w:trPr>
          <w:trHeight w:val="196"/>
        </w:trPr>
        <w:tc>
          <w:tcPr>
            <w:tcW w:w="9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2021).</w:t>
              </w:r>
            </w:hyperlink>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10.46#</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First Amendment to the Harrow Health, Inc. 2017 Incentive Stock and Awards Plan (incorporated herein by reference to Appendix A to the</w:t>
              </w:r>
            </w:hyperlink>
          </w:p>
        </w:tc>
      </w:tr>
      <w:tr>
        <w:trPr>
          <w:trHeight w:val="196"/>
        </w:trPr>
        <w:tc>
          <w:tcPr>
            <w:tcW w:w="900" w:type="dxa"/>
            <w:vAlign w:val="bottom"/>
          </w:tcPr>
          <w:p>
            <w:pPr>
              <w:spacing w:after="0"/>
              <w:rPr>
                <w:sz w:val="17"/>
                <w:szCs w:val="17"/>
                <w:color w:val="auto"/>
              </w:rPr>
            </w:pPr>
          </w:p>
        </w:tc>
        <w:tc>
          <w:tcPr>
            <w:tcW w:w="10340" w:type="dxa"/>
            <w:vAlign w:val="bottom"/>
            <w:gridSpan w:val="17"/>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Company’s Definitive Proxy Statement filed with the SEC on April 23, 2021).</w:t>
              </w:r>
            </w:hyperlink>
          </w:p>
        </w:tc>
      </w:tr>
      <w:tr>
        <w:trPr>
          <w:trHeight w:val="20"/>
        </w:trPr>
        <w:tc>
          <w:tcPr>
            <w:tcW w:w="9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10.47</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Loan and Security Agreement, dated September 1, 2021, by and between the Company and Melt Pharmaceuticals, Inc. (incorporated herein by</w:t>
              </w:r>
            </w:hyperlink>
          </w:p>
        </w:tc>
      </w:tr>
      <w:tr>
        <w:trPr>
          <w:trHeight w:val="196"/>
        </w:trPr>
        <w:tc>
          <w:tcPr>
            <w:tcW w:w="900" w:type="dxa"/>
            <w:vAlign w:val="bottom"/>
          </w:tcPr>
          <w:p>
            <w:pPr>
              <w:spacing w:after="0"/>
              <w:rPr>
                <w:sz w:val="17"/>
                <w:szCs w:val="17"/>
                <w:color w:val="auto"/>
              </w:rPr>
            </w:pPr>
          </w:p>
        </w:tc>
        <w:tc>
          <w:tcPr>
            <w:tcW w:w="1034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r:id="rId125">
              <w:r>
                <w:rPr>
                  <w:rFonts w:ascii="Arial" w:cs="Arial" w:eastAsia="Arial" w:hAnsi="Arial"/>
                  <w:sz w:val="18"/>
                  <w:szCs w:val="18"/>
                  <w:color w:val="0000EE"/>
                  <w:w w:val="98"/>
                </w:rPr>
                <w:t>reference to Exhibit 10.1 to the Current Report on Form 8-K of the Company filed with the Securities and Exchange Commission on</w:t>
              </w:r>
            </w:hyperlink>
          </w:p>
        </w:tc>
      </w:tr>
      <w:tr>
        <w:trPr>
          <w:trHeight w:val="196"/>
        </w:trPr>
        <w:tc>
          <w:tcPr>
            <w:tcW w:w="9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25">
              <w:r>
                <w:rPr>
                  <w:rFonts w:ascii="Arial" w:cs="Arial" w:eastAsia="Arial" w:hAnsi="Arial"/>
                  <w:sz w:val="18"/>
                  <w:szCs w:val="18"/>
                  <w:color w:val="0000EE"/>
                  <w:w w:val="87"/>
                </w:rPr>
                <w:t>September 2, 2021).</w:t>
              </w:r>
            </w:hyperlink>
          </w:p>
        </w:tc>
        <w:tc>
          <w:tcPr>
            <w:tcW w:w="8880" w:type="dxa"/>
            <w:vAlign w:val="bottom"/>
            <w:gridSpan w:val="12"/>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10.48+</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Basic Sale and Purchase Agreement, dated as of August 18, 2021, by and between the Company and Wakamoto Pharmaceutical Co., Ltd.</w:t>
              </w:r>
            </w:hyperlink>
          </w:p>
        </w:tc>
      </w:tr>
      <w:tr>
        <w:trPr>
          <w:trHeight w:val="196"/>
        </w:trPr>
        <w:tc>
          <w:tcPr>
            <w:tcW w:w="900" w:type="dxa"/>
            <w:vAlign w:val="bottom"/>
          </w:tcPr>
          <w:p>
            <w:pPr>
              <w:spacing w:after="0"/>
              <w:rPr>
                <w:sz w:val="17"/>
                <w:szCs w:val="17"/>
                <w:color w:val="auto"/>
              </w:rPr>
            </w:pPr>
          </w:p>
        </w:tc>
        <w:tc>
          <w:tcPr>
            <w:tcW w:w="10340" w:type="dxa"/>
            <w:vAlign w:val="bottom"/>
            <w:tcBorders>
              <w:bottom w:val="single" w:sz="8" w:color="0000EE"/>
            </w:tcBorders>
            <w:gridSpan w:val="17"/>
          </w:tcPr>
          <w:p>
            <w:pPr>
              <w:ind w:left="80"/>
              <w:spacing w:after="0" w:line="196"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(incorporated herein by reference to Exhibit 10.3+ to the Current Report on Form 10-Q of the Company filed with the Securities and</w:t>
              </w:r>
            </w:hyperlink>
          </w:p>
        </w:tc>
      </w:tr>
      <w:tr>
        <w:trPr>
          <w:trHeight w:val="196"/>
        </w:trPr>
        <w:tc>
          <w:tcPr>
            <w:tcW w:w="900" w:type="dxa"/>
            <w:vAlign w:val="bottom"/>
          </w:tcPr>
          <w:p>
            <w:pPr>
              <w:spacing w:after="0"/>
              <w:rPr>
                <w:sz w:val="17"/>
                <w:szCs w:val="17"/>
                <w:color w:val="auto"/>
              </w:rPr>
            </w:pPr>
          </w:p>
        </w:tc>
        <w:tc>
          <w:tcPr>
            <w:tcW w:w="10340" w:type="dxa"/>
            <w:vAlign w:val="bottom"/>
            <w:gridSpan w:val="17"/>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Exchange Commission on November 9, 2021).</w:t>
              </w:r>
            </w:hyperlink>
          </w:p>
        </w:tc>
      </w:tr>
      <w:tr>
        <w:trPr>
          <w:trHeight w:val="20"/>
        </w:trPr>
        <w:tc>
          <w:tcPr>
            <w:tcW w:w="9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10.49+</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License Agreement, dated as of August 18, 2021, by and between the Company and Wakamoto Pharmaceutical Co., Ltd. (incorporated herein</w:t>
              </w:r>
            </w:hyperlink>
          </w:p>
        </w:tc>
      </w:tr>
      <w:tr>
        <w:trPr>
          <w:trHeight w:val="196"/>
        </w:trPr>
        <w:tc>
          <w:tcPr>
            <w:tcW w:w="900" w:type="dxa"/>
            <w:vAlign w:val="bottom"/>
          </w:tcPr>
          <w:p>
            <w:pPr>
              <w:spacing w:after="0"/>
              <w:rPr>
                <w:sz w:val="17"/>
                <w:szCs w:val="17"/>
                <w:color w:val="auto"/>
              </w:rPr>
            </w:pPr>
          </w:p>
        </w:tc>
        <w:tc>
          <w:tcPr>
            <w:tcW w:w="103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by reference to Exhibit 10.4+ to the Current Report on Form 10-Q of the Company filed with the Securities and Exchange Commission on</w:t>
              </w:r>
            </w:hyperlink>
          </w:p>
        </w:tc>
      </w:tr>
      <w:tr>
        <w:trPr>
          <w:trHeight w:val="196"/>
        </w:trPr>
        <w:tc>
          <w:tcPr>
            <w:tcW w:w="900" w:type="dxa"/>
            <w:vAlign w:val="bottom"/>
          </w:tcPr>
          <w:p>
            <w:pPr>
              <w:spacing w:after="0"/>
              <w:rPr>
                <w:sz w:val="17"/>
                <w:szCs w:val="17"/>
                <w:color w:val="auto"/>
              </w:rPr>
            </w:pPr>
          </w:p>
        </w:tc>
        <w:tc>
          <w:tcPr>
            <w:tcW w:w="10340" w:type="dxa"/>
            <w:vAlign w:val="bottom"/>
            <w:gridSpan w:val="17"/>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November 9, 2021).</w:t>
              </w:r>
            </w:hyperlink>
          </w:p>
        </w:tc>
      </w:tr>
      <w:tr>
        <w:trPr>
          <w:trHeight w:val="20"/>
        </w:trPr>
        <w:tc>
          <w:tcPr>
            <w:tcW w:w="9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10.50*+</w:t>
            </w:r>
          </w:p>
        </w:tc>
        <w:tc>
          <w:tcPr>
            <w:tcW w:w="10340" w:type="dxa"/>
            <w:vAlign w:val="bottom"/>
            <w:gridSpan w:val="1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Expansion Term Letter Agreement between Eyepoint Pharmaceuticals, Inc. and ImprimisRx, LLC dated December 6, 2021.</w:t>
              </w:r>
            </w:hyperlink>
          </w:p>
        </w:tc>
      </w:tr>
      <w:tr>
        <w:trPr>
          <w:trHeight w:val="20"/>
        </w:trPr>
        <w:tc>
          <w:tcPr>
            <w:tcW w:w="9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10.51*</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123">
              <w:r>
                <w:rPr>
                  <w:rFonts w:ascii="Arial" w:cs="Arial" w:eastAsia="Arial" w:hAnsi="Arial"/>
                  <w:sz w:val="18"/>
                  <w:szCs w:val="18"/>
                  <w:color w:val="0000EE"/>
                  <w:w w:val="95"/>
                </w:rPr>
                <w:t>Asset Purchase Agreement, dated as of December 17, 2021, by and between the Company and Novartis Technology, LLC and Novartis</w:t>
              </w:r>
            </w:hyperlink>
          </w:p>
        </w:tc>
      </w:tr>
      <w:tr>
        <w:trPr>
          <w:trHeight w:val="196"/>
        </w:trPr>
        <w:tc>
          <w:tcPr>
            <w:tcW w:w="900" w:type="dxa"/>
            <w:vAlign w:val="bottom"/>
          </w:tcPr>
          <w:p>
            <w:pPr>
              <w:spacing w:after="0"/>
              <w:rPr>
                <w:sz w:val="17"/>
                <w:szCs w:val="17"/>
                <w:color w:val="auto"/>
              </w:rPr>
            </w:pPr>
          </w:p>
        </w:tc>
        <w:tc>
          <w:tcPr>
            <w:tcW w:w="10340" w:type="dxa"/>
            <w:vAlign w:val="bottom"/>
            <w:gridSpan w:val="1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Ophthalmics AG</w:t>
              </w:r>
            </w:hyperlink>
          </w:p>
        </w:tc>
      </w:tr>
      <w:tr>
        <w:trPr>
          <w:trHeight w:val="20"/>
        </w:trPr>
        <w:tc>
          <w:tcPr>
            <w:tcW w:w="9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4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64">
              <w:r>
                <w:rPr>
                  <w:rFonts w:ascii="Arial" w:cs="Arial" w:eastAsia="Arial" w:hAnsi="Arial"/>
                  <w:sz w:val="18"/>
                  <w:szCs w:val="18"/>
                  <w:color w:val="0000EE"/>
                  <w:w w:val="92"/>
                </w:rPr>
                <w:t>List of Subsidiaries</w:t>
              </w:r>
            </w:hyperlink>
          </w:p>
        </w:tc>
        <w:tc>
          <w:tcPr>
            <w:tcW w:w="8900" w:type="dxa"/>
            <w:vAlign w:val="bottom"/>
            <w:gridSpan w:val="13"/>
          </w:tcPr>
          <w:p>
            <w:pPr>
              <w:spacing w:after="0"/>
              <w:rPr>
                <w:sz w:val="24"/>
                <w:szCs w:val="24"/>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65">
              <w:r>
                <w:rPr>
                  <w:rFonts w:ascii="Arial" w:cs="Arial" w:eastAsia="Arial" w:hAnsi="Arial"/>
                  <w:sz w:val="18"/>
                  <w:szCs w:val="18"/>
                  <w:color w:val="0000EE"/>
                  <w:w w:val="90"/>
                </w:rPr>
                <w:t>Consent of Independent Registered Public Accounting Firm</w:t>
              </w:r>
            </w:hyperlink>
          </w:p>
        </w:tc>
        <w:tc>
          <w:tcPr>
            <w:tcW w:w="6020" w:type="dxa"/>
            <w:vAlign w:val="bottom"/>
            <w:gridSpan w:val="7"/>
          </w:tcPr>
          <w:p>
            <w:pPr>
              <w:spacing w:after="0"/>
              <w:rPr>
                <w:sz w:val="24"/>
                <w:szCs w:val="24"/>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10340" w:type="dxa"/>
            <w:vAlign w:val="bottom"/>
            <w:gridSpan w:val="1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Power of Attorney (included on the signature page to this Annual Report)</w:t>
              </w:r>
            </w:hyperlink>
          </w:p>
        </w:tc>
      </w:tr>
      <w:tr>
        <w:trPr>
          <w:trHeight w:val="20"/>
        </w:trPr>
        <w:tc>
          <w:tcPr>
            <w:tcW w:w="900" w:type="dxa"/>
            <w:vAlign w:val="bottom"/>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66">
              <w:r>
                <w:rPr>
                  <w:rFonts w:ascii="Arial" w:cs="Arial" w:eastAsia="Arial" w:hAnsi="Arial"/>
                  <w:sz w:val="18"/>
                  <w:szCs w:val="18"/>
                  <w:color w:val="0000EE"/>
                  <w:w w:val="93"/>
                </w:rPr>
                <w:t>Certification of Mark L. Baum, Chief Executive Officer, pursuant to Rule 13a-14(a) or 15d-14(a) of the Securities and Exchange Act of 1934,</w:t>
              </w:r>
            </w:hyperlink>
          </w:p>
        </w:tc>
      </w:tr>
      <w:tr>
        <w:trPr>
          <w:trHeight w:val="196"/>
        </w:trPr>
        <w:tc>
          <w:tcPr>
            <w:tcW w:w="900" w:type="dxa"/>
            <w:vAlign w:val="bottom"/>
          </w:tcPr>
          <w:p>
            <w:pPr>
              <w:spacing w:after="0"/>
              <w:rPr>
                <w:sz w:val="17"/>
                <w:szCs w:val="17"/>
                <w:color w:val="auto"/>
              </w:rPr>
            </w:pPr>
          </w:p>
        </w:tc>
        <w:tc>
          <w:tcPr>
            <w:tcW w:w="51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66">
              <w:r>
                <w:rPr>
                  <w:rFonts w:ascii="Arial" w:cs="Arial" w:eastAsia="Arial" w:hAnsi="Arial"/>
                  <w:sz w:val="18"/>
                  <w:szCs w:val="18"/>
                  <w:color w:val="0000EE"/>
                  <w:w w:val="89"/>
                </w:rPr>
                <w:t>as adopted pursuant to Section 302 of the Sarbanes-Oxley Act of 2002.</w:t>
              </w:r>
            </w:hyperlink>
          </w:p>
        </w:tc>
        <w:tc>
          <w:tcPr>
            <w:tcW w:w="5220" w:type="dxa"/>
            <w:vAlign w:val="bottom"/>
            <w:gridSpan w:val="6"/>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gridSpan w:val="17"/>
          </w:tcPr>
          <w:p>
            <w:pPr>
              <w:spacing w:after="0"/>
              <w:rPr>
                <w:rFonts w:ascii="Arial" w:cs="Arial" w:eastAsia="Arial" w:hAnsi="Arial"/>
                <w:sz w:val="18"/>
                <w:szCs w:val="18"/>
                <w:color w:val="0000EE"/>
                <w:w w:val="92"/>
              </w:rPr>
            </w:pPr>
            <w:hyperlink w:anchor="page167">
              <w:r>
                <w:rPr>
                  <w:rFonts w:ascii="Arial" w:cs="Arial" w:eastAsia="Arial" w:hAnsi="Arial"/>
                  <w:sz w:val="18"/>
                  <w:szCs w:val="18"/>
                  <w:color w:val="0000EE"/>
                  <w:w w:val="92"/>
                </w:rPr>
                <w:t>Certification of Andrew R. Boll, Chief Financial Officer, pursuant to Rule 13a-14(a) or 15d-14(a) of the Securities and Exchange Act of 1934,</w:t>
              </w:r>
            </w:hyperlink>
          </w:p>
        </w:tc>
      </w:tr>
      <w:tr>
        <w:trPr>
          <w:trHeight w:val="196"/>
        </w:trPr>
        <w:tc>
          <w:tcPr>
            <w:tcW w:w="90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as adopted pursuant to Section 302 of the Sarbanes-Oxley Act of 2002.</w:t>
              </w:r>
            </w:hyperlink>
          </w:p>
        </w:tc>
        <w:tc>
          <w:tcPr>
            <w:tcW w:w="52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68">
              <w:r>
                <w:rPr>
                  <w:rFonts w:ascii="Arial" w:cs="Arial" w:eastAsia="Arial" w:hAnsi="Arial"/>
                  <w:sz w:val="18"/>
                  <w:szCs w:val="18"/>
                  <w:color w:val="0000EE"/>
                  <w:w w:val="91"/>
                </w:rPr>
                <w:t>Certification pursuant to 18 U.S.C. Section 1350, as adopted pursuant to Section 906 of the Sarbanes-Oxley Act of 2002, executed by Mark L.</w:t>
              </w:r>
            </w:hyperlink>
          </w:p>
        </w:tc>
      </w:tr>
      <w:tr>
        <w:trPr>
          <w:trHeight w:val="196"/>
        </w:trPr>
        <w:tc>
          <w:tcPr>
            <w:tcW w:w="900" w:type="dxa"/>
            <w:vAlign w:val="bottom"/>
          </w:tcPr>
          <w:p>
            <w:pPr>
              <w:spacing w:after="0"/>
              <w:rPr>
                <w:sz w:val="17"/>
                <w:szCs w:val="17"/>
                <w:color w:val="auto"/>
              </w:rPr>
            </w:pPr>
          </w:p>
        </w:tc>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68">
              <w:r>
                <w:rPr>
                  <w:rFonts w:ascii="Arial" w:cs="Arial" w:eastAsia="Arial" w:hAnsi="Arial"/>
                  <w:sz w:val="18"/>
                  <w:szCs w:val="18"/>
                  <w:color w:val="0000EE"/>
                  <w:w w:val="92"/>
                </w:rPr>
                <w:t>Baum, Chief Executive Officer.</w:t>
              </w:r>
            </w:hyperlink>
          </w:p>
        </w:tc>
        <w:tc>
          <w:tcPr>
            <w:tcW w:w="8060" w:type="dxa"/>
            <w:vAlign w:val="bottom"/>
            <w:gridSpan w:val="10"/>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69">
              <w:r>
                <w:rPr>
                  <w:rFonts w:ascii="Arial" w:cs="Arial" w:eastAsia="Arial" w:hAnsi="Arial"/>
                  <w:sz w:val="18"/>
                  <w:szCs w:val="18"/>
                  <w:color w:val="0000EE"/>
                  <w:w w:val="91"/>
                </w:rPr>
                <w:t>Certification pursuant to 18 U.S.C. Section 1350, as adopted pursuant to Section 906 of the Sarbanes-Oxley Act of 2002, executed by Andrew</w:t>
              </w:r>
            </w:hyperlink>
          </w:p>
        </w:tc>
      </w:tr>
      <w:tr>
        <w:trPr>
          <w:trHeight w:val="196"/>
        </w:trPr>
        <w:tc>
          <w:tcPr>
            <w:tcW w:w="900" w:type="dxa"/>
            <w:vAlign w:val="bottom"/>
          </w:tcPr>
          <w:p>
            <w:pPr>
              <w:spacing w:after="0"/>
              <w:rPr>
                <w:sz w:val="17"/>
                <w:szCs w:val="17"/>
                <w:color w:val="auto"/>
              </w:rPr>
            </w:pPr>
          </w:p>
        </w:tc>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69">
              <w:r>
                <w:rPr>
                  <w:rFonts w:ascii="Arial" w:cs="Arial" w:eastAsia="Arial" w:hAnsi="Arial"/>
                  <w:sz w:val="18"/>
                  <w:szCs w:val="18"/>
                  <w:color w:val="0000EE"/>
                  <w:w w:val="93"/>
                </w:rPr>
                <w:t>R. Boll, Chief Financial Officer.</w:t>
              </w:r>
            </w:hyperlink>
          </w:p>
        </w:tc>
        <w:tc>
          <w:tcPr>
            <w:tcW w:w="8020" w:type="dxa"/>
            <w:vAlign w:val="bottom"/>
            <w:gridSpan w:val="9"/>
          </w:tcPr>
          <w:p>
            <w:pPr>
              <w:spacing w:after="0"/>
              <w:rPr>
                <w:sz w:val="17"/>
                <w:szCs w:val="17"/>
                <w:color w:val="auto"/>
              </w:rPr>
            </w:pPr>
          </w:p>
        </w:tc>
      </w:tr>
      <w:tr>
        <w:trPr>
          <w:trHeight w:val="438"/>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17"/>
          </w:tcPr>
          <w:p>
            <w:pPr>
              <w:spacing w:after="0"/>
              <w:rPr>
                <w:sz w:val="20"/>
                <w:szCs w:val="20"/>
                <w:color w:val="auto"/>
              </w:rPr>
            </w:pPr>
            <w:r>
              <w:rPr>
                <w:rFonts w:ascii="Arial" w:cs="Arial" w:eastAsia="Arial" w:hAnsi="Arial"/>
                <w:sz w:val="18"/>
                <w:szCs w:val="18"/>
                <w:color w:val="auto"/>
                <w:w w:val="91"/>
              </w:rPr>
              <w:t>XBRL Instant Document - the instance document does not appear in the Interactive Data File because its XBRL tags are embedded within the</w:t>
            </w:r>
          </w:p>
        </w:tc>
      </w:tr>
      <w:tr>
        <w:trPr>
          <w:trHeight w:val="230"/>
        </w:trPr>
        <w:tc>
          <w:tcPr>
            <w:tcW w:w="900" w:type="dxa"/>
            <w:vAlign w:val="bottom"/>
          </w:tcPr>
          <w:p>
            <w:pPr>
              <w:spacing w:after="0"/>
              <w:rPr>
                <w:sz w:val="20"/>
                <w:szCs w:val="20"/>
                <w:color w:val="auto"/>
              </w:rPr>
            </w:pPr>
          </w:p>
        </w:tc>
        <w:tc>
          <w:tcPr>
            <w:tcW w:w="10340" w:type="dxa"/>
            <w:vAlign w:val="bottom"/>
            <w:gridSpan w:val="17"/>
          </w:tcPr>
          <w:p>
            <w:pPr>
              <w:spacing w:after="0"/>
              <w:rPr>
                <w:sz w:val="20"/>
                <w:szCs w:val="20"/>
                <w:color w:val="auto"/>
              </w:rPr>
            </w:pPr>
            <w:r>
              <w:rPr>
                <w:rFonts w:ascii="Arial" w:cs="Arial" w:eastAsia="Arial" w:hAnsi="Arial"/>
                <w:sz w:val="18"/>
                <w:szCs w:val="18"/>
                <w:color w:val="auto"/>
              </w:rPr>
              <w:t>Inline XBRL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900" w:hanging="892"/>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year ended December 31, 2021 has been formatted in Inline XBRL</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w:t>
      </w:r>
    </w:p>
    <w:p>
      <w:pPr>
        <w:sectPr>
          <w:pgSz w:w="11900" w:h="16868" w:orient="portrait"/>
          <w:cols w:equalWidth="0" w:num="1">
            <w:col w:w="11240"/>
          </w:cols>
          <w:pgMar w:left="320" w:top="675" w:right="339" w:bottom="0" w:gutter="0" w:footer="0" w:header="0"/>
        </w:sectPr>
      </w:pPr>
    </w:p>
    <w:bookmarkStart w:id="63" w:name="page64"/>
    <w:bookmarkEnd w:id="63"/>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jc w:val="both"/>
        <w:ind w:left="34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(Principal Executive Officer)</w:t>
      </w:r>
    </w:p>
    <w:p>
      <w:pPr>
        <w:spacing w:after="0" w:line="22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10, 2022</w:t>
      </w:r>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88" w:right="339" w:bottom="1440" w:gutter="0" w:footer="0" w:header="0"/>
        </w:sectPr>
      </w:pPr>
    </w:p>
    <w:p>
      <w:pPr>
        <w:spacing w:after="0" w:line="166"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830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830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52" w:lineRule="exact"/>
        <w:rPr>
          <w:sz w:val="20"/>
          <w:szCs w:val="20"/>
          <w:color w:val="auto"/>
        </w:rPr>
      </w:pPr>
    </w:p>
    <w:p>
      <w:pPr>
        <w:ind w:right="780"/>
        <w:spacing w:after="0" w:line="377" w:lineRule="auto"/>
        <w:rPr>
          <w:sz w:val="20"/>
          <w:szCs w:val="20"/>
          <w:color w:val="auto"/>
        </w:rPr>
      </w:pPr>
      <w:r>
        <w:rPr>
          <w:rFonts w:ascii="Arial" w:cs="Arial" w:eastAsia="Arial" w:hAnsi="Arial"/>
          <w:sz w:val="16"/>
          <w:szCs w:val="16"/>
          <w:i w:val="1"/>
          <w:iCs w:val="1"/>
          <w:color w:val="auto"/>
        </w:rPr>
        <w:t xml:space="preserve">/s/ Robert J. Kammer </w:t>
      </w:r>
      <w:r>
        <w:rPr>
          <w:rFonts w:ascii="Arial" w:cs="Arial" w:eastAsia="Arial" w:hAnsi="Arial"/>
          <w:sz w:val="16"/>
          <w:szCs w:val="16"/>
          <w:color w:val="auto"/>
        </w:rPr>
        <w:t>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Teresa F.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0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Teresa F. Sparks</w:t>
      </w:r>
    </w:p>
    <w:p>
      <w:pPr>
        <w:spacing w:after="0" w:line="225" w:lineRule="exact"/>
        <w:rPr>
          <w:sz w:val="20"/>
          <w:szCs w:val="20"/>
          <w:color w:val="auto"/>
        </w:rPr>
      </w:pPr>
    </w:p>
    <w:p>
      <w:pPr>
        <w:ind w:right="560"/>
        <w:spacing w:after="0" w:line="377" w:lineRule="auto"/>
        <w:rPr>
          <w:sz w:val="20"/>
          <w:szCs w:val="20"/>
          <w:color w:val="auto"/>
        </w:rPr>
      </w:pPr>
      <w:r>
        <w:rPr>
          <w:rFonts w:ascii="Arial" w:cs="Arial" w:eastAsia="Arial" w:hAnsi="Arial"/>
          <w:sz w:val="16"/>
          <w:szCs w:val="16"/>
          <w:i w:val="1"/>
          <w:iCs w:val="1"/>
          <w:color w:val="auto"/>
        </w:rPr>
        <w:t xml:space="preserve">/s/ Richard L. Lindstrom </w:t>
      </w:r>
      <w:r>
        <w:rPr>
          <w:rFonts w:ascii="Arial" w:cs="Arial" w:eastAsia="Arial" w:hAnsi="Arial"/>
          <w:sz w:val="16"/>
          <w:szCs w:val="16"/>
          <w:color w:val="auto"/>
        </w:rPr>
        <w:t>Richard L. Lindstrom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7" w:lineRule="exact"/>
        <w:rPr>
          <w:sz w:val="20"/>
          <w:szCs w:val="20"/>
          <w:color w:val="auto"/>
        </w:rPr>
      </w:pPr>
    </w:p>
    <w:p>
      <w:pPr>
        <w:ind w:right="460"/>
        <w:spacing w:after="0" w:line="377" w:lineRule="auto"/>
        <w:rPr>
          <w:sz w:val="20"/>
          <w:szCs w:val="20"/>
          <w:color w:val="auto"/>
        </w:rPr>
      </w:pPr>
      <w:r>
        <w:rPr>
          <w:rFonts w:ascii="Arial" w:cs="Arial" w:eastAsia="Arial" w:hAnsi="Arial"/>
          <w:sz w:val="16"/>
          <w:szCs w:val="16"/>
          <w:i w:val="1"/>
          <w:iCs w:val="1"/>
          <w:color w:val="auto"/>
        </w:rPr>
        <w:t xml:space="preserve">/s/ R. Lawrence Van Horn </w:t>
      </w:r>
      <w:r>
        <w:rPr>
          <w:rFonts w:ascii="Arial" w:cs="Arial" w:eastAsia="Arial" w:hAnsi="Arial"/>
          <w:sz w:val="16"/>
          <w:szCs w:val="16"/>
          <w:color w:val="auto"/>
        </w:rPr>
        <w:t>R. Lawrence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83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32"/>
        </w:trPr>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Chief Executive Officer and Chairman of the Board</w:t>
            </w:r>
          </w:p>
        </w:tc>
        <w:tc>
          <w:tcPr>
            <w:tcW w:w="2240" w:type="dxa"/>
            <w:vAlign w:val="bottom"/>
          </w:tcPr>
          <w:p>
            <w:pPr>
              <w:spacing w:after="0"/>
              <w:rPr>
                <w:sz w:val="20"/>
                <w:szCs w:val="20"/>
                <w:color w:val="auto"/>
              </w:rPr>
            </w:pPr>
            <w:r>
              <w:rPr>
                <w:rFonts w:ascii="Arial" w:cs="Arial" w:eastAsia="Arial" w:hAnsi="Arial"/>
                <w:sz w:val="18"/>
                <w:szCs w:val="18"/>
                <w:color w:val="auto"/>
              </w:rPr>
              <w:t>March 10, 2022</w:t>
            </w:r>
          </w:p>
        </w:tc>
      </w:tr>
      <w:tr>
        <w:trPr>
          <w:trHeight w:val="270"/>
        </w:trPr>
        <w:tc>
          <w:tcPr>
            <w:tcW w:w="59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3"/>
              </w:rPr>
              <w:t>(Principal Executive Officer)</w:t>
            </w:r>
          </w:p>
        </w:tc>
        <w:tc>
          <w:tcPr>
            <w:tcW w:w="2240" w:type="dxa"/>
            <w:vAlign w:val="bottom"/>
          </w:tcPr>
          <w:p>
            <w:pPr>
              <w:spacing w:after="0"/>
              <w:rPr>
                <w:sz w:val="23"/>
                <w:szCs w:val="23"/>
                <w:color w:val="auto"/>
              </w:rPr>
            </w:pPr>
          </w:p>
        </w:tc>
      </w:tr>
      <w:tr>
        <w:trPr>
          <w:trHeight w:val="432"/>
        </w:trPr>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Chief Financial Officer and Corporate Secretary</w:t>
            </w:r>
          </w:p>
        </w:tc>
        <w:tc>
          <w:tcPr>
            <w:tcW w:w="2240" w:type="dxa"/>
            <w:vAlign w:val="bottom"/>
          </w:tcPr>
          <w:p>
            <w:pPr>
              <w:spacing w:after="0"/>
              <w:rPr>
                <w:sz w:val="20"/>
                <w:szCs w:val="20"/>
                <w:color w:val="auto"/>
              </w:rPr>
            </w:pPr>
            <w:r>
              <w:rPr>
                <w:rFonts w:ascii="Arial" w:cs="Arial" w:eastAsia="Arial" w:hAnsi="Arial"/>
                <w:sz w:val="18"/>
                <w:szCs w:val="18"/>
                <w:color w:val="auto"/>
              </w:rPr>
              <w:t>March 10, 2022</w:t>
            </w:r>
          </w:p>
        </w:tc>
      </w:tr>
      <w:tr>
        <w:trPr>
          <w:trHeight w:val="270"/>
        </w:trPr>
        <w:tc>
          <w:tcPr>
            <w:tcW w:w="59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240" w:type="dxa"/>
            <w:vAlign w:val="bottom"/>
          </w:tcPr>
          <w:p>
            <w:pPr>
              <w:spacing w:after="0"/>
              <w:rPr>
                <w:sz w:val="23"/>
                <w:szCs w:val="23"/>
                <w:color w:val="auto"/>
              </w:rPr>
            </w:pPr>
          </w:p>
        </w:tc>
      </w:tr>
      <w:tr>
        <w:trPr>
          <w:trHeight w:val="459"/>
        </w:trPr>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10, 2022</w:t>
            </w:r>
          </w:p>
        </w:tc>
      </w:tr>
      <w:tr>
        <w:trPr>
          <w:trHeight w:val="688"/>
        </w:trPr>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10, 2022</w:t>
            </w:r>
          </w:p>
        </w:tc>
      </w:tr>
      <w:tr>
        <w:trPr>
          <w:trHeight w:val="675"/>
        </w:trPr>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10, 2022</w:t>
            </w:r>
          </w:p>
        </w:tc>
      </w:tr>
      <w:tr>
        <w:trPr>
          <w:trHeight w:val="675"/>
        </w:trPr>
        <w:tc>
          <w:tcPr>
            <w:tcW w:w="5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10, 2022</w:t>
            </w:r>
          </w:p>
        </w:tc>
      </w:tr>
      <w:tr>
        <w:trPr>
          <w:trHeight w:val="662"/>
        </w:trPr>
        <w:tc>
          <w:tcPr>
            <w:tcW w:w="5740" w:type="dxa"/>
            <w:vAlign w:val="bottom"/>
          </w:tcPr>
          <w:p>
            <w:pPr>
              <w:jc w:val="right"/>
              <w:ind w:right="297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320" w:space="720"/>
            <w:col w:w="8200"/>
          </w:cols>
          <w:pgMar w:left="320" w:top="688"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0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9"/>
              </w:rPr>
              <w:t>FINANCIAL STATEMENTS</w:t>
            </w:r>
          </w:p>
        </w:tc>
        <w:tc>
          <w:tcPr>
            <w:tcW w:w="210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5"/>
              </w:rPr>
              <w:t>Harrow Health, Inc.</w:t>
            </w:r>
          </w:p>
        </w:tc>
        <w:tc>
          <w:tcPr>
            <w:tcW w:w="2100" w:type="dxa"/>
            <w:vAlign w:val="bottom"/>
          </w:tcPr>
          <w:p>
            <w:pPr>
              <w:spacing w:after="0"/>
              <w:rPr>
                <w:sz w:val="24"/>
                <w:szCs w:val="24"/>
                <w:color w:val="auto"/>
              </w:rPr>
            </w:pPr>
          </w:p>
        </w:tc>
      </w:tr>
      <w:tr>
        <w:trPr>
          <w:trHeight w:val="432"/>
        </w:trPr>
        <w:tc>
          <w:tcPr>
            <w:tcW w:w="3420" w:type="dxa"/>
            <w:vAlign w:val="bottom"/>
          </w:tcPr>
          <w:p>
            <w:pPr>
              <w:spacing w:after="0"/>
              <w:rPr>
                <w:sz w:val="24"/>
                <w:szCs w:val="24"/>
                <w:color w:val="auto"/>
              </w:rPr>
            </w:pPr>
          </w:p>
        </w:tc>
        <w:tc>
          <w:tcPr>
            <w:tcW w:w="572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210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170)</w:t>
            </w:r>
          </w:p>
        </w:tc>
        <w:tc>
          <w:tcPr>
            <w:tcW w:w="2100" w:type="dxa"/>
            <w:vAlign w:val="bottom"/>
            <w:shd w:val="clear" w:color="auto" w:fill="CCEEFF"/>
          </w:tcPr>
          <w:p>
            <w:pPr>
              <w:ind w:left="1840"/>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Balance Sheets at December 31, 2021 and 2020</w:t>
              </w:r>
            </w:hyperlink>
          </w:p>
        </w:tc>
        <w:tc>
          <w:tcPr>
            <w:tcW w:w="2100" w:type="dxa"/>
            <w:vAlign w:val="bottom"/>
            <w:shd w:val="clear" w:color="auto" w:fill="CCEEFF"/>
          </w:tcPr>
          <w:p>
            <w:pPr>
              <w:ind w:left="1840"/>
              <w:spacing w:after="0" w:line="176" w:lineRule="exact"/>
              <w:rPr>
                <w:sz w:val="20"/>
                <w:szCs w:val="20"/>
                <w:color w:val="auto"/>
              </w:rPr>
            </w:pPr>
            <w:r>
              <w:rPr>
                <w:rFonts w:ascii="Arial" w:cs="Arial" w:eastAsia="Arial" w:hAnsi="Arial"/>
                <w:sz w:val="18"/>
                <w:szCs w:val="18"/>
                <w:color w:val="auto"/>
                <w:w w:val="88"/>
              </w:rPr>
              <w:t>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Operations for the years ended December 31, 2021 and 2020</w:t>
              </w:r>
            </w:hyperlink>
          </w:p>
        </w:tc>
        <w:tc>
          <w:tcPr>
            <w:tcW w:w="2100" w:type="dxa"/>
            <w:vAlign w:val="bottom"/>
            <w:shd w:val="clear" w:color="auto" w:fill="CCEEFF"/>
          </w:tcPr>
          <w:p>
            <w:pPr>
              <w:ind w:left="1840"/>
              <w:spacing w:after="0" w:line="176" w:lineRule="exact"/>
              <w:rPr>
                <w:sz w:val="20"/>
                <w:szCs w:val="20"/>
                <w:color w:val="auto"/>
              </w:rPr>
            </w:pPr>
            <w:r>
              <w:rPr>
                <w:rFonts w:ascii="Arial" w:cs="Arial" w:eastAsia="Arial" w:hAnsi="Arial"/>
                <w:sz w:val="18"/>
                <w:szCs w:val="18"/>
                <w:color w:val="auto"/>
                <w:w w:val="88"/>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Stockholders’ Equity for the years ended December 31, 2021 and 2020</w:t>
              </w:r>
            </w:hyperlink>
          </w:p>
        </w:tc>
        <w:tc>
          <w:tcPr>
            <w:tcW w:w="2100" w:type="dxa"/>
            <w:vAlign w:val="bottom"/>
            <w:shd w:val="clear" w:color="auto" w:fill="CCEEFF"/>
          </w:tcPr>
          <w:p>
            <w:pPr>
              <w:ind w:left="1840"/>
              <w:spacing w:after="0" w:line="176" w:lineRule="exact"/>
              <w:rPr>
                <w:sz w:val="20"/>
                <w:szCs w:val="20"/>
                <w:color w:val="auto"/>
              </w:rPr>
            </w:pPr>
            <w:r>
              <w:rPr>
                <w:rFonts w:ascii="Arial" w:cs="Arial" w:eastAsia="Arial" w:hAnsi="Arial"/>
                <w:sz w:val="18"/>
                <w:szCs w:val="18"/>
                <w:color w:val="auto"/>
                <w:w w:val="88"/>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 for the years ended December 31, 2021 and 2020</w:t>
              </w:r>
            </w:hyperlink>
          </w:p>
        </w:tc>
        <w:tc>
          <w:tcPr>
            <w:tcW w:w="2100" w:type="dxa"/>
            <w:vAlign w:val="bottom"/>
            <w:shd w:val="clear" w:color="auto" w:fill="CCEEFF"/>
          </w:tcPr>
          <w:p>
            <w:pPr>
              <w:ind w:left="1840"/>
              <w:spacing w:after="0" w:line="176" w:lineRule="exact"/>
              <w:rPr>
                <w:sz w:val="20"/>
                <w:szCs w:val="20"/>
                <w:color w:val="auto"/>
              </w:rPr>
            </w:pPr>
            <w:r>
              <w:rPr>
                <w:rFonts w:ascii="Arial" w:cs="Arial" w:eastAsia="Arial" w:hAnsi="Arial"/>
                <w:sz w:val="18"/>
                <w:szCs w:val="18"/>
                <w:color w:val="auto"/>
                <w:w w:val="88"/>
              </w:rPr>
              <w:t>F-6</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Notes to the Consolidated Financial Statements</w:t>
              </w:r>
            </w:hyperlink>
          </w:p>
        </w:tc>
        <w:tc>
          <w:tcPr>
            <w:tcW w:w="2100" w:type="dxa"/>
            <w:vAlign w:val="bottom"/>
            <w:shd w:val="clear" w:color="auto" w:fill="CCEEFF"/>
          </w:tcPr>
          <w:p>
            <w:pPr>
              <w:ind w:left="1840"/>
              <w:spacing w:after="0" w:line="176" w:lineRule="exact"/>
              <w:rPr>
                <w:sz w:val="20"/>
                <w:szCs w:val="20"/>
                <w:color w:val="auto"/>
              </w:rPr>
            </w:pPr>
            <w:r>
              <w:rPr>
                <w:rFonts w:ascii="Arial" w:cs="Arial" w:eastAsia="Arial" w:hAnsi="Arial"/>
                <w:sz w:val="18"/>
                <w:szCs w:val="18"/>
                <w:color w:val="auto"/>
                <w:w w:val="88"/>
              </w:rPr>
              <w:t>F-7</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gridSpan w:val="4"/>
          </w:tcPr>
          <w:p>
            <w:pPr>
              <w:jc w:val="center"/>
              <w:ind w:right="2340"/>
              <w:spacing w:after="0"/>
              <w:rPr>
                <w:sz w:val="20"/>
                <w:szCs w:val="20"/>
                <w:color w:val="auto"/>
              </w:rPr>
            </w:pPr>
            <w:r>
              <w:rPr>
                <w:rFonts w:ascii="Arial" w:cs="Arial" w:eastAsia="Arial" w:hAnsi="Arial"/>
                <w:sz w:val="18"/>
                <w:szCs w:val="18"/>
                <w:color w:val="auto"/>
                <w:w w:val="88"/>
              </w:rPr>
              <w:t>F-1</w:t>
            </w:r>
          </w:p>
        </w:tc>
        <w:tc>
          <w:tcPr>
            <w:tcW w:w="2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6" w:name="page67"/>
    <w:bookmarkEnd w:id="66"/>
    <w:p>
      <w:pPr>
        <w:spacing w:after="0" w:line="2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Harrow Health, Inc. and subsidiaries (the “Company”) as of December 31, 2021 and 2020, the related consolidated statements of operations, stockholders’ equity and cash flows for each of the two years in the period ended December 31, 2021, and the related notes (collectively referred to as the “consolidated financial statements”). In our opinion, the consolidated financial statements referred to above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Investments in Melt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Notes 2 and 4 to the consolidated financial statements, the Company has investments in Melt Pharmaceuticals, Inc. (“Melt”) which it records under the equity method of accounting. The structure and related agreements between the Company and Melt need to be evaluated for consolidation, including determining whether Melt is a variable interest entity (“VIE”), and if so, whether the Company is the primary beneficiary. This assessment was performed at the formation of Melt and upon the occurrence of reconsideration events. This determination requires significant judgment by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carrying value of the Company’s investments in Melt was $11.1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the accounting for the Company’s investments in Melt, including the primary beneficiary assessment upon the occurrence of reconsideration events, as a critical audit matter given the complex nature of the relevant accounting guidance, as well as the significant judgment required by management. This required a high degree of auditor judgment and an increased extent of audit effort due to the nature and complexity of the agreements between the Company and Melt.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 procedures related to the accounting determination for the investments in Melt, including the primary beneficiary assessment upon the occurrence of reconsideration events, included obtaining an understanding of management’s assessment of the accounting treatment of the investments through examination of the related agreements and evaluation of management’s analysis of the significant terms and characteristics of the investments, the relevant accounting guidance and conclusions. We evaluated management’s conclusions regarding the accounting for the investments in Melt and considered whether management appropriately determined if Melt is a variable interest entity, and if so, appropriately determined the primary beneficiary by considering contractual arrangements of Melt to evaluate if the Company has the power to direct activities and the obligation to absorb losses of Melt or the right to receive benefits from Melt that could be significant to the variable interest.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evaluated evidence obtained in other areas of the audit to determine if there were additional reconsideration events that had not been identified by the Company, including, among others, reading board minutes of Melt and reading and analyzing all relevant provisions of the agreements between the Company and Melt. We further assessed the completeness and accuracy of management’s classification and disclosure of the Company’s investments in Melt.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ectPr>
          <w:pgSz w:w="11900" w:h="16868" w:orient="portrait"/>
          <w:cols w:equalWidth="0" w:num="1">
            <w:col w:w="11240"/>
          </w:cols>
          <w:pgMar w:left="320" w:top="688" w:right="339" w:bottom="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1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6"/>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Cash and cash equivalents, including restricted cash of $200 at December 31, 2020</w:t>
            </w:r>
          </w:p>
        </w:tc>
        <w:tc>
          <w:tcPr>
            <w:tcW w:w="15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42,167</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28,455</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3,962</w:t>
            </w:r>
          </w:p>
        </w:tc>
      </w:tr>
      <w:tr>
        <w:trPr>
          <w:trHeight w:val="23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w:t>
            </w:r>
          </w:p>
        </w:tc>
      </w:tr>
      <w:tr>
        <w:trPr>
          <w:trHeight w:val="203"/>
        </w:trPr>
        <w:tc>
          <w:tcPr>
            <w:tcW w:w="66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60,662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40,982</w:t>
            </w:r>
          </w:p>
        </w:tc>
        <w:tc>
          <w:tcPr>
            <w:tcW w:w="100" w:type="dxa"/>
            <w:vAlign w:val="bottom"/>
            <w:tcBorders>
              <w:top w:val="single" w:sz="8" w:color="CCEEFF"/>
            </w:tcBorders>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Capitalized software development costs, net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15,813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1,939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Surface Pharmaceuticals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Investment in Melt Pharmaceuticals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r>
      <w:tr>
        <w:trPr>
          <w:trHeight w:val="202"/>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43"/>
        </w:trPr>
        <w:tc>
          <w:tcPr>
            <w:tcW w:w="66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5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98,329</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57,474</w:t>
            </w:r>
          </w:p>
        </w:tc>
        <w:tc>
          <w:tcPr>
            <w:tcW w:w="100" w:type="dxa"/>
            <w:vAlign w:val="bottom"/>
            <w:tcBorders>
              <w:top w:val="single" w:sz="8" w:color="CCEEFF"/>
              <w:bottom w:val="single" w:sz="8" w:color="CCEEFF"/>
            </w:tcBorders>
          </w:tcPr>
          <w:p>
            <w:pPr>
              <w:spacing w:after="0"/>
              <w:rPr>
                <w:sz w:val="21"/>
                <w:szCs w:val="21"/>
                <w:color w:val="auto"/>
              </w:rPr>
            </w:pPr>
          </w:p>
        </w:tc>
      </w:tr>
      <w:tr>
        <w:trPr>
          <w:trHeight w:val="197"/>
        </w:trPr>
        <w:tc>
          <w:tcPr>
            <w:tcW w:w="6660" w:type="dxa"/>
            <w:vAlign w:val="bottom"/>
            <w:shd w:val="clear" w:color="auto" w:fill="CCEEFF"/>
          </w:tcPr>
          <w:p>
            <w:pPr>
              <w:ind w:left="1540"/>
              <w:spacing w:after="0" w:line="196" w:lineRule="exact"/>
              <w:rPr>
                <w:sz w:val="20"/>
                <w:szCs w:val="20"/>
                <w:color w:val="auto"/>
              </w:rPr>
            </w:pPr>
            <w:r>
              <w:rPr>
                <w:rFonts w:ascii="Arial" w:cs="Arial" w:eastAsia="Arial" w:hAnsi="Arial"/>
                <w:sz w:val="18"/>
                <w:szCs w:val="18"/>
                <w:color w:val="auto"/>
              </w:rPr>
              <w:t>LIABILITIES AND STOCKHOLDERS’ EQUITY</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6,337</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Current portion of loans payable, net of unamortized debt discount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3,898</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6,012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6,652</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net of current portion</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3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Loans payable, net of current portion and unamortized debt discount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71,654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12,378</w:t>
            </w:r>
          </w:p>
        </w:tc>
      </w:tr>
      <w:tr>
        <w:trPr>
          <w:trHeight w:val="210"/>
        </w:trPr>
        <w:tc>
          <w:tcPr>
            <w:tcW w:w="66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87,398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30,646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$0.001 par value, 50,000,000 shares authorized, 26,902,763 and</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25,749,875 shares issued and outstanding at December 31, 2021 and December 31,</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 respectively</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106,666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104,557</w:t>
            </w:r>
          </w:p>
        </w:tc>
      </w:tr>
      <w:tr>
        <w:trPr>
          <w:trHeight w:val="23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(95,407)</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(77,400)</w:t>
            </w:r>
          </w:p>
        </w:tc>
      </w:tr>
      <w:tr>
        <w:trPr>
          <w:trHeight w:val="203"/>
        </w:trPr>
        <w:tc>
          <w:tcPr>
            <w:tcW w:w="66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HARROW HEALTH STOCKHOLDERS’ EQUITY</w:t>
            </w:r>
          </w:p>
        </w:tc>
        <w:tc>
          <w:tcPr>
            <w:tcW w:w="3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11,286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27,183</w:t>
            </w:r>
          </w:p>
        </w:tc>
        <w:tc>
          <w:tcPr>
            <w:tcW w:w="100" w:type="dxa"/>
            <w:vAlign w:val="bottom"/>
            <w:tcBorders>
              <w:top w:val="single" w:sz="8" w:color="CCEEFF"/>
            </w:tcBorders>
          </w:tcPr>
          <w:p>
            <w:pPr>
              <w:spacing w:after="0"/>
              <w:rPr>
                <w:sz w:val="17"/>
                <w:szCs w:val="17"/>
                <w:color w:val="auto"/>
              </w:rPr>
            </w:pPr>
          </w:p>
        </w:tc>
      </w:tr>
      <w:tr>
        <w:trPr>
          <w:trHeight w:val="23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10"/>
        </w:trPr>
        <w:tc>
          <w:tcPr>
            <w:tcW w:w="66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10,931</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26,828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80" w:type="dxa"/>
            <w:vAlign w:val="bottom"/>
            <w:gridSpan w:val="4"/>
          </w:tcPr>
          <w:p>
            <w:pPr>
              <w:jc w:val="right"/>
              <w:ind w:right="10"/>
              <w:spacing w:after="0"/>
              <w:rPr>
                <w:sz w:val="20"/>
                <w:szCs w:val="20"/>
                <w:color w:val="auto"/>
              </w:rPr>
            </w:pPr>
            <w:r>
              <w:rPr>
                <w:rFonts w:ascii="Arial" w:cs="Arial" w:eastAsia="Arial" w:hAnsi="Arial"/>
                <w:sz w:val="18"/>
                <w:szCs w:val="18"/>
                <w:color w:val="auto"/>
              </w:rPr>
              <w:t>For the Years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9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69,104</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48,479</w:t>
            </w:r>
          </w:p>
        </w:tc>
        <w:tc>
          <w:tcPr>
            <w:tcW w:w="0" w:type="dxa"/>
            <w:vAlign w:val="bottom"/>
          </w:tcPr>
          <w:p>
            <w:pPr>
              <w:spacing w:after="0"/>
              <w:rPr>
                <w:sz w:val="1"/>
                <w:szCs w:val="1"/>
                <w:color w:val="auto"/>
              </w:rPr>
            </w:pPr>
          </w:p>
        </w:tc>
      </w:tr>
      <w:tr>
        <w:trPr>
          <w:trHeight w:val="23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72,476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48,871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(18,214)</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4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54,262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41,315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31,247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11,084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6"/>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Income from operations</w:t>
            </w:r>
          </w:p>
        </w:tc>
        <w:tc>
          <w:tcPr>
            <w:tcW w:w="4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losses of unconsolidated entities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(5,334)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Investment (loss) gain from investment in Eton Pharmaceuticals, net</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(10,126)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Gain on forgiveness of PPP loan</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net</w:t>
            </w:r>
          </w:p>
        </w:tc>
        <w:tc>
          <w:tcPr>
            <w:tcW w:w="4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(19,488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provision</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Income tax provision, net</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loss including noncontrolling interests</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Harrow Health, Inc.</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Preferred dividends and accretion of preferred stock issuance costs</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46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Weighted average number of shares of common stock outstanding, basic and diluted</w:t>
            </w:r>
          </w:p>
        </w:tc>
        <w:tc>
          <w:tcPr>
            <w:tcW w:w="4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26,757,451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25,895,352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Harrow</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6"/>
          </w:tcPr>
          <w:p>
            <w:pPr>
              <w:ind w:left="240"/>
              <w:spacing w:after="0"/>
              <w:rPr>
                <w:sz w:val="20"/>
                <w:szCs w:val="20"/>
                <w:color w:val="auto"/>
              </w:rPr>
            </w:pPr>
            <w:r>
              <w:rPr>
                <w:rFonts w:ascii="Arial" w:cs="Arial" w:eastAsia="Arial" w:hAnsi="Arial"/>
                <w:sz w:val="18"/>
                <w:szCs w:val="18"/>
                <w:color w:val="auto"/>
              </w:rPr>
              <w:t>Common Stock</w:t>
            </w:r>
          </w:p>
        </w:tc>
        <w:tc>
          <w:tcPr>
            <w:tcW w:w="10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Health, Inc.</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Noncontrolling</w:t>
            </w:r>
          </w:p>
        </w:tc>
        <w:tc>
          <w:tcPr>
            <w:tcW w:w="18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Par</w:t>
            </w:r>
          </w:p>
        </w:tc>
        <w:tc>
          <w:tcPr>
            <w:tcW w:w="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85"/>
              </w:rPr>
              <w:t>Par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2"/>
              </w:rPr>
              <w:t>Paid-in</w:t>
            </w:r>
          </w:p>
        </w:tc>
        <w:tc>
          <w:tcPr>
            <w:tcW w:w="1180" w:type="dxa"/>
            <w:vAlign w:val="bottom"/>
            <w:gridSpan w:val="3"/>
          </w:tcPr>
          <w:p>
            <w:pPr>
              <w:spacing w:after="0" w:line="201" w:lineRule="exact"/>
              <w:rPr>
                <w:sz w:val="20"/>
                <w:szCs w:val="20"/>
                <w:color w:val="auto"/>
              </w:rPr>
            </w:pPr>
            <w:r>
              <w:rPr>
                <w:rFonts w:ascii="Arial" w:cs="Arial" w:eastAsia="Arial" w:hAnsi="Arial"/>
                <w:sz w:val="18"/>
                <w:szCs w:val="18"/>
                <w:color w:val="auto"/>
              </w:rPr>
              <w:t>Accumulated</w:t>
            </w:r>
          </w:p>
        </w:tc>
        <w:tc>
          <w:tcPr>
            <w:tcW w:w="124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92"/>
              </w:rPr>
              <w:t>Stockholders’</w:t>
            </w: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86"/>
              </w:rPr>
              <w:t>Interests</w:t>
            </w:r>
          </w:p>
        </w:tc>
        <w:tc>
          <w:tcPr>
            <w:tcW w:w="1100" w:type="dxa"/>
            <w:vAlign w:val="bottom"/>
            <w:gridSpan w:val="3"/>
          </w:tcPr>
          <w:p>
            <w:pPr>
              <w:spacing w:after="0" w:line="201"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Shares</w:t>
            </w:r>
          </w:p>
        </w:tc>
        <w:tc>
          <w:tcPr>
            <w:tcW w:w="68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Value</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188"/>
        </w:trPr>
        <w:tc>
          <w:tcPr>
            <w:tcW w:w="1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Balance at December 31,</w:t>
            </w: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25,526,931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27,711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9"/>
              </w:rPr>
              <w:t>stock in connection with:</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tcPr>
          <w:p>
            <w:pPr>
              <w:ind w:left="180"/>
              <w:spacing w:after="0" w:line="201" w:lineRule="exact"/>
              <w:rPr>
                <w:sz w:val="20"/>
                <w:szCs w:val="20"/>
                <w:color w:val="auto"/>
              </w:rPr>
            </w:pPr>
            <w:r>
              <w:rPr>
                <w:rFonts w:ascii="Arial" w:cs="Arial" w:eastAsia="Arial" w:hAnsi="Arial"/>
                <w:sz w:val="18"/>
                <w:szCs w:val="18"/>
                <w:color w:val="auto"/>
              </w:rPr>
              <w:t>Exercise of employee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stock-based options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RSUs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Pr>
          <w:p>
            <w:pPr>
              <w:ind w:left="180"/>
              <w:spacing w:after="0" w:line="201" w:lineRule="exact"/>
              <w:rPr>
                <w:sz w:val="20"/>
                <w:szCs w:val="20"/>
                <w:color w:val="auto"/>
              </w:rPr>
            </w:pPr>
            <w:r>
              <w:rPr>
                <w:rFonts w:ascii="Arial" w:cs="Arial" w:eastAsia="Arial" w:hAnsi="Arial"/>
                <w:sz w:val="18"/>
                <w:szCs w:val="18"/>
                <w:color w:val="auto"/>
              </w:rPr>
              <w:t>Stock-based payment</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for services provided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2,775</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2,775</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(3,357)</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(3,357)</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188"/>
        </w:trPr>
        <w:tc>
          <w:tcPr>
            <w:tcW w:w="1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Balance at December 31,</w:t>
            </w: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25,749,875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27,183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9"/>
              </w:rPr>
              <w:t>stock in connection with:</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tcPr>
          <w:p>
            <w:pPr>
              <w:ind w:left="180"/>
              <w:spacing w:after="0" w:line="201" w:lineRule="exact"/>
              <w:rPr>
                <w:sz w:val="20"/>
                <w:szCs w:val="20"/>
                <w:color w:val="auto"/>
              </w:rPr>
            </w:pPr>
            <w:r>
              <w:rPr>
                <w:rFonts w:ascii="Arial" w:cs="Arial" w:eastAsia="Arial" w:hAnsi="Arial"/>
                <w:sz w:val="18"/>
                <w:szCs w:val="18"/>
                <w:color w:val="auto"/>
              </w:rPr>
              <w:t>Exercise of employee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stock-based options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25,480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warrants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311,369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Vesting of RSUs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1,207,500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withheld</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net share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equity</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(391,461)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(3,228)</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(3,228)</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Issuance of preferred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shares, net of discounts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and issuance costs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440,000</w:t>
            </w:r>
          </w:p>
        </w:tc>
        <w:tc>
          <w:tcPr>
            <w:tcW w:w="400" w:type="dxa"/>
            <w:vAlign w:val="bottom"/>
          </w:tcPr>
          <w:p>
            <w:pPr>
              <w:spacing w:after="0"/>
              <w:rPr>
                <w:sz w:val="20"/>
                <w:szCs w:val="20"/>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10,655</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10,655</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Redemption of preferred</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(440,000)</w:t>
            </w: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Payment of preferred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dividends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5,745</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5,745</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(18,007)</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(18,007)</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(18,007)</w:t>
            </w:r>
          </w:p>
        </w:tc>
        <w:tc>
          <w:tcPr>
            <w:tcW w:w="0" w:type="dxa"/>
            <w:vAlign w:val="bottom"/>
          </w:tcPr>
          <w:p>
            <w:pPr>
              <w:spacing w:after="0"/>
              <w:rPr>
                <w:sz w:val="1"/>
                <w:szCs w:val="1"/>
                <w:color w:val="auto"/>
              </w:rPr>
            </w:pPr>
          </w:p>
        </w:tc>
      </w:tr>
      <w:tr>
        <w:trPr>
          <w:trHeight w:val="27"/>
        </w:trPr>
        <w:tc>
          <w:tcPr>
            <w:tcW w:w="1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rPr>
              <w:t>Balance at December 31,</w:t>
            </w: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960" w:type="dxa"/>
            <w:vAlign w:val="bottom"/>
            <w:vMerge w:val="continue"/>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7"/>
              </w:rPr>
              <w:t>26,902,763</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106,666</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(95,407)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11,286</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10,931</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gridSpan w:val="4"/>
          </w:tcPr>
          <w:p>
            <w:pPr>
              <w:jc w:val="right"/>
              <w:ind w:right="10"/>
              <w:spacing w:after="0"/>
              <w:rPr>
                <w:sz w:val="20"/>
                <w:szCs w:val="20"/>
                <w:color w:val="auto"/>
              </w:rPr>
            </w:pPr>
            <w:r>
              <w:rPr>
                <w:rFonts w:ascii="Arial" w:cs="Arial" w:eastAsia="Arial" w:hAnsi="Arial"/>
                <w:sz w:val="18"/>
                <w:szCs w:val="18"/>
                <w:color w:val="auto"/>
                <w:w w:val="93"/>
              </w:rPr>
              <w:t>For the Years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Net loss (including noncontrolling interests)</w:t>
            </w:r>
          </w:p>
        </w:tc>
        <w:tc>
          <w:tcPr>
            <w:tcW w:w="140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(18,007)</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loss to net cash provided by (used in) operating activities: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bad debt expense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Interest paid-in-kind on SWK Loan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Gain on forgiveness of PPP loan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 (gain) from investment in Eton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10,126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Equity in losses of unconsolidated entities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and disposal of equipment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Loss on early extinguishment of loan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Stock based payment of consulting services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5,745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6"/>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82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sale of investment in Eton Pharmaceuticals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9,826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Issuance of note receivable, Melt Pharmaceuticals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(12,592)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and disposal of assets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product NDAs and patents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(14,050)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w w:val="91"/>
              </w:rPr>
              <w:t>Purchases of property, plant and equipment and capitalized software development costs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6"/>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82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finance lease obligations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Net proceeds from 8.625% notes payable, net of costs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71,073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and exit fee payments on SWK loan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(15,961)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Net proceeds from PPP loan payable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SWK debt, net of costs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Payment of taxes upon vesting of RSUs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Sale of preferred stock, net of discount and issuance costs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10,655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preferred stock</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Payment of preferred stock dividends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line="203" w:lineRule="exact"/>
              <w:rPr>
                <w:sz w:val="20"/>
                <w:szCs w:val="20"/>
                <w:color w:val="auto"/>
              </w:rPr>
            </w:pPr>
            <w:r>
              <w:rPr>
                <w:rFonts w:ascii="Arial" w:cs="Arial" w:eastAsia="Arial" w:hAnsi="Arial"/>
                <w:sz w:val="18"/>
                <w:szCs w:val="18"/>
                <w:color w:val="auto"/>
              </w:rPr>
              <w:t>NET CHANGE IN CASH, CASH EQUIVALENTS AND RESTRICTED CASH</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37,866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(648)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beginning of year</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4,301</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43"/>
        </w:trPr>
        <w:tc>
          <w:tcPr>
            <w:tcW w:w="682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CASH, CASH EQUIVALENTS AND RESTRICTED CASH, end of year</w:t>
            </w:r>
          </w:p>
        </w:tc>
        <w:tc>
          <w:tcPr>
            <w:tcW w:w="160" w:type="dxa"/>
            <w:vAlign w:val="bottom"/>
            <w:tcBorders>
              <w:top w:val="single" w:sz="8" w:color="CCEEFF"/>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5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42,167</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4,301</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CASH, CASH EQUIVALENTS AND RESTRICTED CASH</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42,167</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CASH, CASH EQUIVALENTS AND RESTRICTED CASH AT END OF YEAR</w:t>
            </w:r>
          </w:p>
        </w:tc>
        <w:tc>
          <w:tcPr>
            <w:tcW w:w="160" w:type="dxa"/>
            <w:vAlign w:val="bottom"/>
            <w:tcBorders>
              <w:top w:val="single" w:sz="8" w:color="CCEEFF"/>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5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42,167</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4,301</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140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Cash paid for interest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180"/>
              <w:spacing w:after="0" w:line="195" w:lineRule="exact"/>
              <w:rPr>
                <w:sz w:val="20"/>
                <w:szCs w:val="20"/>
                <w:color w:val="auto"/>
              </w:rPr>
            </w:pPr>
            <w:r>
              <w:rPr>
                <w:rFonts w:ascii="Arial" w:cs="Arial" w:eastAsia="Arial" w:hAnsi="Arial"/>
                <w:sz w:val="18"/>
                <w:szCs w:val="18"/>
                <w:color w:val="auto"/>
              </w:rPr>
              <w:t>SUPPLEMENTAL DISCLOSURES OF NON-CASH INVESTING AND FINANCING</w:t>
            </w: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Purchase of property, plant and equipment included in accounts payable and accrued</w:t>
            </w:r>
          </w:p>
        </w:tc>
        <w:tc>
          <w:tcPr>
            <w:tcW w:w="1400" w:type="dxa"/>
            <w:vAlign w:val="bottom"/>
            <w:gridSpan w:val="2"/>
            <w:vMerge w:val="restart"/>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123</w:t>
            </w:r>
          </w:p>
        </w:tc>
        <w:tc>
          <w:tcPr>
            <w:tcW w:w="800" w:type="dxa"/>
            <w:vAlign w:val="bottom"/>
            <w:gridSpan w:val="2"/>
            <w:vMerge w:val="restart"/>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4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reduction in right-of-use assets and lease obligations due to modifications</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Melt accounts receivable transferred to note receivable</w:t>
            </w: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688" w:right="339" w:bottom="0" w:gutter="0" w:footer="0" w:header="0"/>
        </w:sectPr>
      </w:pPr>
    </w:p>
    <w:bookmarkStart w:id="72" w:name="page73"/>
    <w:bookmarkEnd w:id="72"/>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are expressed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Harrow Health, Inc. (together with its subsidiaries, partially owned companies and royalty arrangements unless the context indicates or otherwise requires, the “Company” or “Harrow”) is an ophthalmic-focused healthcare company that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non-controlling equity positions in Surface Ophthalmics, Inc. (“Surface”) and Melt Pharmaceuticals, Inc. (“Melt”), both companies that began as subsidiaries of Harrow. In 2020, Harrow created Visionology, Inc. (“Visionology”), which recently launched an online eye health platform business. Harrow also owns royalty rights in various drug candidates being developed by Surface and Melt.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Company suspended the majority of operational efforts related to its subsidiaries Stowe Pharmaceuticals, Inc. (“Stowe”), Radley Pharmaceuticals, Inc. (“Radley”) and Mayfield Pharmaceuticals, Inc. (“Mayfield”) to allocate resources in other areas of the Company’s business. The suspension of these operations did not have a material impact on the financial results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Harrow has prepared the accompanying consolidated financial statements in accordance with accounting principles generally accepted in the United States of America (“GAAP”). The accompanying consolidated financial statements include the accounts of the Company and its wholly-owned subsidiaries, as well as Mayfield and Stowe, subsidiaries of which the Company owned 79% and 70% of their equity interests, respectively, as of December 31, 2020. The remaining 21% of Mayfield was owned by Elle Pharmaceutical, LLC (“Elle”), TGV-Health, LLC and its affiliated entities (collectively “TGV”) or other consultants. Mayfield was organized to develop women’s health-focused drug candidates. The remaining 30% of Stowe was owned by TGV. Stowe was organized to develop ophthalmic drug candidates. During 2021, the Company gained control of 100% of the equity interests in Stowe and Mayfield. The Company controls 100% of the equity interests in Visionology. All inter-company accounts and transactions have been eliminated in consolidation.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consolidates entities in which it has a controlling financial interest. The Company assesses control under the Variable Interest Entity (“VIE”) model to determine whether the Company is the primary beneficiary of that entity’s operations. If an entity is not deemed to be a VIE, we consolidate entities in which we hold and/or control, directly or indirectly, more than 50% of the voting rights.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renewal periods and discount rates for leases, realizability of inventories, recoverability of investments, realizability of deferred taxes, fair value of intangible assets, recoverability of long-lived assets and goodwill, fair value of loans payable, and valuation of stock-based transactions with employees and non-employees.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chief operating decision-maker is its Chief Executive Officer who makes resource allocation decisions and assesses performance based on financial information presented as operating segments. Management has identified two operating segments as reportable segments for periods covered by this Annual Report on Form 10-K. See Note 18 for more information regarding the Company’s reportable segments.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loss attributable to noncontrolling interests in consolidated net loss on the face of the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4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recognizes revenue at the time of transfer of promised goods or services to customers in an amount that reflects the consideration to which the Company expects to be entitled in exchange for those goods or services (see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other products sold, including active pharmaceutical ingredients, personnel costs, packaging, storage, royalties,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(“R&amp;D”) expenses consist of expenses incurred in performing research and development activities, including salaries and benefits, other overhead expenses, and costs related to clinical trials, contract services and outsourced contracts. We expense all costs related to R&amp;D as they are incurred.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Upfront and milestone payments related to the acquisition and licensing of technology for drug and product candidates that are not yet approved by the FDA are considered acquisition of in process R&amp;D and expensed as R&amp;D in the period in which the expense occurs.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and the debt discount are recorded net of loans payable in the consolidated balance sheets. Amortization of debt issuance costs and the debt discount is calculated using the effective interest method over the term of the related debt and is recorded in interest expense in the accompanying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If costs are not capitalized they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process of preparing the Company’s consolidated financial statements, the Company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91" w:lineRule="auto"/>
        <w:rPr>
          <w:sz w:val="20"/>
          <w:szCs w:val="20"/>
          <w:color w:val="auto"/>
        </w:rPr>
      </w:pPr>
      <w:r>
        <w:rPr>
          <w:rFonts w:ascii="Arial" w:cs="Arial" w:eastAsia="Arial" w:hAnsi="Arial"/>
          <w:sz w:val="16"/>
          <w:szCs w:val="16"/>
          <w:color w:val="auto"/>
        </w:rPr>
        <w:t xml:space="preserve">The Company accounts for income taxes under the provisions of Financial Accounting Standards Board (“FASB”)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As of December 31, 2021 and 2020, there were no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2021 and 2020, and has not recognized interest and/or penalties in the consolidated statements of operations for the years ended December 31, 2021 and 2020. The Company is subject to taxation in the United States, California, Florida, Georgia, Illinois, New Jersey, New York, Tennessee, and Wisconsin. The Company’s tax years since 2000 may be subject to examination by the federal and state tax authorities due to the carryforward of unutilized net operating losses.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places its cash with financial institutions deemed by management to be of high credit quality. The Federal Deposit Insurance Corporation (“FDIC”) provides basic deposit coverage with limits up to $250 per owner. From time to time the Company has cash deposits in excess of FDIC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investment in Eton Pharmaceuticals, Inc. (“Eton”) consists of common stock with a readily determinable fair value which is carried at fair value with changes in fair value recognized in earnings. In accordance with the Accounting Standards Update (“ASU”) 2016-01, </w:t>
      </w:r>
      <w:r>
        <w:rPr>
          <w:rFonts w:ascii="Arial" w:cs="Arial" w:eastAsia="Arial" w:hAnsi="Arial"/>
          <w:sz w:val="18"/>
          <w:szCs w:val="18"/>
          <w:i w:val="1"/>
          <w:iCs w:val="1"/>
          <w:color w:val="auto"/>
        </w:rPr>
        <w:t>Financial Instruments-Overall (Subtopic 825-10): Recognition and Measurement of Financial Assets and Financial Liabilities</w:t>
      </w:r>
      <w:r>
        <w:rPr>
          <w:rFonts w:ascii="Arial" w:cs="Arial" w:eastAsia="Arial" w:hAnsi="Arial"/>
          <w:sz w:val="18"/>
          <w:szCs w:val="18"/>
          <w:color w:val="auto"/>
        </w:rPr>
        <w:t>, the Company recorded an unrealized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 gain from its Eton common stock position of $(8,720) and $3,255, during the years ended December 31, 2021, respectively, related to the change in fair market value of its investment in Eton during the measurement period.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2021, the Company sold 1,518,000 shares of its Eton common stock through an underwritten public offering at a public offering price of $7.00 per share (the “Eton Stock Sale”). The gross proceeds to the Company from the Eton Stock Sale were $10,626, before deducting underwriting discounts and commissions and other offering expenses payable by the Company of $799. During the year ended December 31, 2021, the Company recorded a realized loss of $1,406 related to the Eton Stock Sale. Following the Eton Stock Sale and as of December 31, 2021, the Company owns 1,982,000 shares of Eton common stock, which represents less than 10% of the equity interests of Eton. At December 31, 2021, the fair market value of Eton’s common stock was $4.29 per share. As of December 31, 2021, the fair market value of the Company’s investment in Eton was $8,503.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Accounts receivable are presented net of allowances for doubtful accounts and contractual adjustments in the amount of $40 and $98 as of December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stated at the lower of cost or net realizable value.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owns 3,500,000 shares of common stock (which is approximately 46% of the equity interests as of December 31, 2021) of Melt.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consolidated financial statements and adjusts the carrying amount of its investment in Melt accordingly. The Company’s share of earnings and losses are based on the Company’s ownership interest of Melt. Any intra-entity profits and losses are eliminated. During the year ended December 31, 2021, the Company reduced its common stock investment in Melt to $0 as a result of the Company recording its share of equity losses in Melt since its deconsolidation in 2019. As of December 31, 2021 and at the time of entering into the Melt Loan Agreement (see Note 4), the Company owned 100% of the debt owed by Melt. Following the reduction of the carrying value of the Company’s common stock investment in Melt to $0, the Company began recording 100% of the equity method losses of Melt, based on its ownership of total debt owed by Melt in accordance with ASC 323.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in Melt as of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90"/>
              <w:spacing w:after="0"/>
              <w:rPr>
                <w:sz w:val="20"/>
                <w:szCs w:val="20"/>
                <w:color w:val="auto"/>
              </w:rPr>
            </w:pPr>
            <w:r>
              <w:rPr>
                <w:rFonts w:ascii="Arial" w:cs="Arial" w:eastAsia="Arial" w:hAnsi="Arial"/>
                <w:sz w:val="18"/>
                <w:szCs w:val="18"/>
                <w:color w:val="auto"/>
                <w:w w:val="91"/>
              </w:rPr>
              <w:t>Share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01"/>
              <w:spacing w:after="0"/>
              <w:rPr>
                <w:sz w:val="20"/>
                <w:szCs w:val="20"/>
                <w:color w:val="auto"/>
              </w:rPr>
            </w:pPr>
            <w:r>
              <w:rPr>
                <w:rFonts w:ascii="Arial" w:cs="Arial" w:eastAsia="Arial" w:hAnsi="Arial"/>
                <w:sz w:val="18"/>
                <w:szCs w:val="18"/>
                <w:color w:val="auto"/>
                <w:w w:val="89"/>
              </w:rPr>
              <w:t>In-substance</w:t>
            </w: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Net</w:t>
            </w:r>
          </w:p>
        </w:tc>
      </w:t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Cost</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Equity Method</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Paid-in-Kind</w:t>
            </w:r>
          </w:p>
        </w:tc>
        <w:tc>
          <w:tcPr>
            <w:tcW w:w="80" w:type="dxa"/>
            <w:vAlign w:val="bottom"/>
          </w:tcPr>
          <w:p>
            <w:pPr>
              <w:spacing w:after="0"/>
              <w:rPr>
                <w:sz w:val="18"/>
                <w:szCs w:val="18"/>
                <w:color w:val="auto"/>
              </w:rPr>
            </w:pPr>
          </w:p>
        </w:tc>
        <w:tc>
          <w:tcPr>
            <w:tcW w:w="1200" w:type="dxa"/>
            <w:vAlign w:val="bottom"/>
            <w:gridSpan w:val="2"/>
          </w:tcPr>
          <w:p>
            <w:pPr>
              <w:jc w:val="center"/>
              <w:ind w:right="201"/>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r>
      <w:tr>
        <w:trPr>
          <w:trHeight w:val="237"/>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Basis</w:t>
            </w:r>
          </w:p>
        </w:tc>
        <w:tc>
          <w:tcPr>
            <w:tcW w:w="180" w:type="dxa"/>
            <w:vAlign w:val="bottom"/>
          </w:tcPr>
          <w:p>
            <w:pPr>
              <w:spacing w:after="0"/>
              <w:rPr>
                <w:sz w:val="20"/>
                <w:szCs w:val="20"/>
                <w:color w:val="auto"/>
              </w:rPr>
            </w:pPr>
          </w:p>
        </w:tc>
        <w:tc>
          <w:tcPr>
            <w:tcW w:w="116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Interest</w:t>
            </w:r>
          </w:p>
        </w:tc>
        <w:tc>
          <w:tcPr>
            <w:tcW w:w="1280" w:type="dxa"/>
            <w:vAlign w:val="bottom"/>
            <w:gridSpan w:val="3"/>
          </w:tcPr>
          <w:p>
            <w:pPr>
              <w:jc w:val="center"/>
              <w:ind w:right="121"/>
              <w:spacing w:after="0"/>
              <w:rPr>
                <w:sz w:val="20"/>
                <w:szCs w:val="20"/>
                <w:color w:val="auto"/>
              </w:rPr>
            </w:pPr>
            <w:r>
              <w:rPr>
                <w:rFonts w:ascii="Arial" w:cs="Arial" w:eastAsia="Arial" w:hAnsi="Arial"/>
                <w:sz w:val="18"/>
                <w:szCs w:val="18"/>
                <w:color w:val="auto"/>
                <w:w w:val="94"/>
              </w:rPr>
              <w:t>Contributions</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value</w:t>
            </w: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7"/>
              </w:rPr>
              <w:t>(5,810)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Loan</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13,500</w:t>
            </w:r>
          </w:p>
        </w:tc>
        <w:tc>
          <w:tcPr>
            <w:tcW w:w="18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11,133</w:t>
            </w:r>
          </w:p>
        </w:tc>
      </w:tr>
      <w:tr>
        <w:trPr>
          <w:trHeight w:val="216"/>
        </w:trPr>
        <w:tc>
          <w:tcPr>
            <w:tcW w:w="3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6"/>
              </w:rPr>
              <w:t>(8,177</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in Melt as of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200" w:type="dxa"/>
            <w:vAlign w:val="bottom"/>
          </w:tcPr>
          <w:p>
            <w:pPr>
              <w:jc w:val="center"/>
              <w:ind w:left="450"/>
              <w:spacing w:after="0"/>
              <w:rPr>
                <w:sz w:val="20"/>
                <w:szCs w:val="20"/>
                <w:color w:val="auto"/>
              </w:rPr>
            </w:pPr>
            <w:r>
              <w:rPr>
                <w:rFonts w:ascii="Arial" w:cs="Arial" w:eastAsia="Arial" w:hAnsi="Arial"/>
                <w:sz w:val="18"/>
                <w:szCs w:val="18"/>
                <w:color w:val="auto"/>
                <w:w w:val="91"/>
              </w:rPr>
              <w:t>Cost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rPr>
              <w:t>Share of Equity</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Net</w:t>
            </w:r>
          </w:p>
        </w:tc>
      </w:tr>
      <w:tr>
        <w:trPr>
          <w:trHeight w:val="237"/>
        </w:trPr>
        <w:tc>
          <w:tcPr>
            <w:tcW w:w="3260" w:type="dxa"/>
            <w:vAlign w:val="bottom"/>
          </w:tcPr>
          <w:p>
            <w:pPr>
              <w:spacing w:after="0"/>
              <w:rPr>
                <w:sz w:val="20"/>
                <w:szCs w:val="20"/>
                <w:color w:val="auto"/>
              </w:rPr>
            </w:pPr>
          </w:p>
        </w:tc>
        <w:tc>
          <w:tcPr>
            <w:tcW w:w="1200" w:type="dxa"/>
            <w:vAlign w:val="bottom"/>
          </w:tcPr>
          <w:p>
            <w:pPr>
              <w:jc w:val="center"/>
              <w:ind w:left="450"/>
              <w:spacing w:after="0"/>
              <w:rPr>
                <w:sz w:val="20"/>
                <w:szCs w:val="20"/>
                <w:color w:val="auto"/>
              </w:rPr>
            </w:pPr>
            <w:r>
              <w:rPr>
                <w:rFonts w:ascii="Arial" w:cs="Arial" w:eastAsia="Arial" w:hAnsi="Arial"/>
                <w:sz w:val="18"/>
                <w:szCs w:val="18"/>
                <w:color w:val="auto"/>
                <w:w w:val="86"/>
              </w:rPr>
              <w:t>Basis</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rPr>
              <w:t>Method Losses</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Carrying value</w:t>
            </w:r>
          </w:p>
        </w:tc>
      </w:tr>
      <w:tr>
        <w:trPr>
          <w:trHeight w:val="216"/>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and 2020, the Company recorded $48 and $851, respectively, due from Melt for reimbursable expenses and amounts due under a Management Services Agreement between the Company and Melt (the “Melt MSA”), which are included in prepaid expenses and other current assets in the accompanying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3,500,000 common shares (which is approximately 20% of the equity interests following the close of a round of financing completed by Surface in July 2021)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in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 in Surface as of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200" w:type="dxa"/>
            <w:vAlign w:val="bottom"/>
          </w:tcPr>
          <w:p>
            <w:pPr>
              <w:jc w:val="center"/>
              <w:ind w:left="450"/>
              <w:spacing w:after="0"/>
              <w:rPr>
                <w:sz w:val="20"/>
                <w:szCs w:val="20"/>
                <w:color w:val="auto"/>
              </w:rPr>
            </w:pPr>
            <w:r>
              <w:rPr>
                <w:rFonts w:ascii="Arial" w:cs="Arial" w:eastAsia="Arial" w:hAnsi="Arial"/>
                <w:sz w:val="18"/>
                <w:szCs w:val="18"/>
                <w:color w:val="auto"/>
                <w:w w:val="91"/>
              </w:rPr>
              <w:t>Cost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rPr>
              <w:t>Share of Equity</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Net</w:t>
            </w:r>
          </w:p>
        </w:tc>
      </w:tr>
      <w:tr>
        <w:trPr>
          <w:trHeight w:val="237"/>
        </w:trPr>
        <w:tc>
          <w:tcPr>
            <w:tcW w:w="3260" w:type="dxa"/>
            <w:vAlign w:val="bottom"/>
          </w:tcPr>
          <w:p>
            <w:pPr>
              <w:spacing w:after="0"/>
              <w:rPr>
                <w:sz w:val="20"/>
                <w:szCs w:val="20"/>
                <w:color w:val="auto"/>
              </w:rPr>
            </w:pPr>
          </w:p>
        </w:tc>
        <w:tc>
          <w:tcPr>
            <w:tcW w:w="1200" w:type="dxa"/>
            <w:vAlign w:val="bottom"/>
          </w:tcPr>
          <w:p>
            <w:pPr>
              <w:jc w:val="center"/>
              <w:ind w:left="450"/>
              <w:spacing w:after="0"/>
              <w:rPr>
                <w:sz w:val="20"/>
                <w:szCs w:val="20"/>
                <w:color w:val="auto"/>
              </w:rPr>
            </w:pPr>
            <w:r>
              <w:rPr>
                <w:rFonts w:ascii="Arial" w:cs="Arial" w:eastAsia="Arial" w:hAnsi="Arial"/>
                <w:sz w:val="18"/>
                <w:szCs w:val="18"/>
                <w:color w:val="auto"/>
                <w:w w:val="86"/>
              </w:rPr>
              <w:t>Basis</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rPr>
              <w:t>Method Losses</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Carrying value</w:t>
            </w:r>
          </w:p>
        </w:tc>
      </w:tr>
      <w:tr>
        <w:trPr>
          <w:trHeight w:val="216"/>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in Surface as of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200" w:type="dxa"/>
            <w:vAlign w:val="bottom"/>
          </w:tcPr>
          <w:p>
            <w:pPr>
              <w:jc w:val="center"/>
              <w:ind w:left="450"/>
              <w:spacing w:after="0"/>
              <w:rPr>
                <w:sz w:val="20"/>
                <w:szCs w:val="20"/>
                <w:color w:val="auto"/>
              </w:rPr>
            </w:pPr>
            <w:r>
              <w:rPr>
                <w:rFonts w:ascii="Arial" w:cs="Arial" w:eastAsia="Arial" w:hAnsi="Arial"/>
                <w:sz w:val="18"/>
                <w:szCs w:val="18"/>
                <w:color w:val="auto"/>
                <w:w w:val="91"/>
              </w:rPr>
              <w:t>Cost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rPr>
              <w:t>Share of Equity</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Net</w:t>
            </w:r>
          </w:p>
        </w:tc>
      </w:tr>
      <w:tr>
        <w:trPr>
          <w:trHeight w:val="237"/>
        </w:trPr>
        <w:tc>
          <w:tcPr>
            <w:tcW w:w="3260" w:type="dxa"/>
            <w:vAlign w:val="bottom"/>
          </w:tcPr>
          <w:p>
            <w:pPr>
              <w:spacing w:after="0"/>
              <w:rPr>
                <w:sz w:val="20"/>
                <w:szCs w:val="20"/>
                <w:color w:val="auto"/>
              </w:rPr>
            </w:pPr>
          </w:p>
        </w:tc>
        <w:tc>
          <w:tcPr>
            <w:tcW w:w="1200" w:type="dxa"/>
            <w:vAlign w:val="bottom"/>
          </w:tcPr>
          <w:p>
            <w:pPr>
              <w:jc w:val="center"/>
              <w:ind w:left="450"/>
              <w:spacing w:after="0"/>
              <w:rPr>
                <w:sz w:val="20"/>
                <w:szCs w:val="20"/>
                <w:color w:val="auto"/>
              </w:rPr>
            </w:pPr>
            <w:r>
              <w:rPr>
                <w:rFonts w:ascii="Arial" w:cs="Arial" w:eastAsia="Arial" w:hAnsi="Arial"/>
                <w:sz w:val="18"/>
                <w:szCs w:val="18"/>
                <w:color w:val="auto"/>
                <w:w w:val="86"/>
              </w:rPr>
              <w:t>Basis</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rPr>
              <w:t>Method Losses</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Carrying value</w:t>
            </w:r>
          </w:p>
        </w:tc>
      </w:tr>
      <w:tr>
        <w:trPr>
          <w:trHeight w:val="216"/>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Impairment of Equity Method Investments and Note Receivable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quarterly basis, management assesses whether there are any indicators that the carrying value of the Company’s equity method investments and note receivable from Melt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and note receivable. At December 31, 2021 and 2020, no indicators of impairment existed.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Property, plant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hardware and furniture and equipment are depreciated over three to five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capitalizes certain costs related to the development of internal-use software. Costs incurred during the application development phase are capitalized only when the Company believes it is probable the development will result in new or additional functionality. The types of costs capitalized during the application development phase include consulting fees for third-party developers working on these projects. Costs related to the preliminary project stage and post-implementation activities are expensed as incurred. Internal-use software is amortized on a straight-line basis over the estimated useful life of the asset, which ranges from two to five years. When internal-use software that was previously capitalized is abandoned, the cost less the accumulated amortization, if any, is recorded as amortization expense. Fully amortized capitalized internal-use software costs are removed from their respective accounts.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the Company has acquired or may acquire in the future include but are not limited to:</w:t>
      </w:r>
    </w:p>
    <w:p>
      <w:pPr>
        <w:spacing w:after="0" w:line="157"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Acquired product rights, including new drug applications (“NDAs”), are amortized over their estimated useful lives, generally 10 years, based on a straight-line method. Trademarks are an indefinite life intangible asset and are assessed for impairment based on future projected cash flows as further described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spacing w:after="0" w:line="263"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hanging="332"/>
        <w:spacing w:after="0" w:line="274"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jc w:val="both"/>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financial instruments include cash and cash equivalents, restricted cash, investment in Eton, accounts receivable, accounts payable and accrued expenses, accrued payroll and related liabilities, deferred revenue and customer deposits and the Notes. The carrying amount of these financial instruments, except for the investment in Eton and the Notes (see Note 13), approximates fair value due to the short-term maturities of these instruments. The Company’s restricted cash which is comprised of short-term investments are carried at amortized cost, which approximates fair value.</w:t>
      </w:r>
    </w:p>
    <w:p>
      <w:pPr>
        <w:spacing w:after="0" w:line="15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At December 31, 2021 and 2020, the Company measured its investment in Eton at fair value on a recurring basis. The Company’s investment in Eton is classified as Level 1 as the fair value is determined using quoted market prices in active markets for the same securities. As of December 31, 2021 and 2020, the fair market value of the Company’s investment in Eton was $8,503 and $28,455,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At December 31, 2021, the carrying value and fair value of the Notes were $71,654 and $78,810, respectively. The Notes are classified as Level 1 instruments as the fair value is determined using quoted market prices in active markets for the same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stock-based payments to employees, directors and consultants, including grants of stock options, warrants, restricted stock units (“RSUs”) and restricted stock, are recognized in the consolidated financial statements based upon their estimated fair values. The Company uses the Black-Scholes-Merton option pricing model and Monte Carlo simulation model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income per share is computed by dividing the income attributable to common stockholders for the period by the weighted average number of common and common equivalent shares, such as stock options and warrants, outstanding during the period.</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and diluted net loss per share is computed using the weighted average number of shares of common stock outstanding during the period. Common stock equivalents (using the treasury stock or “if converted” method) from stock options, unvested restricted stock units (“RSUs”) and warrants were 5,646,594 and 5,411,929 at December 31, 2021 and 2020, respectively, and are excluded in the calculation of diluted net income per share for the periods presented, because the effect is anti-dilutive for that time period. Included in the basic and diluted net income (loss) per share calculation were RSUs awarded to directors that had vested, but the issuance and delivery of the shares are deferred until the director resigns. The number of shares underlying vested RSUs at December 31, 2021 and 2020 was 267,761 and 200,463,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computation of basic net loss per share of common stock for the years ended December 31, 2021 and 2020 (in 000’s,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0" w:type="dxa"/>
            <w:vAlign w:val="bottom"/>
            <w:gridSpan w:val="5"/>
          </w:tcPr>
          <w:p>
            <w:pPr>
              <w:jc w:val="right"/>
              <w:ind w:right="1141"/>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8"/>
              </w:rPr>
              <w:t>Numerator – net loss attributable to Harrow Health, Inc. common stockholders</w:t>
            </w:r>
          </w:p>
        </w:tc>
        <w:tc>
          <w:tcPr>
            <w:tcW w:w="74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(18,479)</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3"/>
              </w:rPr>
              <w:t>Denominator – weighted average number of shares outstanding, basic and diluted</w:t>
            </w: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26,757,451</w:t>
            </w:r>
          </w:p>
        </w:tc>
        <w:tc>
          <w:tcPr>
            <w:tcW w:w="34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25,895,352</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Simplifying the Accounting for Income Taxes</w:t>
      </w:r>
      <w:r>
        <w:rPr>
          <w:rFonts w:ascii="Arial" w:cs="Arial" w:eastAsia="Arial" w:hAnsi="Arial"/>
          <w:sz w:val="18"/>
          <w:szCs w:val="18"/>
          <w:color w:val="auto"/>
        </w:rPr>
        <w:t>, which simplifies the accounting for income taxes. This guidance became effective for the Company on January 1, 2021 on a prospective basis. Adoption of this ASU did not have a material impact on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items and amounts have been reclassified to conform to the classifications used to prepare the consolidated financial statements for the current period. These reclassifications had no material impact on the Company’s consolidated financial position, results of operations, or cash flows as previously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contracts with customers in accordance with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The Company has two primary streams of revenue: (1) revenue recognized from our sale of products within our pharmacy services and (2) revenue recognized from intellectual property license and asset purchase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its pharmacy and outsourcing facility network. Revenue from our pharmacy services division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we have identified the following:</w:t>
      </w:r>
    </w:p>
    <w:p>
      <w:pPr>
        <w:spacing w:after="0" w:line="18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34"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ind w:left="340" w:right="2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ind w:left="340" w:hanging="332"/>
        <w:spacing w:after="0" w:line="26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2020, the Company entered into an agreement whereby it is paid a fee calculated based on sales the Company generates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the Company and no consequential continuing involvement on the Company’s part to recognize the associated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Profit 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2021, the Company entered into an agreement to purchase the exclusive commercial rights to assets associated with certain ophthalmic products from another pharmaceutical company (the “Seller”). During a temporary, six month transition period, the Seller will continue to manufacture and market these products and transfer the net profit from the sale of the products to the Company. The revenue recognized by the Company from the transfer of net profit is recognized at the time profit from the products sales has been calculated by the Seller and confirmed by the Company, typically on a monthly basis, at which point there is no future performance obligation required by the Company and no consequential continuing involvement on the Company in part to recognize the associated revenue.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promised to grant a license or sale which provides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of time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for the years ended December 31, 2021 and 2020,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40" w:type="dxa"/>
            <w:vAlign w:val="bottom"/>
            <w:gridSpan w:val="6"/>
          </w:tcPr>
          <w:p>
            <w:pPr>
              <w:ind w:left="38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29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69,104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48,479</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b w:val="1"/>
                <w:bCs w:val="1"/>
                <w:color w:val="auto"/>
              </w:rPr>
              <w:t>Commissions</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3,253</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Transfer of profit</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Pr>
          <w:p>
            <w:pPr>
              <w:spacing w:after="0"/>
              <w:rPr>
                <w:sz w:val="20"/>
                <w:szCs w:val="20"/>
                <w:color w:val="auto"/>
              </w:rPr>
            </w:pPr>
            <w:r>
              <w:rPr>
                <w:rFonts w:ascii="Arial" w:cs="Arial" w:eastAsia="Arial" w:hAnsi="Arial"/>
                <w:sz w:val="18"/>
                <w:szCs w:val="18"/>
                <w:b w:val="1"/>
                <w:bCs w:val="1"/>
                <w:color w:val="auto"/>
              </w:rPr>
              <w:t>License</w:t>
            </w: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72,476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December 31, 2021 and 2020, were $16 and $66, respectively. All deferred revenue and customer deposit amounts at December 31, 2020 were recognized as revenue during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 In January and March 2019, the Company entered into the Melt Series A Preferred Stock Agreement, see also Note 2, under the subheading </w:t>
      </w:r>
      <w:r>
        <w:rPr>
          <w:rFonts w:ascii="Arial" w:cs="Arial" w:eastAsia="Arial" w:hAnsi="Arial"/>
          <w:sz w:val="17"/>
          <w:szCs w:val="17"/>
          <w:i w:val="1"/>
          <w:iCs w:val="1"/>
          <w:color w:val="auto"/>
        </w:rPr>
        <w:t>Investment in Melt Pharmaceuticals, Inc</w:t>
      </w:r>
      <w:r>
        <w:rPr>
          <w:rFonts w:ascii="Arial" w:cs="Arial" w:eastAsia="Arial" w:hAnsi="Arial"/>
          <w:sz w:val="17"/>
          <w:szCs w:val="17"/>
          <w:color w:val="auto"/>
        </w:rPr>
        <w: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2019, the Company and Melt entered into the Melt MSA, whereby the Company provides to Melt certain administrative services and support, including bookkeeping, web services and human resources related activities, and Melt is required to pay the Company a monthly amount of $10. As of December 31, 2021 and 2020, the Company was due $48 and $851, respectively, from Melt for reimbursable expenses and amounts due under the Melt MSA. Melt did not make any payments to the Company during the year ended December 31, 2021. The Company’s Chief Executive Officer, Mark L. Baum, was previously a member of the Melt board of directors until his resignation in November 2021. Following Mr. Baum’s departure, the Company no longer has any representation on Melt’s board of directors.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40" w:type="dxa"/>
            <w:vAlign w:val="bottom"/>
            <w:gridSpan w:val="6"/>
          </w:tcPr>
          <w:p>
            <w:pPr>
              <w:jc w:val="right"/>
              <w:ind w:right="361"/>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29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gridSpan w:val="2"/>
          </w:tcPr>
          <w:p>
            <w:pPr>
              <w:jc w:val="right"/>
              <w:ind w:right="141"/>
              <w:spacing w:after="0"/>
              <w:rPr>
                <w:sz w:val="20"/>
                <w:szCs w:val="20"/>
                <w:color w:val="auto"/>
              </w:rPr>
            </w:pPr>
            <w:r>
              <w:rPr>
                <w:rFonts w:ascii="Arial" w:cs="Arial" w:eastAsia="Arial" w:hAnsi="Arial"/>
                <w:sz w:val="18"/>
                <w:szCs w:val="18"/>
                <w:color w:val="auto"/>
              </w:rPr>
              <w:t>6,655</w:t>
            </w: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3,907</w:t>
            </w:r>
          </w:p>
        </w:tc>
      </w:tr>
      <w:tr>
        <w:trPr>
          <w:trHeight w:val="216"/>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60" w:type="dxa"/>
            <w:vAlign w:val="bottom"/>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6"/>
              </w:rPr>
              <w:t>At December 31,</w:t>
            </w:r>
          </w:p>
        </w:tc>
        <w:tc>
          <w:tcPr>
            <w:tcW w:w="11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80" w:type="dxa"/>
            <w:vAlign w:val="bottom"/>
            <w:shd w:val="clear" w:color="auto" w:fill="CCEEFF"/>
          </w:tcPr>
          <w:p>
            <w:pPr>
              <w:jc w:val="right"/>
              <w:ind w:right="10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80" w:type="dxa"/>
            <w:vAlign w:val="bottom"/>
            <w:shd w:val="clear" w:color="auto" w:fill="CCEEFF"/>
          </w:tcPr>
          <w:p>
            <w:pPr>
              <w:spacing w:after="0"/>
              <w:rPr>
                <w:sz w:val="18"/>
                <w:szCs w:val="18"/>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Non-current assets</w:t>
            </w:r>
          </w:p>
        </w:tc>
        <w:tc>
          <w:tcPr>
            <w:tcW w:w="1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tcBorders>
              <w:top w:val="single" w:sz="8" w:color="auto"/>
              <w:bottom w:val="single" w:sz="8" w:color="auto"/>
            </w:tcBorders>
            <w:shd w:val="clear" w:color="auto" w:fill="CCEEFF"/>
          </w:tcPr>
          <w:p>
            <w:pPr>
              <w:jc w:val="right"/>
              <w:ind w:right="10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jc w:val="right"/>
              <w:ind w:right="102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15,732</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preferred stock and stockholders’ (deficit) equity</w:t>
            </w:r>
          </w:p>
        </w:tc>
        <w:tc>
          <w:tcPr>
            <w:tcW w:w="1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(4,454)</w:t>
            </w:r>
          </w:p>
        </w:tc>
        <w:tc>
          <w:tcPr>
            <w:tcW w:w="6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1,622</w:t>
            </w:r>
          </w:p>
        </w:tc>
      </w:tr>
      <w:tr>
        <w:trPr>
          <w:trHeight w:val="216"/>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180" w:type="dxa"/>
            <w:vAlign w:val="bottom"/>
            <w:tcBorders>
              <w:top w:val="single" w:sz="8" w:color="auto"/>
              <w:bottom w:val="single" w:sz="8" w:color="auto"/>
            </w:tcBorders>
            <w:shd w:val="clear" w:color="auto" w:fill="CCEEFF"/>
          </w:tcPr>
          <w:p>
            <w:pPr>
              <w:jc w:val="right"/>
              <w:ind w:right="10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Note Receivable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2021, the Company entered into a loan and security agreement in the principal amount of $13,500 (the “Melt Loan Agreement”), as lender, with Melt, as borrower. Amounts borrowed under the Melt Loan Agreement bear interest at twelve and one-half percent (12.50%) per annum, which interest can be paid in-kind at the option of Melt until the maturity date. The Melt Loan Agreement permits Melt to pay interest only on the principal amount loaned thereunder through the term and all amounts owed will be due and payable on September 1, 2022. Melt may elect to prepay all, but not less than all, of the amounts owed prior to the maturity date at any time without penalty.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three percent (3%) per annum.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funds received by Melt excluded $908 for amounts owed to the Company for reimbursable expenses and amounts due under the Melt MSA prior to the effective date of the note receivable (see Note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OPHTHALMICS, INC. AND AGREEMENTS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the Company owned 3,500,000 shares of Surface common stock (approximately 30% of the issued and outstanding equity interests). A Company director, Richard L. Lindstrom, and the Company’s Chief Executive Officer, Mark L. Baum, are directors of Surface. Dr. Lindstrom is a principal of Flying L Partners, an affiliate of a funding investor who purchased the Surface Series A Preferred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29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10,143</w:t>
            </w: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8,109</w:t>
            </w:r>
          </w:p>
        </w:tc>
      </w:tr>
      <w:tr>
        <w:trPr>
          <w:trHeight w:val="216"/>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(10,143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6"/>
              </w:rPr>
              <w:t>At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80" w:type="dxa"/>
            <w:vAlign w:val="bottom"/>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80" w:type="dxa"/>
            <w:vAlign w:val="bottom"/>
            <w:shd w:val="clear" w:color="auto" w:fill="CCEEFF"/>
          </w:tcPr>
          <w:p>
            <w:pPr>
              <w:spacing w:after="0"/>
              <w:rPr>
                <w:sz w:val="18"/>
                <w:szCs w:val="18"/>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Non-current assets</w:t>
            </w:r>
          </w:p>
        </w:tc>
        <w:tc>
          <w:tcPr>
            <w:tcW w:w="1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412</w:t>
            </w:r>
          </w:p>
        </w:tc>
        <w:tc>
          <w:tcPr>
            <w:tcW w:w="6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1,514</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20,629</w:t>
            </w:r>
          </w:p>
        </w:tc>
        <w:tc>
          <w:tcPr>
            <w:tcW w:w="6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7,453</w:t>
            </w:r>
          </w:p>
        </w:tc>
      </w:tr>
      <w:tr>
        <w:trPr>
          <w:trHeight w:val="216"/>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RESTRICTED CASH</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restricted cash at December 31, 2020 consisted of funds in a money market account and held as collateral for additional security for the Company’s New Jersey facility lease. All restrictions on this cash were released during the year ended December 31, 2021. At December 31, 2020, the restricted cash was recorded at amortized cost, which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December 31, 2021 and 2020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7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Work in progress</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3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1,776</w:t>
            </w:r>
          </w:p>
        </w:tc>
        <w:tc>
          <w:tcPr>
            <w:tcW w:w="4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20" w:type="dxa"/>
            <w:vAlign w:val="bottom"/>
            <w:shd w:val="clear" w:color="auto" w:fill="CCEEFF"/>
          </w:tcPr>
          <w:p>
            <w:pPr>
              <w:spacing w:after="0"/>
              <w:rPr>
                <w:sz w:val="20"/>
                <w:szCs w:val="20"/>
                <w:color w:val="auto"/>
              </w:rPr>
            </w:pPr>
          </w:p>
        </w:tc>
      </w:tr>
      <w:tr>
        <w:trPr>
          <w:trHeight w:val="203"/>
        </w:trPr>
        <w:tc>
          <w:tcPr>
            <w:tcW w:w="3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inventories</w:t>
            </w:r>
          </w:p>
        </w:tc>
        <w:tc>
          <w:tcPr>
            <w:tcW w:w="900" w:type="dxa"/>
            <w:vAlign w:val="bottom"/>
            <w:tcBorders>
              <w:top w:val="single" w:sz="8" w:color="auto"/>
              <w:bottom w:val="single" w:sz="8" w:color="auto"/>
            </w:tcBorders>
          </w:tcPr>
          <w:p>
            <w:pPr>
              <w:jc w:val="right"/>
              <w:ind w:right="710"/>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4,217</w:t>
            </w:r>
          </w:p>
        </w:tc>
        <w:tc>
          <w:tcPr>
            <w:tcW w:w="16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3,962</w:t>
            </w:r>
          </w:p>
        </w:tc>
        <w:tc>
          <w:tcPr>
            <w:tcW w:w="20" w:type="dxa"/>
            <w:vAlign w:val="bottom"/>
            <w:tcBorders>
              <w:top w:val="single" w:sz="8" w:color="CCEEFF"/>
              <w:bottom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38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38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prepaid expenses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w:t>
            </w:r>
          </w:p>
        </w:tc>
        <w:tc>
          <w:tcPr>
            <w:tcW w:w="33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Receivable due from Melt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380" w:type="dxa"/>
            <w:vAlign w:val="bottom"/>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Deposits and other current assets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3380" w:type="dxa"/>
            <w:vAlign w:val="bottom"/>
          </w:tcPr>
          <w:p>
            <w:pPr>
              <w:spacing w:after="0"/>
              <w:rPr>
                <w:sz w:val="19"/>
                <w:szCs w:val="19"/>
                <w:color w:val="auto"/>
              </w:rPr>
            </w:pPr>
          </w:p>
        </w:tc>
      </w:tr>
      <w:tr>
        <w:trPr>
          <w:trHeight w:val="216"/>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38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636"/>
        </w:trPr>
        <w:tc>
          <w:tcPr>
            <w:tcW w:w="3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7"/>
              </w:rPr>
              <w:t>F-17</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9.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at December 31, 2021 and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8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Computer hardware</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4,056</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3,426</w:t>
            </w:r>
          </w:p>
        </w:tc>
        <w:tc>
          <w:tcPr>
            <w:tcW w:w="40" w:type="dxa"/>
            <w:vAlign w:val="bottom"/>
          </w:tcPr>
          <w:p>
            <w:pPr>
              <w:spacing w:after="0"/>
              <w:rPr>
                <w:sz w:val="18"/>
                <w:szCs w:val="18"/>
                <w:color w:val="auto"/>
              </w:rPr>
            </w:pPr>
          </w:p>
        </w:tc>
      </w:tr>
      <w:tr>
        <w:trPr>
          <w:trHeight w:val="23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5,703</w:t>
            </w:r>
          </w:p>
        </w:tc>
        <w:tc>
          <w:tcPr>
            <w:tcW w:w="5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5,720</w:t>
            </w:r>
          </w:p>
        </w:tc>
        <w:tc>
          <w:tcPr>
            <w:tcW w:w="40" w:type="dxa"/>
            <w:vAlign w:val="bottom"/>
            <w:shd w:val="clear" w:color="auto" w:fill="CCEEFF"/>
          </w:tcPr>
          <w:p>
            <w:pPr>
              <w:spacing w:after="0"/>
              <w:rPr>
                <w:sz w:val="20"/>
                <w:szCs w:val="20"/>
                <w:color w:val="auto"/>
              </w:rPr>
            </w:pPr>
          </w:p>
        </w:tc>
      </w:tr>
      <w:tr>
        <w:trPr>
          <w:trHeight w:val="203"/>
        </w:trPr>
        <w:tc>
          <w:tcPr>
            <w:tcW w:w="38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10,974</w:t>
            </w:r>
          </w:p>
        </w:tc>
        <w:tc>
          <w:tcPr>
            <w:tcW w:w="2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10,254</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3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(7,833)</w:t>
            </w:r>
          </w:p>
        </w:tc>
        <w:tc>
          <w:tcPr>
            <w:tcW w:w="5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(6,386)</w:t>
            </w:r>
          </w:p>
        </w:tc>
      </w:tr>
      <w:tr>
        <w:trPr>
          <w:trHeight w:val="203"/>
        </w:trPr>
        <w:tc>
          <w:tcPr>
            <w:tcW w:w="38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3,141</w:t>
            </w:r>
          </w:p>
        </w:tc>
        <w:tc>
          <w:tcPr>
            <w:tcW w:w="220" w:type="dxa"/>
            <w:vAlign w:val="bottom"/>
            <w:tcBorders>
              <w:top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3,868</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3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years ended December 31, 2021 and 2020, the Company disposed of property, plant and equipment with a net book value of $41 and a write down of equipment of $150 and $105, respectively, related to the discontinued use of certain lab equipment and computer software and hardware and is included in other expense, net in of the consolidated statements of operations. The Company purchased $753 of lab and pharmacy equipment from Eton during the year ended December 31, 2021. The Company recorded depreciation and amortization expense of $1,580 and $1,702 during the years ended December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CAPITALIZED SOFTWARE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at December 31, 2021 and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internal-use software development costs</w:t>
            </w:r>
          </w:p>
        </w:tc>
        <w:tc>
          <w:tcPr>
            <w:tcW w:w="1240" w:type="dxa"/>
            <w:vAlign w:val="bottom"/>
            <w:shd w:val="clear" w:color="auto" w:fill="CCEEFF"/>
          </w:tcPr>
          <w:p>
            <w:pPr>
              <w:jc w:val="right"/>
              <w:ind w:right="108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8"/>
                <w:szCs w:val="18"/>
                <w:color w:val="auto"/>
              </w:rPr>
              <w:t>Acquired third-party software license for internal-use</w:t>
            </w:r>
          </w:p>
        </w:tc>
        <w:tc>
          <w:tcPr>
            <w:tcW w:w="12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684</w:t>
            </w:r>
          </w:p>
        </w:tc>
        <w:tc>
          <w:tcPr>
            <w:tcW w:w="5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r>
      <w:tr>
        <w:trPr>
          <w:trHeight w:val="236"/>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capitalized software for internal-use</w:t>
            </w: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060" w:type="dxa"/>
            <w:vAlign w:val="bottom"/>
          </w:tcPr>
          <w:p>
            <w:pPr>
              <w:spacing w:after="0" w:line="203" w:lineRule="exact"/>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(569)</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(432)</w:t>
            </w:r>
          </w:p>
        </w:tc>
        <w:tc>
          <w:tcPr>
            <w:tcW w:w="80" w:type="dxa"/>
            <w:vAlign w:val="bottom"/>
            <w:gridSpan w:val="2"/>
          </w:tcPr>
          <w:p>
            <w:pPr>
              <w:spacing w:after="0"/>
              <w:rPr>
                <w:sz w:val="17"/>
                <w:szCs w:val="17"/>
                <w:color w:val="auto"/>
              </w:rPr>
            </w:pPr>
          </w:p>
        </w:tc>
      </w:tr>
      <w:tr>
        <w:trPr>
          <w:trHeight w:val="23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in process</w:t>
            </w:r>
          </w:p>
        </w:tc>
        <w:tc>
          <w:tcPr>
            <w:tcW w:w="1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w:t>
            </w:r>
          </w:p>
        </w:tc>
        <w:tc>
          <w:tcPr>
            <w:tcW w:w="5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20"/>
                <w:szCs w:val="20"/>
                <w:color w:val="auto"/>
              </w:rPr>
            </w:pPr>
          </w:p>
        </w:tc>
      </w:tr>
      <w:tr>
        <w:trPr>
          <w:trHeight w:val="203"/>
        </w:trPr>
        <w:tc>
          <w:tcPr>
            <w:tcW w:w="5060" w:type="dxa"/>
            <w:vAlign w:val="bottom"/>
            <w:tcBorders>
              <w:top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08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1,313</w:t>
            </w:r>
          </w:p>
        </w:tc>
        <w:tc>
          <w:tcPr>
            <w:tcW w:w="24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amortization expense of $137 and $178 related to capitalized software development costs during the years ended December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December 31, 2020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periods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w w:val="96"/>
              </w:rPr>
              <w:t>Accumulated</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37"/>
        </w:trPr>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361"/>
              <w:spacing w:after="0"/>
              <w:rPr>
                <w:sz w:val="20"/>
                <w:szCs w:val="20"/>
                <w:color w:val="auto"/>
              </w:rPr>
            </w:pPr>
            <w:r>
              <w:rPr>
                <w:rFonts w:ascii="Arial" w:cs="Arial" w:eastAsia="Arial" w:hAnsi="Arial"/>
                <w:sz w:val="18"/>
                <w:szCs w:val="18"/>
                <w:color w:val="auto"/>
                <w:w w:val="99"/>
              </w:rPr>
              <w:t>amortization</w:t>
            </w:r>
          </w:p>
        </w:tc>
        <w:tc>
          <w:tcPr>
            <w:tcW w:w="180" w:type="dxa"/>
            <w:vAlign w:val="bottom"/>
          </w:tcPr>
          <w:p>
            <w:pPr>
              <w:spacing w:after="0"/>
              <w:rPr>
                <w:sz w:val="20"/>
                <w:szCs w:val="20"/>
                <w:color w:val="auto"/>
              </w:rPr>
            </w:pPr>
          </w:p>
        </w:tc>
        <w:tc>
          <w:tcPr>
            <w:tcW w:w="1400" w:type="dxa"/>
            <w:vAlign w:val="bottom"/>
            <w:gridSpan w:val="2"/>
          </w:tcPr>
          <w:p>
            <w:pPr>
              <w:jc w:val="right"/>
              <w:ind w:right="381"/>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Carrying value</w:t>
            </w:r>
          </w:p>
        </w:tc>
      </w:tr>
      <w:tr>
        <w:trPr>
          <w:trHeight w:val="21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17-19 years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Licenses</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20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Indefinite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3-15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c>
          <w:tcPr>
            <w:tcW w:w="6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Non-competition clause</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3-4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 years</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r>
      <w:tr>
        <w:trPr>
          <w:trHeight w:val="203"/>
        </w:trPr>
        <w:tc>
          <w:tcPr>
            <w:tcW w:w="20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(615</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(363</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1,939</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2020, the Company recorded impairment charges of $363 related to patent filings and trademarks that were abandoned and/or were associated with products the Company was no longer actively selling.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2021, the Company entered into an Asset Purchase Agreement (the “NVS Agreement”) with Novartis Technology, LLC and Novartis Ophthalmics AG (together, “NVS”), pursuant to which the Company purchased from NVS the exclusive commercial rights, including the New Drug Applications (“NDAs”), to assets associated with ophthalmic products Moxeza, Iopidine 1% and 0.5%, and Maxitrol eyedrops suspension (collectively the “ NVS Products”) in the United States of America(“U.S.”). The Company made a one-time payment of $14,050 to NVS for the U.S. rights to the NVS Products and their related intellectual property. The Company accounted for this transaction as an asset acquisition, as the Company only acquired the rights and related intellectual property for the NVS Products and the cost was allocated to the acquired patents and NDAs based on their relative fair values.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132"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The Company’s intangible assets at December 31, 2021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periods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w w:val="96"/>
              </w:rPr>
              <w:t>Accumulated</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37"/>
        </w:trPr>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361"/>
              <w:spacing w:after="0"/>
              <w:rPr>
                <w:sz w:val="20"/>
                <w:szCs w:val="20"/>
                <w:color w:val="auto"/>
              </w:rPr>
            </w:pPr>
            <w:r>
              <w:rPr>
                <w:rFonts w:ascii="Arial" w:cs="Arial" w:eastAsia="Arial" w:hAnsi="Arial"/>
                <w:sz w:val="18"/>
                <w:szCs w:val="18"/>
                <w:color w:val="auto"/>
                <w:w w:val="99"/>
              </w:rPr>
              <w:t>amortization</w:t>
            </w:r>
          </w:p>
        </w:tc>
        <w:tc>
          <w:tcPr>
            <w:tcW w:w="180" w:type="dxa"/>
            <w:vAlign w:val="bottom"/>
          </w:tcPr>
          <w:p>
            <w:pPr>
              <w:spacing w:after="0"/>
              <w:rPr>
                <w:sz w:val="20"/>
                <w:szCs w:val="20"/>
                <w:color w:val="auto"/>
              </w:rPr>
            </w:pPr>
          </w:p>
        </w:tc>
        <w:tc>
          <w:tcPr>
            <w:tcW w:w="1400" w:type="dxa"/>
            <w:vAlign w:val="bottom"/>
            <w:gridSpan w:val="2"/>
          </w:tcPr>
          <w:p>
            <w:pPr>
              <w:jc w:val="right"/>
              <w:ind w:right="381"/>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Carrying value</w:t>
            </w:r>
          </w:p>
        </w:tc>
      </w:tr>
      <w:tr>
        <w:trPr>
          <w:trHeight w:val="21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7-19 years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Licenses</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20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Indefinite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Acquired NDAs</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10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13,635</w:t>
            </w:r>
          </w:p>
        </w:tc>
        <w:tc>
          <w:tcPr>
            <w:tcW w:w="16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13,635</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3-15 years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Trade name</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5 years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 years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25 years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2021, the Company recorded impairment charges of $99 related to trademarks that were abandoned and/or were associated with products the Company was no longer actively selling.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years ended December 31, 2021 and 2020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8"/>
                <w:szCs w:val="18"/>
                <w:b w:val="1"/>
                <w:bCs w:val="1"/>
                <w:color w:val="auto"/>
              </w:rPr>
              <w:t>For the Year Ended December 31,</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1160" w:type="dxa"/>
            <w:vAlign w:val="bottom"/>
          </w:tcPr>
          <w:p>
            <w:pPr>
              <w:jc w:val="right"/>
              <w:ind w:right="98"/>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7"/>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16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Licenses</w:t>
            </w:r>
          </w:p>
        </w:tc>
        <w:tc>
          <w:tcPr>
            <w:tcW w:w="11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4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21"/>
                <w:szCs w:val="21"/>
                <w:color w:val="auto"/>
              </w:rPr>
            </w:pPr>
          </w:p>
        </w:tc>
      </w:tr>
      <w:tr>
        <w:trPr>
          <w:trHeight w:val="203"/>
        </w:trPr>
        <w:tc>
          <w:tcPr>
            <w:tcW w:w="4900" w:type="dxa"/>
            <w:vAlign w:val="bottom"/>
            <w:tcBorders>
              <w:top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0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December 31,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20" w:type="dxa"/>
            <w:vAlign w:val="bottom"/>
            <w:gridSpan w:val="3"/>
          </w:tcPr>
          <w:p>
            <w:pPr>
              <w:spacing w:after="0"/>
              <w:rPr>
                <w:sz w:val="20"/>
                <w:szCs w:val="20"/>
                <w:color w:val="auto"/>
              </w:rPr>
            </w:pPr>
            <w:r>
              <w:rPr>
                <w:rFonts w:ascii="Arial" w:cs="Arial" w:eastAsia="Arial" w:hAnsi="Arial"/>
                <w:sz w:val="18"/>
                <w:szCs w:val="18"/>
                <w:color w:val="auto"/>
              </w:rPr>
              <w:t>Years ending December 31,</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1,592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1,592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1,586</w:t>
            </w:r>
          </w:p>
        </w:tc>
      </w:tr>
      <w:tr>
        <w:trPr>
          <w:trHeight w:val="223"/>
        </w:trPr>
        <w:tc>
          <w:tcPr>
            <w:tcW w:w="63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7,589</w:t>
            </w:r>
          </w:p>
        </w:tc>
      </w:tr>
      <w:tr>
        <w:trPr>
          <w:trHeight w:val="216"/>
        </w:trPr>
        <w:tc>
          <w:tcPr>
            <w:tcW w:w="5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value of the Company’s goodwill during the years ended December 31,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at December 31, 2021 and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0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28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13)</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2800" w:type="dxa"/>
            <w:vAlign w:val="bottom"/>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Accrued exit fee for note payable (see Note 13)</w:t>
            </w:r>
          </w:p>
        </w:tc>
        <w:tc>
          <w:tcPr>
            <w:tcW w:w="10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2800" w:type="dxa"/>
            <w:vAlign w:val="bottom"/>
          </w:tcPr>
          <w:p>
            <w:pPr>
              <w:spacing w:after="0"/>
              <w:rPr>
                <w:sz w:val="19"/>
                <w:szCs w:val="19"/>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0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Less: Current portion</w:t>
            </w:r>
          </w:p>
        </w:tc>
        <w:tc>
          <w:tcPr>
            <w:tcW w:w="10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(6,337)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(3,932)</w:t>
            </w:r>
          </w:p>
        </w:tc>
        <w:tc>
          <w:tcPr>
            <w:tcW w:w="2800" w:type="dxa"/>
            <w:vAlign w:val="bottom"/>
          </w:tcPr>
          <w:p>
            <w:pPr>
              <w:spacing w:after="0"/>
              <w:rPr>
                <w:sz w:val="19"/>
                <w:szCs w:val="19"/>
                <w:color w:val="auto"/>
              </w:rPr>
            </w:pPr>
          </w:p>
        </w:tc>
      </w:tr>
      <w:tr>
        <w:trPr>
          <w:trHeight w:val="216"/>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1060" w:type="dxa"/>
            <w:vAlign w:val="bottom"/>
            <w:tcBorders>
              <w:top w:val="single" w:sz="8" w:color="auto"/>
              <w:bottom w:val="single" w:sz="8" w:color="auto"/>
            </w:tcBorders>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9"/>
        </w:trPr>
        <w:tc>
          <w:tcPr>
            <w:tcW w:w="4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F-19</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13.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 Due 2026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2021, the Company closed an offering of $50,000 aggregate principal amount of 8.625% senior notes due in April 2026, and in May 2021 issued an additional $5,000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 after deducting underwriting discounts and commissions and expenses of $3,091. In June 2021, in a further issuance of the April Notes, the Company sold an additional $20,000 aggregate principal amount of such notes (the “June Notes,” and together with the April Notes, the “Notes”), at a price of $25.75 per June Note, with interest of $278 on the June Notes being accrued from April 20, 2021 as of the date of issuance. The June offering resulted in net proceeds to the Company of approximately $19,164 after deducting underwriting discounts and commissions and expenses of $1,158 and a premium on note issuance of $322. The June Notes are treated as a single series with the April Notes under the indenture governing the April Notes, dated as of April 20, 2021, and have the same terms as the April Notes (other than the initial offering price and issue date). The Notes are senior unsecured obligations of the Company and rank equally in right of payment with all of our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a rate of 8.625% per annum. Interest on the Notes is payable quarterly in arrears on January 31, April 30, July 31 and October 31 of each year, commencing on July 31, 2021. The Notes will mature on April 30, 2026. The issuance costs were recorded as a debt discount and are being amortized as interest expense, net of the amortization of the premium on note issuance, over the term of the Notes using the effective interest rate method.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if any, plus accrued and unpaid interest to, but excluding, the date of redemption. 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Notes totaled $5,132 for the year ended December 31, 2021, and included amortization of debt issuance costs and discount of $581 for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Senior Note – Paid in April 2021</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the Company and several of its wholly owned subsidiaries entered into a term loan and security agreement in the principal amount of $16,000 (the “SWK Loan Agreement” or “SWK Loan”) with SWK Funding LLC and its partners (collectively, “SWK”), as lender and collateral agent. The SWK Loan Agreement was fully funded at closing with a five-year term; however, such term could be reduced to four years if certain revenue requirements were not achieved. The SWK Loan was secured by substantially all of the Company’s assets, including its intellectual property rights. The SWK Loan was subsequently amended in May 2019 and again in April 2020. The SWK Loan bore an interest rate equal to the three-month London Inter-Bank Offered Rate (subject to a minimum of 2.00%), plus an applicable margin of 10.00% (the “Margin Rate”); provided that, if, two days prior to a payment date, the Company provided SWK evidence that the Company has achieved a leverage ratio as of such date of less than 4.00:1:00, the Margin Rate shall equal 9.00%; and if the Company had achieved a leverage ratio as of such date of less than 3.00:1:00, the Margin Rate shall equal 7.00%. The leverage ratio means, as of any date of determination, the ratio of: (a) indebtedness as of such date to (b) EBITDA (as defined in the SWK Loan), of the Company for the immediately preceding 12 month period, adding-back (i) actual litigation expenses for the immediately preceding 12 month period, minus (ii) actual litigation expenses for the immediately preceding 3 month period multiplied by 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material changes contained in the amendment entered into with SWK in April 2020 was as follows:</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SWK agreed to make available to the Company, and the Company drew down on, an additional principal amount of $1,000;</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SWK Second Amendment; and</w:t>
      </w:r>
    </w:p>
    <w:p>
      <w:pPr>
        <w:ind w:left="340" w:hanging="332"/>
        <w:spacing w:after="0" w:line="26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payment of $358 due May 14, 2020 was paid in-kind by increasing the principal amount of the term loans by an amount equal to the interest accrued as of such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spacing w:after="0" w:line="263" w:lineRule="auto"/>
        <w:rPr>
          <w:sz w:val="20"/>
          <w:szCs w:val="20"/>
          <w:color w:val="auto"/>
        </w:rPr>
      </w:pPr>
      <w:r>
        <w:rPr>
          <w:rFonts w:ascii="Arial" w:cs="Arial" w:eastAsia="Arial" w:hAnsi="Arial"/>
          <w:sz w:val="18"/>
          <w:szCs w:val="18"/>
          <w:color w:val="auto"/>
        </w:rPr>
        <w:t>Interest expense related to the SWK Loan Agreement, as amended, amounted to $647 for the year ended December 31, 2021, and $1,767 for the year ended December 31, 2020, and included amortization of debt issuance costs and discounts of $96 for the year ended December 31, 2021, and $354 for the year ended December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2021, the Company paid $15,540 related to all outstanding obligations to SWK under the SWK Loan, including outstanding principal, accrued interest, accrued exit fee and related expenses and recorded a loss from early extinguishment of $756 related to the SWK Loan during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 – Forgiven in March 2021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2020, the Company entered into an unsecured promissory note and related Business Loan Agreement with Renasant Bank, as lender, for a loan (the “PPP Loan”) in the principal amount of $1,967 and received cash proceeds of the same amount, pursuant to the Paycheck Protection Program (the “PPP”) under the Federal Coronavirus Aid, Relief, and Economic Security Act (the “CARES Act”), which was enacted March 27, 2020. The PPP is administered by the U.S. Small Business Administration (the “SBA”). On March 30, 2021, the Company received a notice of forgiveness of the full balance of the PPP Loan, including all accrued interest, in accordance with the terms and conditions of the CARES Act. Related to the forgiveness, the Company recorded a gain on the forgiveness of the PPP Loan for the loan balance of $1,967 in the accompanying consolidated statement of operations for the year ended December 31,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future minimum payments under the Company’s Notes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6,469</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6,469</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6,469</w:t>
            </w:r>
          </w:p>
        </w:tc>
        <w:tc>
          <w:tcPr>
            <w:tcW w:w="60" w:type="dxa"/>
            <w:vAlign w:val="bottom"/>
          </w:tcPr>
          <w:p>
            <w:pPr>
              <w:spacing w:after="0"/>
              <w:rPr>
                <w:sz w:val="18"/>
                <w:szCs w:val="18"/>
                <w:color w:val="auto"/>
              </w:rPr>
            </w:pPr>
          </w:p>
        </w:tc>
      </w:tr>
      <w:tr>
        <w:trPr>
          <w:trHeight w:val="23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77,158</w:t>
            </w:r>
          </w:p>
        </w:tc>
        <w:tc>
          <w:tcPr>
            <w:tcW w:w="60" w:type="dxa"/>
            <w:vAlign w:val="bottom"/>
            <w:shd w:val="clear" w:color="auto" w:fill="CCEEFF"/>
          </w:tcPr>
          <w:p>
            <w:pPr>
              <w:spacing w:after="0"/>
              <w:rPr>
                <w:sz w:val="20"/>
                <w:szCs w:val="20"/>
                <w:color w:val="auto"/>
              </w:rPr>
            </w:pP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payments</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103,034</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3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(28,034)</w:t>
            </w: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75,000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3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net of premium</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(3,346)</w:t>
            </w:r>
          </w:p>
        </w:tc>
      </w:tr>
      <w:tr>
        <w:trPr>
          <w:trHeight w:val="203"/>
        </w:trPr>
        <w:tc>
          <w:tcPr>
            <w:tcW w:w="6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net of unamortized discount</w:t>
            </w:r>
          </w:p>
        </w:tc>
        <w:tc>
          <w:tcPr>
            <w:tcW w:w="2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71,654</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space under the non-cancelable operating leases listed below. These lease agreements have remaining lease terms between one to four years and contain various clauses for renewal at the Company’s option.</w:t>
      </w:r>
    </w:p>
    <w:p>
      <w:pPr>
        <w:spacing w:after="0" w:line="1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expired in December 2021;</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operating lease for 5,789 square feet of office space in Carlsbad, California, which commenced in January 2022 and will expire in July 2027. Since the commencement date of this lease occurred after December 31, 2021, right-of-use assets and operating lease liabilities associated with it are not included in our consolidated balance sheet at December 31, 2021;</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operating lease for 35,326 square feet of lab, warehouse and office space in Ledgewood, New Jersey that expires in July 2026, with an option to extend the term for two additional five-year periods. This includes an amendment that was made effective July 2020 that extended the term of the original lease and added 1,400 of additional square footage to the lease and another amendment entered into in May 2021 that extended the term of the lease to July 2027 and added 8,900 square feet of space; and</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2021, the Company terminated its operating lease for 10,200 square feet of office space in San Diego, California, that had an expiration date in December 2021.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2021 and 2020, the weighted-average discount rate and the weighted-average remaining lease term for the operating leases held by the Company were 6.3% and 6.3% and 14.6 and 11.2 years, respectively.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years ended December 31, 2021 and 2020, cash paid for amounts included for the operating lease liabilities was $1,000 and $1,052, respectively, and the Company recorded operating lease expense of $912 and $1,066, respectively, included in selling, general and administrative expenses.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color w:val="auto"/>
                <w:w w:val="91"/>
              </w:rPr>
              <w:t>Future lease payments under operating leases as of December 31, 2021 were as follows</w:t>
            </w:r>
            <w:r>
              <w:rPr>
                <w:rFonts w:ascii="Arial" w:cs="Arial" w:eastAsia="Arial" w:hAnsi="Arial"/>
                <w:sz w:val="18"/>
                <w:szCs w:val="18"/>
                <w:b w:val="1"/>
                <w:bCs w:val="1"/>
                <w:color w:val="auto"/>
                <w:w w:val="91"/>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9"/>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Operating Leases</w:t>
            </w:r>
          </w:p>
        </w:tc>
      </w:tr>
      <w:tr>
        <w:trPr>
          <w:trHeight w:val="216"/>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740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6,378</w:t>
            </w:r>
          </w:p>
        </w:tc>
      </w:tr>
      <w:tr>
        <w:trPr>
          <w:trHeight w:val="216"/>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(3,441)</w:t>
            </w:r>
          </w:p>
        </w:tc>
      </w:tr>
      <w:tr>
        <w:trPr>
          <w:trHeight w:val="216"/>
        </w:trPr>
        <w:tc>
          <w:tcPr>
            <w:tcW w:w="6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r>
        <w:trPr>
          <w:trHeight w:val="216"/>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finance lease for equipment which requires monthly payments of $1 through January 2024.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the finance lease as of December 31, 2021 were as follows</w:t>
      </w:r>
      <w:r>
        <w:rPr>
          <w:rFonts w:ascii="Arial" w:cs="Arial" w:eastAsia="Arial" w:hAnsi="Arial"/>
          <w:sz w:val="18"/>
          <w:szCs w:val="18"/>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1"/>
              </w:rPr>
              <w:t>Finance Lease</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r>
      <w:tr>
        <w:trPr>
          <w:trHeight w:val="23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03"/>
        </w:trPr>
        <w:tc>
          <w:tcPr>
            <w:tcW w:w="67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3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03"/>
        </w:trPr>
        <w:tc>
          <w:tcPr>
            <w:tcW w:w="67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3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finance lease obligation</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03"/>
        </w:trPr>
        <w:tc>
          <w:tcPr>
            <w:tcW w:w="67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Finance lease obligation, net of current portion</w:t>
            </w:r>
          </w:p>
        </w:tc>
        <w:tc>
          <w:tcPr>
            <w:tcW w:w="2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2021 and 2020, the weighted-average discount rate and the weighted-average remaining lease term for the finance lease held by the Company were 6.36% and 6.36% and 2.08 and 3.08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and 2020:</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expense related to the equipment held under the finance lease obligations was $8 and $8, respectively;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paid and expense recognized for interest expense related to the finance lease obligation was $1 and $2,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and 2020, the Company had 5,000,000 shares of preferred stock, $0.001 par value, authorized and no shares of preferred stock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Cumulative Preferred Stock – Redeemed in June 2021</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2021, the Company sold 440,000 shares of the Company’s Series B Cumulative Preferred Stock, par value $0.001 per share and liquidation preference of $25.00 per share (the “Series B Preferred Stock”), for net proceeds of approximately $10,655. The Series B Preferred Stock was not convertible into our common stock, had no voting rights, except as required by Delaware law, and was redeemable by the Company at any time. Holders of Series B Preferred Stock were entitled to cumulative cash dividends at the rate of 9.50% of the $25.00 liquidation preference per year; provided, however, that for each thirty (30) day period following May 5, 2021, the dividend rate increased at various rates, except as otherwise limited by applicable law. Dividends were payable quarterly in arrears, on or about the 15th of January, April, July and October, beginning on or about July 15, 2021.</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2021, the Company redeemed all of the outstanding shares of the Series B Preferred Stock. The redemption price for the 440,000 shares of Series B Preferred Stock outstanding was equal to $25.00 per share, plus accrued and unpaid dividends, which in aggregate totaled $11,127. During the year ended December 31, 2021, the Company recorded preferred stock cash dividends and deemed dividends equal to $472.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each of December 31, 2021 and 2020, the Company had 50,000,000 shares of common stock, $0.001 par value,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w:t>
      </w:r>
    </w:p>
    <w:p>
      <w:pPr>
        <w:spacing w:after="0" w:line="225" w:lineRule="exact"/>
        <w:rPr>
          <w:sz w:val="20"/>
          <w:szCs w:val="20"/>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issued 311,369 shares of its common stock upon the cashless exercise of warrants to purchase 406,539 shares of common stock with exercise prices between $1.79 and $3.75 per share;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issued 25,480 shares of its common stock and received net proceeds of $65 upon the exercise of options to purchase 25,480 shares of common stock with exercise prices between $1.70 and $4.29 per share;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issued 715,871 shares of its common stock to Mark L. Baum, its Chief Executive Officer, upon the vesting of 1,050,000 performance-based restricted stock units. The Company withheld 334,129 shares of common stock to Mr. Baum valued at $2,760 for payroll tax purposes;</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issued 100,168 shares of common stock to Andrew R. Boll, its Chief Financial Officer, upon the vesting of 157,500 performance-based restricted stock units. The Company withheld 57,332 shares of common stock to Mr. Boll valued at $468 for payroll tax purposes;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67,297 shares of the Company’s common stock underlying RSUs issued to directors vested, but the issuance and delivery of these shares are deferred until the applicable director resigns.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w:t>
      </w:r>
    </w:p>
    <w:p>
      <w:pPr>
        <w:spacing w:after="0" w:line="225" w:lineRule="exact"/>
        <w:rPr>
          <w:sz w:val="20"/>
          <w:szCs w:val="20"/>
          <w:color w:val="auto"/>
        </w:rPr>
      </w:pPr>
    </w:p>
    <w:p>
      <w:pPr>
        <w:ind w:left="68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issued 30,000 shares of its restricted common stock, with an initial fair value of $167, as consideration for commission expenses incurred during the year ended December 31, 2019 and the year ended December 31, 2020;</w:t>
      </w:r>
    </w:p>
    <w:p>
      <w:pPr>
        <w:spacing w:after="0" w:line="170"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issued 4,161 shares of its common stock upon the cashless exercise of options to purchase 16,750 shares of common stock, with exercise prices ranging from $1.70 to $4.05 per share, net of 3,564 shares of common stock withheld for payroll tax withholdings;</w:t>
      </w:r>
    </w:p>
    <w:p>
      <w:pPr>
        <w:spacing w:after="0" w:line="146" w:lineRule="exact"/>
        <w:rPr>
          <w:rFonts w:ascii="Arial" w:cs="Arial" w:eastAsia="Arial" w:hAnsi="Arial"/>
          <w:sz w:val="17"/>
          <w:szCs w:val="17"/>
          <w:color w:val="auto"/>
        </w:rPr>
      </w:pPr>
    </w:p>
    <w:p>
      <w:pPr>
        <w:ind w:left="680" w:right="2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issued 2,998 shares of its common stock upon the exercise of options to purchase 2,998 shares of common stock, with exercise prices ranging from $3.04 to $3.20 per share, and paid $8 related to payroll tax withholdings;</w:t>
      </w:r>
    </w:p>
    <w:p>
      <w:pPr>
        <w:spacing w:after="0" w:line="170"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issued 185,785 shares of its common stock underlying RSUs held by directors that resigned. The RSUs had previously vested, including 26,721 RSUs during the year ended December 31, 2020, but the issuance and delivery of the shares were deferred until the director resigned; and</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35,224 shares of the Company’s common stock underlying RSUs issued to directors vested, but the issuance and delivery of these shares are deferred until the resignation of a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December 31, 2021, the 2017 Plan provides for the issuance of a maximum of 6,000,000 shares of the Company’s common stock. The purposes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2,399,649 shares available for future issuances under the 2017 Plan at December 31, 2021.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7"/>
          </w:tcPr>
          <w:p>
            <w:pPr>
              <w:spacing w:after="0"/>
              <w:rPr>
                <w:sz w:val="20"/>
                <w:szCs w:val="20"/>
                <w:color w:val="auto"/>
              </w:rPr>
            </w:pPr>
            <w:r>
              <w:rPr>
                <w:rFonts w:ascii="Arial" w:cs="Arial" w:eastAsia="Arial" w:hAnsi="Arial"/>
                <w:sz w:val="18"/>
                <w:szCs w:val="18"/>
                <w:color w:val="auto"/>
                <w:w w:val="99"/>
              </w:rPr>
              <w:t>A summary of stock option activity under the Plan for the year ended December 31, 2021 is as follows: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Weighted Avg.</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Number of 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Exercise Price</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77,000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8.13</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(42,007)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5.80</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December 31, 2021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3,039,546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5.10</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4.53</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line="20" w:lineRule="exact"/>
              <w:rPr>
                <w:sz w:val="1"/>
                <w:szCs w:val="1"/>
                <w:color w:val="auto"/>
              </w:rPr>
            </w:pPr>
          </w:p>
        </w:tc>
      </w:tr>
      <w:tr>
        <w:trPr>
          <w:trHeight w:val="236"/>
        </w:trPr>
        <w:tc>
          <w:tcPr>
            <w:tcW w:w="474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2,461,824</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2,981,774</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20"/>
              <w:spacing w:after="0" w:line="190" w:lineRule="exact"/>
              <w:rPr>
                <w:sz w:val="20"/>
                <w:szCs w:val="20"/>
                <w:color w:val="auto"/>
              </w:rPr>
            </w:pPr>
            <w:r>
              <w:rPr>
                <w:rFonts w:ascii="Arial" w:cs="Arial" w:eastAsia="Arial" w:hAnsi="Arial"/>
                <w:sz w:val="18"/>
                <w:szCs w:val="18"/>
                <w:color w:val="auto"/>
              </w:rPr>
              <w:t>5.48</w:t>
            </w:r>
          </w:p>
        </w:tc>
        <w:tc>
          <w:tcPr>
            <w:tcW w:w="150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4.76</w:t>
            </w:r>
          </w:p>
        </w:tc>
        <w:tc>
          <w:tcPr>
            <w:tcW w:w="280" w:type="dxa"/>
            <w:vAlign w:val="bottom"/>
            <w:tcBorders>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2021, based on the closing price of the Company’s common stock of $8.64 on that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the options exercised in 2021 was $146.</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2021,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year ended December 31, 2021 generally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Plans) and in the event of certain modifications to the option award agreement.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31, 2015, the Company granted to its Chief Executive Officer, Mark Baum, an option (the “Baum Performance Option”) to purchase 600,000 shares of the Company’s common stock at an exercise price of $7.87 per share under the 2007 Plan subject to the satisfaction of certain market-based vesting criteria. The market-based vesting criteria are separated into five tranches and require that the Company achieve and maintain certain average stock price targets ranging from $9 per share to $15 per share during the five year period following the grant date. On June 4, 2020, the Company amended the Baum Performance Option, to extend the vesting and contractual term by 5 years. The Company treated this amendment as a modification to the Baum Performance Option for accounting purposes. The fair value of the modification was $1,876 using a Monte Carlo simulation model with a five-year life, 70% volatility and a risk-free interest rate of 0.40%.</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the exception of the Baum Performance Option, the fair value of each option award is estimated on the date of grant using the Black-Scholes-Merton option pricing model. Beginning on April 1, 2019, the Company began calculating expected volatility based solely on the historical volatilities of the common stock of the Company. Prior to April 1, 2019,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4.97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300" w:type="dxa"/>
            <w:vAlign w:val="bottom"/>
            <w:gridSpan w:val="4"/>
          </w:tcPr>
          <w:p>
            <w:pPr>
              <w:jc w:val="right"/>
              <w:ind w:right="320"/>
              <w:spacing w:after="0"/>
              <w:rPr>
                <w:sz w:val="20"/>
                <w:szCs w:val="20"/>
                <w:color w:val="auto"/>
              </w:rPr>
            </w:pPr>
            <w:r>
              <w:rPr>
                <w:rFonts w:ascii="Arial" w:cs="Arial" w:eastAsia="Arial" w:hAnsi="Arial"/>
                <w:sz w:val="18"/>
                <w:szCs w:val="18"/>
                <w:color w:val="auto"/>
              </w:rPr>
              <w:t>5.00 - 6.11</w:t>
            </w:r>
          </w:p>
        </w:tc>
        <w:tc>
          <w:tcPr>
            <w:tcW w:w="2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0.50 - 6.11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74%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71%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0.39 –</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0.45%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0.34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1.64%</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Weighted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r>
      <w:tr>
        <w:trPr>
          <w:trHeight w:val="237"/>
        </w:trPr>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Range of Exercise Prices</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Life in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Price</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Exercisable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$1.47 - $2.60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750,955</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6"/>
              </w:rPr>
              <w:t>750,763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jc w:val="center"/>
              <w:spacing w:after="0"/>
              <w:rPr>
                <w:sz w:val="20"/>
                <w:szCs w:val="20"/>
                <w:color w:val="auto"/>
              </w:rPr>
            </w:pPr>
            <w:r>
              <w:rPr>
                <w:rFonts w:ascii="Arial" w:cs="Arial" w:eastAsia="Arial" w:hAnsi="Arial"/>
                <w:sz w:val="18"/>
                <w:szCs w:val="18"/>
                <w:color w:val="auto"/>
                <w:w w:val="90"/>
              </w:rPr>
              <w:t>$2.76 - $4.66</w:t>
            </w: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505,000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459,370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$5.49 - $6.36</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470,350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414,645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36"/>
        </w:trPr>
        <w:tc>
          <w:tcPr>
            <w:tcW w:w="3820" w:type="dxa"/>
            <w:vAlign w:val="bottom"/>
          </w:tcPr>
          <w:p>
            <w:pPr>
              <w:jc w:val="center"/>
              <w:spacing w:after="0"/>
              <w:rPr>
                <w:sz w:val="20"/>
                <w:szCs w:val="20"/>
                <w:color w:val="auto"/>
              </w:rPr>
            </w:pPr>
            <w:r>
              <w:rPr>
                <w:rFonts w:ascii="Arial" w:cs="Arial" w:eastAsia="Arial" w:hAnsi="Arial"/>
                <w:sz w:val="18"/>
                <w:szCs w:val="18"/>
                <w:color w:val="auto"/>
                <w:w w:val="90"/>
              </w:rPr>
              <w:t>$6.64 - $8.99</w:t>
            </w:r>
          </w:p>
        </w:tc>
        <w:tc>
          <w:tcPr>
            <w:tcW w:w="2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1,313,241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837,046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30"/>
        </w:trPr>
        <w:tc>
          <w:tcPr>
            <w:tcW w:w="3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$1.47 - $8.99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3,039,546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300" w:type="dxa"/>
            <w:vAlign w:val="bottom"/>
            <w:tcBorders>
              <w:top w:val="single" w:sz="8" w:color="CCEEFF"/>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12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2,461,824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there was approximately $1,397 of total unrecognized compensation expense related to unvested stock options granted under the Plan. That expense is expected to be recognized over the weighted-average remaining vesting period of 5.1 years. The stock-based compensation for all stock options was $1,636 and $1,579 during the years ended December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Units/Performance Stock Units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2020, 161,000 RSUs with a fair market value of $1,025 were issued to certain employees; the RSUs vest in full on the third anniversary of the grant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Company’s board of directors were granted 90,524 RSUs with a fair market value $511 which vest on a quarterly basis, over a one-year term in equal installments, subject to the director’s continued service at the vesting date, but the issuance and delivery of these shares are deferred until the director resigns.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2020 is as follows:</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Weighted Average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Grant</w:t>
            </w:r>
          </w:p>
        </w:tc>
      </w:tr>
      <w:tr>
        <w:trPr>
          <w:trHeight w:val="237"/>
        </w:trPr>
        <w:tc>
          <w:tcPr>
            <w:tcW w:w="5600" w:type="dxa"/>
            <w:vAlign w:val="bottom"/>
          </w:tcPr>
          <w:p>
            <w:pPr>
              <w:spacing w:after="0"/>
              <w:rPr>
                <w:sz w:val="20"/>
                <w:szCs w:val="20"/>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Number of RSUs</w:t>
            </w:r>
          </w:p>
        </w:tc>
        <w:tc>
          <w:tcPr>
            <w:tcW w:w="14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Date Fair 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1,411,930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RSUs granted</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251,524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6.11</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1,601,509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2021</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 ended December 31, 2021, 300,000 RSUs with a fair market value of $2,670 were issued to certain employees; the RSUs vest in full on the third anniversary of the grant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2021, the Company’s board of directors were granted 38,576 RSUs with a fair market value of $400, which vest in equal quarterly installments over one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jc w:val="both"/>
        <w:spacing w:after="0" w:line="291" w:lineRule="auto"/>
        <w:rPr>
          <w:sz w:val="20"/>
          <w:szCs w:val="20"/>
          <w:color w:val="auto"/>
        </w:rPr>
      </w:pPr>
      <w:r>
        <w:rPr>
          <w:rFonts w:ascii="Arial" w:cs="Arial" w:eastAsia="Arial" w:hAnsi="Arial"/>
          <w:sz w:val="16"/>
          <w:szCs w:val="16"/>
          <w:color w:val="auto"/>
        </w:rPr>
        <w:t>During the year ended December 31, 2021, the Company granted 1,567,913 performance stock units (“PSUs”) to members of its senior management including Mark Baum, Chief Executive Officer, Andrew Boll, Chief Financial Officer, and John Saharek, President of ImprimisRx , which are subject to the satisfaction of certain market-based and continued service conditions (the “2021 PSUs”). The 2021 PSUs are separated into four tranches and require that the Company achieve and maintain certain levels of total stockholder returns (“TSR”) ranging from 50% to 175% per share during the five-year period following the grant date. TSR is based on the aggregate of: (i) the percent increase of the closing price of the Company’s common stock from July 22, 2021; and (ii) any dividends or like stockholder distributions as specified in the table below. With certain limited exceptions, in addition to reaching the TSR targets, the employee must be employed with the Company on the second anniversary of the grant date in order for the 2021 PSUs to vest.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Tranche</w:t>
            </w:r>
          </w:p>
        </w:tc>
        <w:tc>
          <w:tcPr>
            <w:tcW w:w="2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 of Shares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40" w:type="dxa"/>
            <w:vAlign w:val="bottom"/>
            <w:gridSpan w:val="3"/>
          </w:tcPr>
          <w:p>
            <w:pPr>
              <w:jc w:val="right"/>
              <w:ind w:right="1670"/>
              <w:spacing w:after="0"/>
              <w:rPr>
                <w:sz w:val="20"/>
                <w:szCs w:val="20"/>
                <w:color w:val="auto"/>
              </w:rPr>
            </w:pPr>
            <w:r>
              <w:rPr>
                <w:rFonts w:ascii="Arial" w:cs="Arial" w:eastAsia="Arial" w:hAnsi="Arial"/>
                <w:sz w:val="18"/>
                <w:szCs w:val="18"/>
                <w:b w:val="1"/>
                <w:bCs w:val="1"/>
                <w:color w:val="auto"/>
              </w:rPr>
              <w:t>TSR</w:t>
            </w: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Target Share Price*</w:t>
            </w:r>
          </w:p>
        </w:tc>
      </w:tr>
      <w:tr>
        <w:trPr>
          <w:trHeight w:val="243"/>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tcBorders>
              <w:top w:val="single" w:sz="8" w:color="CCEEFF"/>
            </w:tcBorders>
            <w:shd w:val="clear" w:color="auto" w:fill="CCEEFF"/>
          </w:tcPr>
          <w:p>
            <w:pPr>
              <w:spacing w:after="0"/>
              <w:rPr>
                <w:sz w:val="21"/>
                <w:szCs w:val="21"/>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223,988</w:t>
            </w: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50% or greater</w:t>
            </w:r>
          </w:p>
        </w:tc>
        <w:tc>
          <w:tcPr>
            <w:tcW w:w="18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338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335,981</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w w:val="96"/>
              </w:rPr>
              <w:t>100% or greater</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249"/>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2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447,975</w:t>
            </w: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150% or greater</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559,969</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w w:val="96"/>
              </w:rPr>
              <w:t>175% or greater</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21.45</w:t>
            </w:r>
          </w:p>
        </w:tc>
      </w:tr>
    </w:tbl>
    <w:p>
      <w:pPr>
        <w:spacing w:after="0" w:line="214" w:lineRule="exact"/>
        <w:rPr>
          <w:sz w:val="20"/>
          <w:szCs w:val="20"/>
          <w:color w:val="auto"/>
        </w:rPr>
      </w:pPr>
    </w:p>
    <w:p>
      <w:pPr>
        <w:ind w:left="360" w:right="20" w:hanging="172"/>
        <w:spacing w:after="0" w:line="308" w:lineRule="auto"/>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Target Share Price assumes that no dividends or like distributions are made to shareholders of the Company. If such distributions are made, the Target Share Price would decrease accordingly, to the benefit of the employee, to account for the dividend/distribution as a part of TSR.</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2021 PSUs was $10,113 using a Monte Carlo Simulation with a five-year life, 75% volatility and a risk free interest rate of 0.72%.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amount is being amortized over a two-year derived service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 Average</w:t>
            </w:r>
          </w:p>
        </w:tc>
      </w:tr>
      <w:tr>
        <w:trPr>
          <w:trHeight w:val="216"/>
        </w:trPr>
        <w:tc>
          <w:tcPr>
            <w:tcW w:w="6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w:t>
            </w:r>
          </w:p>
        </w:tc>
      </w:tr>
      <w:tr>
        <w:trPr>
          <w:trHeight w:val="237"/>
        </w:trPr>
        <w:tc>
          <w:tcPr>
            <w:tcW w:w="6280" w:type="dxa"/>
            <w:vAlign w:val="bottom"/>
          </w:tcPr>
          <w:p>
            <w:pPr>
              <w:spacing w:after="0"/>
              <w:rPr>
                <w:sz w:val="20"/>
                <w:szCs w:val="20"/>
                <w:color w:val="auto"/>
              </w:rPr>
            </w:pPr>
          </w:p>
        </w:tc>
        <w:tc>
          <w:tcPr>
            <w:tcW w:w="190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 RSUs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r>
      <w:tr>
        <w:trPr>
          <w:trHeight w:val="216"/>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2021</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1,601,509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RSUs granted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1,906,490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6.91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(1,274,797)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RSUs cancelled/forfeit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2021</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w:t>
            </w:r>
          </w:p>
        </w:tc>
      </w:tr>
      <w:tr>
        <w:trPr>
          <w:trHeight w:val="20"/>
        </w:trPr>
        <w:tc>
          <w:tcPr>
            <w:tcW w:w="6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total unrecognized compensation expense related to unvested RSUs was approximately $10,550 which is expected to be recognized over a weighted-average period of 1.48 years, based on estimated vesting schedules. The stock-based compensation for RSUs was $4,022 and $1,167 during the years ended December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$87 and $26 in stock-based compensation expense related to subsidiary stock options during the years ended December 31, 2021 and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issuance of common stock for services and accrual for stock-based compensation)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rPr>
              <w:t>For the Year Ended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8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Employees – R&amp;D</w:t>
            </w: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Consultants – selling, general and administrative</w:t>
            </w: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r>
      <w:tr>
        <w:trPr>
          <w:trHeight w:val="216"/>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13), underwriters and other non-employees for services rendered or to be rendered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A summary of warrant activity during the year ended December 31,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jc w:val="right"/>
              <w:ind w:right="320"/>
              <w:spacing w:after="0"/>
              <w:rPr>
                <w:sz w:val="20"/>
                <w:szCs w:val="20"/>
                <w:color w:val="auto"/>
              </w:rPr>
            </w:pPr>
            <w:r>
              <w:rPr>
                <w:rFonts w:ascii="Arial" w:cs="Arial" w:eastAsia="Arial" w:hAnsi="Arial"/>
                <w:sz w:val="18"/>
                <w:szCs w:val="18"/>
                <w:color w:val="auto"/>
                <w:w w:val="89"/>
              </w:rPr>
              <w:t>Number of Shares Subject</w:t>
            </w: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Weighted Avg. Exercise</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5"/>
          </w:tcPr>
          <w:p>
            <w:pPr>
              <w:jc w:val="right"/>
              <w:ind w:right="400"/>
              <w:spacing w:after="0"/>
              <w:rPr>
                <w:sz w:val="20"/>
                <w:szCs w:val="20"/>
                <w:color w:val="auto"/>
              </w:rPr>
            </w:pPr>
            <w:r>
              <w:rPr>
                <w:rFonts w:ascii="Arial" w:cs="Arial" w:eastAsia="Arial" w:hAnsi="Arial"/>
                <w:sz w:val="18"/>
                <w:szCs w:val="18"/>
                <w:color w:val="auto"/>
                <w:w w:val="93"/>
              </w:rPr>
              <w:t>to Warrants Outstanding</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 January 1, 2021</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780,386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(406,539)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2021</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780" w:type="dxa"/>
            <w:vAlign w:val="bottom"/>
            <w:gridSpan w:val="5"/>
            <w:vMerge w:val="restart"/>
          </w:tcPr>
          <w:p>
            <w:pPr>
              <w:spacing w:after="0" w:line="195" w:lineRule="exact"/>
              <w:rPr>
                <w:sz w:val="20"/>
                <w:szCs w:val="20"/>
                <w:color w:val="auto"/>
              </w:rPr>
            </w:pPr>
            <w:r>
              <w:rPr>
                <w:rFonts w:ascii="Arial" w:cs="Arial" w:eastAsia="Arial" w:hAnsi="Arial"/>
                <w:sz w:val="18"/>
                <w:szCs w:val="18"/>
                <w:color w:val="auto"/>
                <w:w w:val="91"/>
              </w:rPr>
              <w:t>Weighted average remaining contractual life of the outstanding warrants in years - December</w:t>
            </w: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31, 2021</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5"/>
            <w:vMerge w:val="restart"/>
          </w:tcPr>
          <w:p>
            <w:pPr>
              <w:spacing w:after="0"/>
              <w:rPr>
                <w:sz w:val="20"/>
                <w:szCs w:val="20"/>
                <w:color w:val="auto"/>
              </w:rPr>
            </w:pPr>
            <w:r>
              <w:rPr>
                <w:rFonts w:ascii="Arial" w:cs="Arial" w:eastAsia="Arial" w:hAnsi="Arial"/>
                <w:sz w:val="18"/>
                <w:szCs w:val="18"/>
                <w:color w:val="auto"/>
              </w:rPr>
              <w:t>All warrants outstanding as of December 31, 2021 are included in the following table:</w:t>
            </w: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8"/>
                <w:szCs w:val="18"/>
                <w:color w:val="auto"/>
              </w:rPr>
              <w:t>Warrants Outstanding and Exercisable</w:t>
            </w:r>
          </w:p>
        </w:tc>
        <w:tc>
          <w:tcPr>
            <w:tcW w:w="3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Warrants</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Exercise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Issue Date</w:t>
            </w: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Outstanding</w:t>
            </w:r>
          </w:p>
        </w:tc>
        <w:tc>
          <w:tcPr>
            <w:tcW w:w="3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Price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49"/>
        </w:trPr>
        <w:tc>
          <w:tcPr>
            <w:tcW w:w="47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Lender warrants (see Note 13)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7/19/2017</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2.08</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373,847</w:t>
            </w:r>
          </w:p>
        </w:tc>
        <w:tc>
          <w:tcPr>
            <w:tcW w:w="20" w:type="dxa"/>
            <w:vAlign w:val="bottom"/>
            <w:tcBorders>
              <w:bottom w:val="single" w:sz="8" w:color="auto"/>
            </w:tcBorders>
          </w:tcPr>
          <w:p>
            <w:pPr>
              <w:spacing w:after="0"/>
              <w:rPr>
                <w:sz w:val="18"/>
                <w:szCs w:val="18"/>
                <w:color w:val="auto"/>
              </w:rPr>
            </w:pPr>
          </w:p>
        </w:tc>
        <w:tc>
          <w:tcPr>
            <w:tcW w:w="9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2.08</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taxation in the United States, California, Florida, Georgia, Illinois, New Jersey, New York, Tennessee and Wisconsin. The Company’s income tax provision (benefit) for income taxes for the years ended December 31, 2021 and 2020 are summarized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10"/>
        </w:trPr>
        <w:tc>
          <w:tcPr>
            <w:tcW w:w="5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w:t>
            </w:r>
          </w:p>
        </w:tc>
        <w:tc>
          <w:tcPr>
            <w:tcW w:w="1020" w:type="dxa"/>
            <w:vAlign w:val="bottom"/>
            <w:tcBorders>
              <w:top w:val="single" w:sz="8" w:color="auto"/>
              <w:bottom w:val="single" w:sz="8" w:color="auto"/>
            </w:tcBorders>
          </w:tcPr>
          <w:p>
            <w:pPr>
              <w:jc w:val="right"/>
              <w:ind w:right="830"/>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2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Deferred: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State</w:t>
            </w:r>
          </w:p>
        </w:tc>
        <w:tc>
          <w:tcPr>
            <w:tcW w:w="10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(1,944)</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r>
      <w:tr>
        <w:trPr>
          <w:trHeight w:val="23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10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2,369</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w:t>
            </w:r>
          </w:p>
        </w:tc>
      </w:tr>
      <w:tr>
        <w:trPr>
          <w:trHeight w:val="210"/>
        </w:trPr>
        <w:tc>
          <w:tcPr>
            <w:tcW w:w="5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w:t>
            </w:r>
          </w:p>
        </w:tc>
        <w:tc>
          <w:tcPr>
            <w:tcW w:w="10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income taxes computed by applying the statutory U.S. income tax rate to the Company’s loss before income taxes to the income tax provision is as follows:</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State tax benefit, net</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(3.24)%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226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stock-based compensation</w:t>
            </w: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7.95%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60" w:type="dxa"/>
            <w:vAlign w:val="bottom"/>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(7.53)%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226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 off of NOLs due to previous change in ownership</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(14.77)%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60" w:type="dxa"/>
            <w:vAlign w:val="bottom"/>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Write off of credits due to previous change in ownership</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(1.71)%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260" w:type="dxa"/>
            <w:vAlign w:val="bottom"/>
          </w:tcPr>
          <w:p>
            <w:pPr>
              <w:spacing w:after="0"/>
              <w:rPr>
                <w:sz w:val="18"/>
                <w:szCs w:val="18"/>
                <w:color w:val="auto"/>
              </w:rPr>
            </w:pPr>
          </w:p>
        </w:tc>
      </w:tr>
      <w:tr>
        <w:trPr>
          <w:trHeight w:val="202"/>
        </w:trPr>
        <w:tc>
          <w:tcPr>
            <w:tcW w:w="6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Reduction of valuation allowance for write off of NOLs and credits due</w:t>
            </w: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3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previous change in ownership</w:t>
            </w: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16.48%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60" w:type="dxa"/>
            <w:vAlign w:val="bottom"/>
          </w:tcPr>
          <w:p>
            <w:pPr>
              <w:spacing w:after="0"/>
              <w:rPr>
                <w:sz w:val="20"/>
                <w:szCs w:val="20"/>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(18.82)%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(26.14)%</w:t>
            </w:r>
          </w:p>
        </w:tc>
        <w:tc>
          <w:tcPr>
            <w:tcW w:w="2260" w:type="dxa"/>
            <w:vAlign w:val="bottom"/>
          </w:tcPr>
          <w:p>
            <w:pPr>
              <w:spacing w:after="0"/>
              <w:rPr>
                <w:sz w:val="19"/>
                <w:szCs w:val="19"/>
                <w:color w:val="auto"/>
              </w:rPr>
            </w:pPr>
          </w:p>
        </w:tc>
      </w:tr>
      <w:tr>
        <w:trPr>
          <w:trHeight w:val="216"/>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22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5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F-27</w:t>
            </w: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94" w:name="page95"/>
    <w:bookmarkEnd w:id="94"/>
    <w:p>
      <w:pPr>
        <w:jc w:val="both"/>
        <w:spacing w:after="0" w:line="342" w:lineRule="auto"/>
        <w:rPr>
          <w:sz w:val="20"/>
          <w:szCs w:val="20"/>
          <w:color w:val="auto"/>
        </w:rPr>
      </w:pPr>
      <w:r>
        <w:rPr>
          <w:rFonts w:ascii="Arial" w:cs="Arial" w:eastAsia="Arial" w:hAnsi="Arial"/>
          <w:sz w:val="16"/>
          <w:szCs w:val="16"/>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NOL</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12,337</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19,678</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535</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413</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596</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96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4,642</w:t>
            </w:r>
          </w:p>
        </w:tc>
        <w:tc>
          <w:tcPr>
            <w:tcW w:w="4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4,024</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in Melt</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Basis Difference in Surface</w:t>
            </w:r>
          </w:p>
        </w:tc>
        <w:tc>
          <w:tcPr>
            <w:tcW w:w="96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in Eton</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(2,511)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(8,626)</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Capital Losses</w:t>
            </w:r>
          </w:p>
        </w:tc>
        <w:tc>
          <w:tcPr>
            <w:tcW w:w="96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63</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Sintetica License Agreement</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2,329</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License Agreement</w:t>
            </w:r>
          </w:p>
        </w:tc>
        <w:tc>
          <w:tcPr>
            <w:tcW w:w="96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Novartis License Agreement</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(138)</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Park stock purchase identifiable intangibles</w:t>
            </w:r>
          </w:p>
        </w:tc>
        <w:tc>
          <w:tcPr>
            <w:tcW w:w="96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in Melt loan</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869</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Limitation Under 163(j)</w:t>
            </w:r>
          </w:p>
        </w:tc>
        <w:tc>
          <w:tcPr>
            <w:tcW w:w="96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195</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1,856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2,192</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960" w:type="dxa"/>
            <w:vAlign w:val="bottom"/>
          </w:tcPr>
          <w:p>
            <w:pPr>
              <w:spacing w:after="0"/>
              <w:rPr>
                <w:sz w:val="19"/>
                <w:szCs w:val="19"/>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(1,753)</w:t>
            </w:r>
          </w:p>
        </w:tc>
        <w:tc>
          <w:tcPr>
            <w:tcW w:w="4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(2,061)</w:t>
            </w:r>
          </w:p>
        </w:tc>
      </w:tr>
      <w:tr>
        <w:trPr>
          <w:trHeight w:val="236"/>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 net</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18,204</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6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(18,204</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(15,835</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96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$2,369 and increased by approximately $633 during 2021 and 2020,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had federal and state net operating loss carryforwards of approximately $34,400 and $53,200, respectively, which will begin to expire in 2027, unless previously utilized, and will begin to expire for state purposes in 2026. In addition, the Company has federal net operating loss carryforward of $3,900 generated after 2017 that can be carried over indefinitely and may be used to offset up to 80% of federal taxable income.</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2021 the Company had federal and state research and development credit carryforwards of approximately $47 and $54, respectively, which will begin to expire in 2026, unless previously utilized. For state purposes, the state research and development credit carryforwards can be carried over indefinitely.</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Utilization of the net operating losses and research and development carryforwards may be subject to a substantial annual limitation due to ownership change limitations that might have occurred or that could occur in the future, as required by Section 382 of the Internal Revenue Code of 1986, as amended (the “Code”), as well as similar state and foreign provisions. These ownership changes may limit the amount of NOL and R&amp;D credit carryforward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5" w:name="page96"/>
    <w:bookmarkEnd w:id="95"/>
    <w:p>
      <w:pPr>
        <w:jc w:val="both"/>
        <w:spacing w:after="0" w:line="254" w:lineRule="auto"/>
        <w:rPr>
          <w:sz w:val="20"/>
          <w:szCs w:val="20"/>
          <w:color w:val="auto"/>
        </w:rPr>
      </w:pPr>
      <w:r>
        <w:rPr>
          <w:rFonts w:ascii="Arial" w:cs="Arial" w:eastAsia="Arial" w:hAnsi="Arial"/>
          <w:sz w:val="18"/>
          <w:szCs w:val="18"/>
          <w:color w:val="auto"/>
        </w:rPr>
        <w:t>As of December 31, 2021, the Company determined that it had net operating loss carryforwards of approximately $12,600 and state net operating loss carryforwards of approximately $9,400 restricted under IRC Section 382 of the Internal Revenue Code related to a 2011 change in ownership. Section 382 of the Internal Revenue Code limits the utilization of net operating losses when ownership changes, as defined by that section, occur. Due to the Section 382 limitation, and the length of time available to fully utilize the net operating loss carryforwards, the Company removed these NOLs from deferred tax assets with a corresponding reduction of the valuation allowance. Similarly, under IRC Section 383 which limits the utilization of credits when ownership changes occur, the Company removed approximately $300 of federal credit and $300 of state credits from deferred tax assets with a corresponding reduction of valuation allowance.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did not have any unrecognized tax benefits as of December 31, 2021 and 2020, all of which is offset by a full valuation allowance. These unrecognized tax benefits, if recognized, would not affect the effective tax rate. There was no interest or penalties accrued at the adoption date and at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UTB balance from January 1, 2021 to December 31,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Fed &amp; State Tax</w:t>
            </w:r>
          </w:p>
        </w:tc>
      </w:tr>
      <w:tr>
        <w:trPr>
          <w:trHeight w:val="216"/>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46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Additions/(reductions) for tax positions related to prior years</w:t>
            </w:r>
          </w:p>
        </w:tc>
        <w:tc>
          <w:tcPr>
            <w:tcW w:w="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4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unrecognized tax benefits as of December 31, 2021</w:t>
            </w:r>
          </w:p>
        </w:tc>
        <w:tc>
          <w:tcPr>
            <w:tcW w:w="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432"/>
        </w:trPr>
        <w:tc>
          <w:tcPr>
            <w:tcW w:w="6840" w:type="dxa"/>
            <w:vAlign w:val="bottom"/>
          </w:tcPr>
          <w:p>
            <w:pPr>
              <w:spacing w:after="0"/>
              <w:rPr>
                <w:sz w:val="20"/>
                <w:szCs w:val="20"/>
                <w:color w:val="auto"/>
              </w:rPr>
            </w:pPr>
            <w:r>
              <w:rPr>
                <w:rFonts w:ascii="Arial" w:cs="Arial" w:eastAsia="Arial" w:hAnsi="Arial"/>
                <w:sz w:val="18"/>
                <w:szCs w:val="18"/>
                <w:b w:val="1"/>
                <w:bCs w:val="1"/>
                <w:color w:val="auto"/>
              </w:rPr>
              <w:t>NOTE 17. EMPLOYEE SAVINGS PLAN</w:t>
            </w: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$282 and $272 to the plan during the years ended December 31,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the Company in the U.S. District Court for the District of Delaware asserting various claims, including breach of contract. The claims stem from an asset purchase agreement between the Company and NDS entered into in 2013. In July 2019, NDS filed a second amended complaint which added claims related to its purported termination of the asset purchase agreement. In October 2019, NDS voluntarily dismissed all but two claims, leaving only claims related to the scope and performance of the post-termination obligations to be litigated. On November 8, 2021, following a jury trial, the Company and NDS entered into a voluntary settlement agreement (the “Settlement Agreement”) to resolve all claims and pending matters related to this lawsuit. During the year ended December 31, 2021, the Company recorded $1,500 in selling, general and administrative expenses related to the Settlement Agreement. Except for the one-time payment of $1,500, the Company does not expect the Settlement Agreement will have any future material impact on the Company’s consolidated cash flows, financial position,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2018, John Erick and Deborah Ferrell, successors-in-interest and heirs of Jade Erick, (collectively “Erick”) filed a lawsuit in the San Diego County Superior Court against Kim Kelly, ND, MPH asserting claims related to the death of Jade Erick. In April 2018, Erick filed an amendment to the lawsuit, naming the Company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sought indemnity and contribution from the Company and Spectrum. In November 2021, the lawsuit involving the Company was resolved. There was no impact to the Company’s consolidated financial position and results of operations as a result of the resolution of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various sales and marketing agreements with certain organizations, to provide sales and marketing representation services to ImprimisRx in select geographies in the U.S., in connection with the Company’s ophthalmic compounded formulations.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sales and marketing agreements, the Company is required to make commission payments generally equal to 10% to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The Company accrued and recorded in additional paid-in capital of $0 and $83 related to stock-based payments for these agreements during the years ended December 31, 2021 and 2020, respectively, and $3,640 and $2,434 were incurred under these agreements for commission expenses during the years ended December 31, 2021 and 2020, respectively, which are included in selling, general and administrative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At December 31, 2021 and 2020, $251 and $224 were accrued in accounts payable and accrued expenses related to these agreements. During the years ended December 31, 2021 and 2020, $991 and $682, respectively, were incurred under these agreements as royalty expenses.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Acquisition of U.S. Rights to MAXITROL Eye Drops, IOPIDINE and MOXEZA</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17, 2021 (the “Closing Date”), the Company entered into the NVS Agreement (see Note 10), pursuant to which the Company purchased from NVS the exclusive commercial rights to the NVS Products in the U.S. The Company made a one-time payment of $14,050 to NVS for the U.S. rights to the NVS Products and their related intellectual property. Pursuant to the NVS Agreement and various ancillary agreements, immediately following the Closing Date and subject to certain conditions, for a period of up to six months, and prior to the transfer of the NVS Products NDAs (the “NVS NDAs”) to the Company, NVS will continue to sell the NVS Products on the Company’s behalf and transfer the net profit from the sale of the NVS Products to the Company. NVS has agreed to supply certain NVS Products to the Company for a period of time after the NVS NDAs are transferred to the Company and to assist with technology transfer of the NVS Products manufacturing to other third-party manufacturers, if needed.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Sintetica Agreement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July 2021, the Company entered into a License and Supply Agreement (the “Sintetica Agreement”) with Sintetica S.A. (“Sintetica”), pursuant to which Sintetica granted the Company the exclusive license and marketing rights to its patented ophthalmic drug candidate (“AMP-100”) in the U.S. and Canada.</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Pursuant to the Sintetica Agreement, the Company will pay Sintetica a per unit transfer price to supply AMP-100, along with a per unit royalty for units sold. The Company is required to pay Sintetica up to $18,000 in one-time milestone payments including a $5,000 payment (the “Upfront Payment”) due within 30 days of signing the Sintetica Agreement and the balance of payments due upon achievement of certain regulatory and commercial milestones. Under the terms of the Sintetica Agreement, Sintetica will be responsible for regulatory filings for AMP-100 in the U.S. The Upfront Payment along with an additional milestone payment of $3,117 was paid and recorded as a R&amp;D expenses during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Subject to certain limitations, the term of the Sintetica Agreement is ten years, and allows for a ten-year extension if certain sales thresholds are met.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Wakamoto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Wakamoto Agreements, Wakamoto will supply MAQ-100 to the Company, and the Company will pay Wakamoto a per unit transfer price to supply MAQ-100. In addition, the Company is required to pay Wakamoto various one-time milestone payments totaling up to $2,000 upon the achievement of certain regulatory milestones and up to $6,200 upon the achievement of certain commercial milestones. Under the terms of the Agreements, the Company will be responsible for regulatory filings and fees for MAQ-100 in the U.S. and Canada. Through December 31, 2021, no amounts have been paid or accrued under the Wakamoto agreement.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limitations, the term of the Agreements is for five years from the date of the FDA’s market approval of MAQ-100 and allows for a five-year extension if certain unit sales thresholds are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Eyepoint Commercial Alliance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through its wholly-owned subsidiary ImprimisRx, LLC, entered into a Commercial Alliance Agreement (the “Dexycu Agreement”) with Eyepoint Pharmaceuticals, Inc. (“Eyepoint”), pursuant to which Eyepoint granted the Company the non-exclusive right to co-promote</w:t>
      </w:r>
    </w:p>
    <w:p>
      <w:pPr>
        <w:jc w:val="both"/>
        <w:spacing w:after="0" w:line="272" w:lineRule="auto"/>
        <w:rPr>
          <w:sz w:val="20"/>
          <w:szCs w:val="20"/>
          <w:color w:val="auto"/>
        </w:rPr>
      </w:pPr>
      <w:r>
        <w:rPr>
          <w:rFonts w:ascii="Arial" w:cs="Arial" w:eastAsia="Arial" w:hAnsi="Arial"/>
          <w:sz w:val="16"/>
          <w:szCs w:val="16"/>
          <w:color w:val="auto"/>
        </w:rPr>
        <w:t>DEXYCU</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DEXYCU in excess of predefined volumes to specific customers of the Company in the U.S. Under the terms of the Dexycu Agreement, the Company shall use commercially reasonable efforts to promote and market DEXYCU in the U.S. In December 2021, Ithe Company, entered into a letter agreement (the “Letter Agreement”) with EyePoint to expand the Dexycu Agreement. During the two-year term of the Letter Agreement, in exchange for EyePoint agreeing to pay the Company a commission based on all net sales of DEXYCU® in the U.S. the Company assumed full responsibility for the sales and marketing of DEXYCU and agreed to make offers of employment to eight EyePoint employees, and will be responsible for all sales and marketing related regulatory compliance. EyePoint retained control over all regulatory approvals and commercial rights for DEXYCU. The Letter Agreement was made effective as of January 1, 2022 and will continue through December 31, 2023, unless such term is amended by mutual agreement of the parties or terminated in accordance therewith.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8" w:name="page99"/>
    <w:bookmarkEnd w:id="98"/>
    <w:p>
      <w:pPr>
        <w:jc w:val="both"/>
        <w:ind w:right="20"/>
        <w:spacing w:after="0" w:line="263" w:lineRule="auto"/>
        <w:rPr>
          <w:sz w:val="20"/>
          <w:szCs w:val="20"/>
          <w:color w:val="auto"/>
        </w:rPr>
      </w:pPr>
      <w:r>
        <w:rPr>
          <w:rFonts w:ascii="Arial" w:cs="Arial" w:eastAsia="Arial" w:hAnsi="Arial"/>
          <w:sz w:val="18"/>
          <w:szCs w:val="18"/>
          <w:color w:val="auto"/>
        </w:rPr>
        <w:t>The Letter Agreement also amended the Company’s required minimum sales levels based on the DEXYCU unit demand for the third quarter of 2021. The failure to achieve these minimum sales levels could result in penalties payable by the Company to EyePoint; provided however, in no event shall a penalty, if any, exceed commissions payable by EyePoint to the Company.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expiration or termination of the Letter Agreement, the parties will revert to the terms of the Dexycu Agreement in existence prior to the effectiveness of the Letter Agreement for the remainder of the original term of the Dexycu Agreement. The Letter Agreement provides that either party may terminate the Dexycu Agreement upon 30 days’ prior written notice in the event DEXYCU ceases to have Medicare Part B “pass-through” payment status for a period of not less than 6 months. The Company has an additional right to terminate the Letter Agreement with 30 days written notice if (i) a proposed or final Hospital Outpatient Prospective Payment System (HOPPS) rule issued by the Centers for Medicare &amp; Medicaid Services (CMS) during calendar year 2022 does not contain an extension of the pass-through payment period for DEXYCU beyond December 31, 2022, and (ii) EyePoint has not otherwise waived any minimum sales for a respective quarterly period.</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DEXYCU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 During the years ended December 31, 2021 and 2020, the Company recorded $3,253 and $357, respectively, in commission revenues related to the Dexycu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Klarity License Agreement – Related Party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were payable at the Company’s election in cash or shares of the Company’s restricted common stock. Dr. Lindstrom was paid $165 and $149 in cash during the years ended December 31, 2021 and 2020, respectively, and was due an additional $30 and $35 at December 31, 2021 and 2020, respectively. The Company incurred $160 and $129 for royalty expenses related to the Klarity License Agreement during the years ended December 31, 2021 and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Injectable Asset Purchase Agreement – Related Party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$28 and $55 in cash during the year ended December 31, 2021 and 2020, respectively, and was due $8 and $7 at December 31, 2021 and 2020, respectively. The Company incurred $29 and $55 for royalty expenses related to the Lindstrom Agreement during the year ended December 31, 2021 and 2020,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Presbyopia Asset Purchase Agreement – Related Party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2019, the Company entered into an asset purchase agreement (the “Presbyopia APA”) with Richard L. Lindstrom, M.D.,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Presbyopia Product, the Company is required to make royalty payments to Dr. Lindstrom ranging from 2% to 4% of net sales, dependent upon the final formulation and patent protection of the Presbyopia Product sold. Dr. Lindstrom was paid $0 in cash during the years ended December 31, 2021 and 2020, and was due $0 at December 31, 2021 and 2020. The Company incurred $0 for royalty expenses related to the Presbyopia APA during the years ended December 31,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MAY-66 License Termination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Mayfield terminated the License Agreement (the “TGV License”) with TGV-Health, LLC and affiliated entities (collectively, “TGV”), pursuant to which it acquired intellectual property rights for use in the women’s health field, related to Mayfield’s proprietary drug candidate MAY-66. Concurrent with the termination, TGV returned to Mayfield 300,000 shares of Mayfield’s common stock, constituting all of the equity held by TGV. Mayfield has no outstanding or remaining obligations under the TGV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MAY-44 APA Termination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Mayfield and Harrow terminated their asset purchase agreement dated January 2020 (the “MAY-44 APA”) for intellectual property rights associated with Mayfield’s drug candidate MAY-44 with Elle Pharmaceutical LLC (“Elle”). As part of the termination, Mayfield re-acquired 350,000 shares of its common stock from Elle. Mayfield has no outstanding or remaining obligations related to the MAY-44 APA.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License Termination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May 2021, Stowe terminated the License Agreement (the “Stowe License”) with TGV, pursuant to which it acquired intellectual property rights for use in the ophthalmic field, related to Stowe’s proprietary drug candidate STE-006. Concurrent with the termination, TGV returned to Stowe 1,750,000 shares of Stowe’s common stock, constituting all of the equity held by TGV. Stowe has no outstanding or remaining obligations under the Stowe License.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 AND CONCENTRATIONS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evaluated the Company’s 2021 and 2020 performance based on operating segments. Segment performance for the Company’s two operating segments are based on segment contribution. The Company’s reportable segments consisted of (i) its commercial stage pharmaceutical compounding business (Pharmaceutical Compounding), generally including the operations of ImprimisRx; and (ii) its start-up operations associated with pharmaceutical drug development business (Pharmaceutical Drug Development). Segment contribution for the segments represents net revenues less cost of sales, R&amp;D expenses, selling and marketing expenses, and select general and administrative expenses. Management does not evaluate the following items at the segment level:</w:t>
      </w:r>
    </w:p>
    <w:p>
      <w:pPr>
        <w:spacing w:after="0" w:line="192" w:lineRule="exact"/>
        <w:rPr>
          <w:sz w:val="20"/>
          <w:szCs w:val="20"/>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Management defines segment net revenues as pharmaceutical compounded drug sales, licenses and other revenues derived from related agreements.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0" w:name="page101"/>
    <w:bookmarkEnd w:id="100"/>
    <w:p>
      <w:pPr>
        <w:jc w:val="both"/>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years ended December 31, 2021 and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For the Year Ended December 31, 2021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1"/>
              <w:spacing w:after="0" w:line="201" w:lineRule="exact"/>
              <w:rPr>
                <w:sz w:val="20"/>
                <w:szCs w:val="20"/>
                <w:color w:val="auto"/>
              </w:rPr>
            </w:pPr>
            <w:r>
              <w:rPr>
                <w:rFonts w:ascii="Arial" w:cs="Arial" w:eastAsia="Arial" w:hAnsi="Arial"/>
                <w:sz w:val="18"/>
                <w:szCs w:val="18"/>
                <w:color w:val="auto"/>
                <w:w w:val="88"/>
              </w:rPr>
              <w:t>Pharmaceutical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Pharmaceutical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8"/>
                <w:szCs w:val="18"/>
                <w:color w:val="auto"/>
                <w:w w:val="92"/>
              </w:rPr>
              <w:t>Drug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Compounding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8"/>
                <w:szCs w:val="18"/>
                <w:color w:val="auto"/>
                <w:w w:val="90"/>
              </w:rPr>
              <w:t>Development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Total</w:t>
            </w: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(18,214)</w:t>
            </w:r>
          </w:p>
        </w:tc>
      </w:tr>
      <w:tr>
        <w:trPr>
          <w:trHeight w:val="216"/>
        </w:trPr>
        <w:tc>
          <w:tcPr>
            <w:tcW w:w="5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27,465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27,465</w:t>
            </w:r>
          </w:p>
        </w:tc>
      </w:tr>
      <w:tr>
        <w:trPr>
          <w:trHeight w:val="24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8,674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9,762</w:t>
            </w:r>
          </w:p>
        </w:tc>
      </w:tr>
      <w:tr>
        <w:trPr>
          <w:trHeight w:val="223"/>
        </w:trPr>
        <w:tc>
          <w:tcPr>
            <w:tcW w:w="51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25,709</w:t>
            </w:r>
          </w:p>
        </w:tc>
        <w:tc>
          <w:tcPr>
            <w:tcW w:w="18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17,035</w:t>
            </w:r>
          </w:p>
        </w:tc>
        <w:tc>
          <w:tcPr>
            <w:tcW w:w="80" w:type="dxa"/>
            <w:vAlign w:val="bottom"/>
            <w:tcBorders>
              <w:top w:val="single" w:sz="8" w:color="CCEEFF"/>
              <w:bottom w:val="single" w:sz="8" w:color="CCEEFF"/>
            </w:tcBorders>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(1,322)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r>
      <w:tr>
        <w:trPr>
          <w:trHeight w:val="229"/>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0"/>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For the Year Ended December 31, 2020</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1"/>
              <w:spacing w:after="0" w:line="201" w:lineRule="exact"/>
              <w:rPr>
                <w:sz w:val="20"/>
                <w:szCs w:val="20"/>
                <w:color w:val="auto"/>
              </w:rPr>
            </w:pPr>
            <w:r>
              <w:rPr>
                <w:rFonts w:ascii="Arial" w:cs="Arial" w:eastAsia="Arial" w:hAnsi="Arial"/>
                <w:sz w:val="18"/>
                <w:szCs w:val="18"/>
                <w:color w:val="auto"/>
                <w:w w:val="88"/>
              </w:rPr>
              <w:t>Pharmaceutical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Pharmaceutical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8"/>
                <w:szCs w:val="18"/>
                <w:color w:val="auto"/>
                <w:w w:val="92"/>
              </w:rPr>
              <w:t>Drug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Compounding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01"/>
              <w:spacing w:after="0"/>
              <w:rPr>
                <w:sz w:val="20"/>
                <w:szCs w:val="20"/>
                <w:color w:val="auto"/>
              </w:rPr>
            </w:pPr>
            <w:r>
              <w:rPr>
                <w:rFonts w:ascii="Arial" w:cs="Arial" w:eastAsia="Arial" w:hAnsi="Arial"/>
                <w:sz w:val="18"/>
                <w:szCs w:val="18"/>
                <w:color w:val="auto"/>
                <w:w w:val="90"/>
              </w:rPr>
              <w:t>Development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Total</w:t>
            </w: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(14,463)</w:t>
            </w:r>
          </w:p>
        </w:tc>
      </w:tr>
      <w:tr>
        <w:trPr>
          <w:trHeight w:val="216"/>
        </w:trPr>
        <w:tc>
          <w:tcPr>
            <w:tcW w:w="5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22,691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22,835</w:t>
            </w:r>
          </w:p>
        </w:tc>
      </w:tr>
      <w:tr>
        <w:trPr>
          <w:trHeight w:val="24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r>
      <w:tr>
        <w:trPr>
          <w:trHeight w:val="224"/>
        </w:trPr>
        <w:tc>
          <w:tcPr>
            <w:tcW w:w="51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18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10,726</w:t>
            </w:r>
          </w:p>
        </w:tc>
        <w:tc>
          <w:tcPr>
            <w:tcW w:w="80" w:type="dxa"/>
            <w:vAlign w:val="bottom"/>
            <w:tcBorders>
              <w:top w:val="single" w:sz="8" w:color="CCEEFF"/>
              <w:bottom w:val="single" w:sz="8" w:color="CCEEFF"/>
            </w:tcBorders>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36"/>
        </w:trPr>
        <w:tc>
          <w:tcPr>
            <w:tcW w:w="516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r>
      <w:tr>
        <w:trPr>
          <w:trHeight w:val="230"/>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December 31, 2021 and December 31, 2020 are located in the 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2022, due to shifts in the Company’s strategic plans to further focus on growing the Company’s ImprimisRx business and suspension of activities related to starting up development-stage pharmaceutical companies, along with changes to the Company’s organizational and internal reporting structure, management will no longer evaluate the Company’s business in two segments and will instead focus on the performance of the business as a single operating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two products that each comprised more than 10% of total revenues. These products collectively accounted for 35% and 35% of revenues during the years ended December 31, 2021 and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years ended December 31, 2021 and 2020,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74% of active pharmaceutical ingredient purchases during the year ended December 31, 2021, and 77% during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2022, the Company issued 53,594 shares of common stock to Mark L. Baum, the Company’s Chief Executive Officer, upon the cashless exercise of options to purchase 125,000 shares at an exercise price of $2.40 per share. The Company withheld from Mr. Baum 36,014 shares as consideration for the cashless exercise and an additional 35,392 shares for payroll tax purposes.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February 2022, 50,000 RSUs granted in February 2019 to Andrew R. Boll, the Company’s Chief Financial Officer, vested, and, 29,395 shares the Company’s common stock were issued to Mr. Boll, net of 20,605 shares of common stock withheld for payroll tax withholdings totaling $162.</w:t>
      </w:r>
    </w:p>
    <w:p>
      <w:pPr>
        <w:sectPr>
          <w:pgSz w:w="11900" w:h="16838" w:orient="portrait"/>
          <w:cols w:equalWidth="0" w:num="1">
            <w:col w:w="11240"/>
          </w:cols>
          <w:pgMar w:left="320" w:top="692" w:right="339" w:bottom="0" w:gutter="0" w:footer="0" w:header="0"/>
        </w:sectPr>
      </w:pPr>
    </w:p>
    <w:bookmarkStart w:id="101" w:name="page102"/>
    <w:bookmarkEnd w:id="101"/>
    <w:p>
      <w:pPr>
        <w:jc w:val="both"/>
        <w:ind w:right="20"/>
        <w:spacing w:after="0" w:line="308" w:lineRule="auto"/>
        <w:rPr>
          <w:sz w:val="20"/>
          <w:szCs w:val="20"/>
          <w:color w:val="auto"/>
        </w:rPr>
      </w:pPr>
      <w:r>
        <w:rPr>
          <w:rFonts w:ascii="Arial" w:cs="Arial" w:eastAsia="Arial" w:hAnsi="Arial"/>
          <w:sz w:val="17"/>
          <w:szCs w:val="17"/>
          <w:color w:val="auto"/>
        </w:rPr>
        <w:t>In February 2022, 50,000 RSUs granted in February 2019 to John P. Saharek, the Company’s President of ImprimisRx, vested, and, 24,077 shares the Company’s common stock were issued to Mr. Saharek, net of 25,923 shares of common stock withheld for payroll tax withholdings totaling $204.</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performed an evaluation of events occurring subsequent to December 31, 2021 through the filing date of this Annual Report and determined that no subsequent events have occurred that would require recognition in the consolidated financial statements or disclosures in the notes thereto, other than as disclosed in the accompanying notes.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Harrow Health, Inc. has two classes of securities registered under Section 12 of the Securities Exchange Act of 1934, as amended: (i) our common stock, par value $0.001 per share, and (ii) our 8.625% Senior Notes due 2026 (the “Senior Notes” or “Notes”).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exhibit, when we refer to “Company”, “Harrow”, “we”, “us” and “our” or when we otherwise refer to ourselves, we mean Harrow Health, Inc., excluding, unless otherwise expressly stated or the context requires, our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and Amended and Restated Bylaws. For more detailed information, please see our Amended and Restated Certificate of Incorporation and Amended and Restated Bylaws, which are incorporated by reference as exhibits to the Annual Report on Form 10-K to which this description is an exhibit.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 As of March 8, 2022, there were 27,030,127 shares of our common stock and no shares of our preferred stock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March 4, 2022, there were approximately 82 stockholders of record (excluding an indeterminable number of stockholders whose shares are held in street or “nominee” name) of our common stock. In addition, as of December 31, 2021, there are outstanding (i) options to acquire 3,039,546 shares of our common stock with a weighted average exercise price of $5.52 per share, (ii) warrants to purchase 373,847 shares of common stock with a weighted average exercise price of $2.08 per share, (iii) 2,233,202 unvested restricted and performance-based stock units and (iv) 267,761 restricted stock units award to directors that had vested, but issuance and delivery of the shares are deferred until the director resigns or otherwise leaves the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jc w:val="both"/>
        <w:ind w:firstLine="324"/>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Senior Notes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issued the Notes under an Indenture dated as of April 20, 2021, as supplemented by the First Supplemental Indenture dated as of April 20, 2021 (the “Indenture”), between the Company and U.S. Bank National Association (the “Trustee”). The terms of the Notes include those expressly set forth in the Indenture and those made part of the Indenture by reference to the Trust Indenture Act of 1939, as amended (the “Trust Indenture Act”). Certain defined terms used in this description but not defined herein have the meanings assigned to them in the Indenture.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general unsecured, senior obligations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limited to an aggregate principal amount of $75.0 million, subject to the Company’s ability to issue additional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mature on April 30, 2026 unless earlier redeemed or repurchased, and 100% of the aggregate principal amount will be paid at maturity;</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bear cash interest from April 30, 2021 at an annual rate of 8.625%, payable quarterly in arrears on January 31, April 30, July 31 and October 31 of each year, beginning on July 31, 2021, and at maturity;</w:t>
      </w:r>
    </w:p>
    <w:p>
      <w:pPr>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redeemable at the Company’s option, in whole or in part, prior to February 1, 2026, at the prices and on the terms described under “— Optional Redemption” below;</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were issued in denominations of $25 and integral multiples of $25 in excess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 not have a sinking fund;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listed on NASDAQ under the symbol “HROWL”;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represented by one or more registered notes in global form, but in certain limited circumstances may be represented by notes in definitive form.</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equally) with our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on the Notes accrues at an annual rate equal to 8.625% from and including April 30, 2021 to, but excluding, the maturity date or earlier acceleration or redemption and is payable quarterly in arrears on January 31, April 30, July 31 and October 31 of each year, beginning on July 31, 2021 and at maturity, to the record holders at the close of business on the immediately preceding January 15, April 15, July 15 and October 15, as applicable (whether or not a business day).</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initial interest period for the Notes is the period from and including April 30, 2021, to, but excluding, July 31, 2021,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is computed on the basis of a 360-day year comprised of twelve 30-day months. If an interest payment date falls on a non-business day, the applicable interest payment is made on the next business day and no additional interest will accrue as a result of such delayed payment.</w:t>
      </w:r>
    </w:p>
    <w:p>
      <w:pPr>
        <w:spacing w:after="0" w:line="1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February 1, 2026 (the “Notes Par Call Date”), we may, at our option, redeem the Notes, in whole at any time or in part from time to time, at a redemption price equal to the sum of (i) 100% of the principal amount of the Notes being redeemed plus accrued and unpaid interest to, but excluding, the date of redemption and (ii) the Make-Whole Amount, if any.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Notes may be redeemed for cash in whole or in part at any time at our option on or after February 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16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we default on the payment of the redemption price, on and after the date of redemption, interest will cease to accrue on the Notes called for redemption.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6" w:name="page107"/>
    <w:bookmarkEnd w:id="106"/>
    <w:p>
      <w:pPr>
        <w:ind w:left="340"/>
        <w:spacing w:after="0"/>
        <w:rPr>
          <w:sz w:val="20"/>
          <w:szCs w:val="20"/>
          <w:color w:val="auto"/>
        </w:rPr>
      </w:pPr>
      <w:r>
        <w:rPr>
          <w:rFonts w:ascii="Arial" w:cs="Arial" w:eastAsia="Arial" w:hAnsi="Arial"/>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“Make-Whole Amount” means, in connection with any optional redemption of any Note, the excess, if any, of (i) the sum of the present values, as of the date of such redemption, of the remaining scheduled payments of principal of, and interest (exclusive of interest accrued to, but excluding, the date of redemption) on, such Note, assuming such Note matured on, and that accrued and unpaid interest on such Note was payable through, the Notes Par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Par Call Date)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our Notes will have rights if an Event of Default occurs in respect of the Notes and is not cured, as described later in this subsection. The term “Event of Default” in respect of the Notes means any of the following:</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do not pay interest on any Note when due, and such default is not cured within 30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do not pay the principal of the Notes when due and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specified events of bankruptcy, insolvency or reorganization occur and remain undischarged or unstayed for a period of 90 days.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7" w:name="page108"/>
    <w:bookmarkEnd w:id="107"/>
    <w:p>
      <w:pPr>
        <w:jc w:val="both"/>
        <w:ind w:firstLine="324"/>
        <w:spacing w:after="0" w:line="257" w:lineRule="auto"/>
        <w:rPr>
          <w:sz w:val="20"/>
          <w:szCs w:val="20"/>
          <w:color w:val="auto"/>
        </w:rPr>
      </w:pPr>
      <w:r>
        <w:rPr>
          <w:rFonts w:ascii="Arial" w:cs="Arial" w:eastAsia="Arial" w:hAnsi="Arial"/>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2" w:lineRule="exact"/>
        <w:rPr>
          <w:sz w:val="20"/>
          <w:szCs w:val="20"/>
          <w:color w:val="auto"/>
        </w:rPr>
      </w:pPr>
    </w:p>
    <w:p>
      <w:pPr>
        <w:jc w:val="both"/>
        <w:ind w:firstLine="8"/>
        <w:spacing w:after="0" w:line="259" w:lineRule="auto"/>
        <w:tabs>
          <w:tab w:leader="none" w:pos="2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0.50% for calendar days 91 through 180 after such default. On the 181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holder must give the Trustee written notice that the Event of Default has occurred and remains uncured;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at least 25% of the outstanding principal of the Notes must have made a written request to the Trustee to institute proceedings in respect of such Event of Default in its own name as trustee;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holder or holders must have offered to the Trustee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holders of a majority of the outstanding principal of the Notes.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delay or omission in exercising any right or remedy will be treated as a waiver of that right, remedy or Event of Default.</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24" w:lineRule="exact"/>
        <w:rPr>
          <w:sz w:val="20"/>
          <w:szCs w:val="20"/>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is continuing; and</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three types of changes we can make to the Indenture and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70" w:lineRule="exact"/>
        <w:rPr>
          <w:sz w:val="20"/>
          <w:szCs w:val="20"/>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and the assumption by the successor corporation of our covenants, agreements and obligations under the Indenture and the Notes;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the Notes, or to surrender any right or power herein conferred upon the Company and to make the occurrence;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the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9" w:name="page110"/>
    <w:bookmarkEnd w:id="109"/>
    <w:p>
      <w:pPr>
        <w:jc w:val="both"/>
        <w:ind w:left="660" w:right="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or provide for a guaranty of the Notes or additional obligors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form or terms of the Notes;</w:t>
      </w:r>
    </w:p>
    <w:p>
      <w:pPr>
        <w:spacing w:after="0" w:line="225"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action pursuant to this clause shall not adversely affect the interests of the holders of the Notes in any material respect;</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secure the Notes, including provisions regarding the circumstances under which collateral may be released or substituted;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to supplement any of the provisions of the Indenture to such extent as shall be necessary to permit or facilitate the defeasance and discharge the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adversely affect the interests of the holders of the Notes in any material respect.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 of Each Holder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cannot make certain changes to the Notes without the specific approval of each holder of the Notes. The following is a list of those types of changes:</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changing the stated maturity of the principal of, or any installment of interest on, any Note;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reducing the principal amount or rate of interest of any Note;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changing the place of payment where any Note or any interest is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impairing the right to institute suit for the enforcement of any payment on or after the date on which it is due and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reducing the percentage in principal amount of holders of the Notes whose consent is needed to modify or amend the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reducing the percentage in principal amount of holders of the Notes whose consent is needed to waive compliance with certain provisions of the Indenture or to waive certain defaults.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25"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change only affects the Notes, it must be approved by holders of not less than a majority in aggregate principal amount of the outstanding Notes;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Consent from holders to any change to the Indenture or the Notes must be given in writing.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 of Notes deemed to be outstanding for the purpose of voting will include all Notes authenticated and delivered under the Indenture as of the date of determination except:</w:t>
      </w:r>
    </w:p>
    <w:p>
      <w:pPr>
        <w:spacing w:after="0" w:line="1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Notes cancelled by the Trustee or delivered to the Trustee for cancellation;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Notes for which have undergone full defeasance, as described below; and</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4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must take place on or prior to the 180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defeasance provisions are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7" w:lineRule="exact"/>
        <w:rPr>
          <w:sz w:val="20"/>
          <w:szCs w:val="20"/>
          <w:color w:val="auto"/>
        </w:rPr>
      </w:pPr>
    </w:p>
    <w:p>
      <w:pPr>
        <w:jc w:val="both"/>
        <w:ind w:left="660" w:hanging="328"/>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1" w:name="page112"/>
    <w:bookmarkEnd w:id="111"/>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covenant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covenant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there is a change in U.S. federal income tax law, we can legally release ourselves from all payment and other obligations on the Notes if we take the following actions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full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full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full defeasance have been complied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jc w:val="both"/>
        <w:ind w:firstLine="324"/>
        <w:spacing w:after="0" w:line="275" w:lineRule="auto"/>
        <w:rPr>
          <w:sz w:val="20"/>
          <w:szCs w:val="20"/>
          <w:color w:val="auto"/>
        </w:rPr>
      </w:pPr>
      <w:r>
        <w:rPr>
          <w:rFonts w:ascii="Arial" w:cs="Arial" w:eastAsia="Arial" w:hAnsi="Arial"/>
          <w:sz w:val="17"/>
          <w:szCs w:val="17"/>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Notes are listed on NASDAQ under the symbol “HROWL”. The Notes trade “flat,” meaning that purchasers do not pay and sellers do not receive any accrued and unpaid interest on the Notes that is not included in the trading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and the Notes are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Issuance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Notes are issued in the form of one or more global certificates, or Global Notes, registered in the name of The Depository Trust Company, or DTC. DTC has informed us that its nominee is Cede &amp; Co. Accordingly, we expect Cede &amp; Co. to be the initial registered holder of the Notes. No person that acquires a beneficial interest in the Notes will be entitled to receive a certificate representing that person’s interest in the Notes except as described 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Arial" w:cs="Arial" w:eastAsia="Arial" w:hAnsi="Arial"/>
          <w:sz w:val="18"/>
          <w:szCs w:val="18"/>
          <w:i w:val="1"/>
          <w:iCs w:val="1"/>
          <w:color w:val="auto"/>
        </w:rPr>
        <w:t>www.dtcc.com</w:t>
      </w:r>
      <w:r>
        <w:rPr>
          <w:rFonts w:ascii="Arial" w:cs="Arial" w:eastAsia="Arial" w:hAnsi="Arial"/>
          <w:sz w:val="18"/>
          <w:szCs w:val="18"/>
          <w:color w:val="auto"/>
        </w:rPr>
        <w:t>.</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3" w:name="page114"/>
    <w:bookmarkEnd w:id="113"/>
    <w:p>
      <w:pPr>
        <w:ind w:left="340"/>
        <w:spacing w:after="0"/>
        <w:rPr>
          <w:sz w:val="20"/>
          <w:szCs w:val="20"/>
          <w:color w:val="auto"/>
        </w:rPr>
      </w:pPr>
      <w:r>
        <w:rPr>
          <w:rFonts w:ascii="Arial" w:cs="Arial" w:eastAsia="Arial" w:hAnsi="Arial"/>
          <w:sz w:val="16"/>
          <w:szCs w:val="16"/>
          <w:color w:val="auto"/>
        </w:rPr>
        <w:t>To facilitate subsequent transfers, all Notes deposited by Direct Participants with DTC are registered in the name of DTC’s partnership nominee, Cede</w:t>
      </w:r>
    </w:p>
    <w:p>
      <w:pPr>
        <w:spacing w:after="0" w:line="46" w:lineRule="exact"/>
        <w:rPr>
          <w:sz w:val="20"/>
          <w:szCs w:val="20"/>
          <w:color w:val="auto"/>
        </w:rPr>
      </w:pPr>
    </w:p>
    <w:p>
      <w:pPr>
        <w:jc w:val="both"/>
        <w:ind w:firstLine="8"/>
        <w:spacing w:after="0" w:line="295" w:lineRule="auto"/>
        <w:tabs>
          <w:tab w:leader="none" w:pos="1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Global Note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Payments on Global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Certificated Securities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When Offices Are Closed</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and other indirect holders should consult their banks or brokers for information on how they will receive payments on the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24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DTC notified us at any time that it is unwilling or unable to continue as depositary for the Global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Event of Default with respect to such Global Note has occurred and is continuing.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Trustee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Bank National Association is the Trustee under the Indenture and is the principal paying agent and registrar for the Notes. The Trustee may resign or be removed with respect to the Notes provided that a successor trustee is appointed to act with respect to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5" w:name="page116"/>
    <w:bookmarkEnd w:id="115"/>
    <w:p>
      <w:pPr>
        <w:ind w:left="10220"/>
        <w:spacing w:after="0"/>
        <w:rPr>
          <w:sz w:val="20"/>
          <w:szCs w:val="20"/>
          <w:color w:val="auto"/>
        </w:rPr>
      </w:pPr>
      <w:r>
        <w:rPr>
          <w:rFonts w:ascii="Arial" w:cs="Arial" w:eastAsia="Arial" w:hAnsi="Arial"/>
          <w:sz w:val="16"/>
          <w:szCs w:val="16"/>
          <w:b w:val="1"/>
          <w:bCs w:val="1"/>
          <w:color w:val="auto"/>
        </w:rPr>
        <w:t>Exhibit 10.50</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Portions of this exhibit indicated by bracketed asterisks have been omitted because they are not material and would likely cause competitive harm to Harrow Health, Inc. if publicly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December 6,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Rx,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Saharek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Commercial Alliance Agreement: Expansion of Imprimis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EyePoint Pharmaceuticals, Inc. (“</w:t>
      </w:r>
      <w:r>
        <w:rPr>
          <w:rFonts w:ascii="Arial" w:cs="Arial" w:eastAsia="Arial" w:hAnsi="Arial"/>
          <w:sz w:val="16"/>
          <w:szCs w:val="16"/>
          <w:b w:val="1"/>
          <w:bCs w:val="1"/>
          <w:color w:val="auto"/>
        </w:rPr>
        <w:t>EyePoint</w:t>
      </w:r>
      <w:r>
        <w:rPr>
          <w:rFonts w:ascii="Arial" w:cs="Arial" w:eastAsia="Arial" w:hAnsi="Arial"/>
          <w:sz w:val="16"/>
          <w:szCs w:val="16"/>
          <w:color w:val="auto"/>
        </w:rPr>
        <w:t>”) and ImprimisRx, LLC (“</w:t>
      </w:r>
      <w:r>
        <w:rPr>
          <w:rFonts w:ascii="Arial" w:cs="Arial" w:eastAsia="Arial" w:hAnsi="Arial"/>
          <w:sz w:val="16"/>
          <w:szCs w:val="16"/>
          <w:b w:val="1"/>
          <w:bCs w:val="1"/>
          <w:color w:val="auto"/>
        </w:rPr>
        <w:t>Imprimis</w:t>
      </w:r>
      <w:r>
        <w:rPr>
          <w:rFonts w:ascii="Arial" w:cs="Arial" w:eastAsia="Arial" w:hAnsi="Arial"/>
          <w:sz w:val="16"/>
          <w:szCs w:val="16"/>
          <w:color w:val="auto"/>
        </w:rPr>
        <w:t>”) entered into a Commercial Alliance Agreement effective as of August 1, 2020, as modified by the Letter Agreement dated November 12, 2020 (collectively, the “</w:t>
      </w:r>
      <w:r>
        <w:rPr>
          <w:rFonts w:ascii="Arial" w:cs="Arial" w:eastAsia="Arial" w:hAnsi="Arial"/>
          <w:sz w:val="16"/>
          <w:szCs w:val="16"/>
          <w:b w:val="1"/>
          <w:bCs w:val="1"/>
          <w:color w:val="auto"/>
        </w:rPr>
        <w:t>Agreement</w:t>
      </w:r>
      <w:r>
        <w:rPr>
          <w:rFonts w:ascii="Arial" w:cs="Arial" w:eastAsia="Arial" w:hAnsi="Arial"/>
          <w:sz w:val="16"/>
          <w:szCs w:val="16"/>
          <w:color w:val="auto"/>
        </w:rPr>
        <w:t>”). Capitalized terms used but not defined in this letter have their respective meanings set forth in the Agreement. All changes to the Agreement described below shall be effective as of January 1, 2022 (the “</w:t>
      </w:r>
      <w:r>
        <w:rPr>
          <w:rFonts w:ascii="Arial" w:cs="Arial" w:eastAsia="Arial" w:hAnsi="Arial"/>
          <w:sz w:val="16"/>
          <w:szCs w:val="16"/>
          <w:b w:val="1"/>
          <w:bCs w:val="1"/>
          <w:color w:val="auto"/>
        </w:rPr>
        <w:t>Expansion Effective Date”</w:t>
      </w:r>
      <w:r>
        <w:rPr>
          <w:rFonts w:ascii="Arial" w:cs="Arial" w:eastAsia="Arial" w:hAnsi="Arial"/>
          <w:sz w:val="16"/>
          <w:szCs w:val="16"/>
          <w:color w:val="auto"/>
        </w:rPr>
        <w:t>). For good and valuable consideration, the sufficiency of which is hereby acknowledged, the Parties hereby agree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to the Agreement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Notwithstanding anything to the contrary in the Agreement, the terms of this letter describe certain provisional changes and other amendments in and to the responsibilities and obligations of the parties that will be effective from the Expansion Effective Date through December 31, 2023 (the </w:t>
      </w:r>
      <w:r>
        <w:rPr>
          <w:rFonts w:ascii="Arial" w:cs="Arial" w:eastAsia="Arial" w:hAnsi="Arial"/>
          <w:sz w:val="17"/>
          <w:szCs w:val="17"/>
          <w:b w:val="1"/>
          <w:bCs w:val="1"/>
          <w:color w:val="auto"/>
        </w:rPr>
        <w:t>“Expansion</w:t>
      </w:r>
      <w:r>
        <w:rPr>
          <w:rFonts w:ascii="Arial" w:cs="Arial" w:eastAsia="Arial" w:hAnsi="Arial"/>
          <w:sz w:val="17"/>
          <w:szCs w:val="17"/>
          <w:color w:val="auto"/>
        </w:rPr>
        <w:t xml:space="preserve"> </w:t>
      </w:r>
      <w:r>
        <w:rPr>
          <w:rFonts w:ascii="Arial" w:cs="Arial" w:eastAsia="Arial" w:hAnsi="Arial"/>
          <w:sz w:val="17"/>
          <w:szCs w:val="17"/>
          <w:b w:val="1"/>
          <w:bCs w:val="1"/>
          <w:color w:val="auto"/>
        </w:rPr>
        <w:t>Term”</w:t>
      </w:r>
      <w:r>
        <w:rPr>
          <w:rFonts w:ascii="Arial" w:cs="Arial" w:eastAsia="Arial" w:hAnsi="Arial"/>
          <w:sz w:val="17"/>
          <w:szCs w:val="17"/>
          <w:color w:val="auto"/>
        </w:rPr>
        <w:t>), unless the Expansion Term is shortened or extended by mutual agreement, or as described below.</w:t>
      </w:r>
    </w:p>
    <w:p>
      <w:pPr>
        <w:spacing w:after="0" w:line="165" w:lineRule="exact"/>
        <w:rPr>
          <w:sz w:val="20"/>
          <w:szCs w:val="20"/>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for commercial continuity in the event the pass-through period lapses and is granted during a subsequent CMS cycle, Section 13.3 will be replaced with the following text: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End of Pass-Through Payment Status</w:t>
      </w:r>
      <w:r>
        <w:rPr>
          <w:rFonts w:ascii="Arial" w:cs="Arial" w:eastAsia="Arial" w:hAnsi="Arial"/>
          <w:sz w:val="18"/>
          <w:szCs w:val="18"/>
          <w:color w:val="auto"/>
        </w:rPr>
        <w:t>. If Pass-Through Payment Status ceases for a period of not less than six (6) months, then either Party may terminate this Agreement by providing thirty (30) days’ prior written notice of termination to the other Party.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Expansion Term:</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Imprimis assumes the following responsibilities and obligations, and will indemnify and hold EyePoint harmless, pursuant to Section 12.2 of the Agreement, from and against all Liabilities resulting from any Third-Party Claim resulting from any of the following:</w:t>
      </w:r>
    </w:p>
    <w:p>
      <w:pPr>
        <w:spacing w:after="0" w:line="170" w:lineRule="exact"/>
        <w:rPr>
          <w:rFonts w:ascii="Arial" w:cs="Arial" w:eastAsia="Arial" w:hAnsi="Arial"/>
          <w:sz w:val="18"/>
          <w:szCs w:val="18"/>
          <w:color w:val="auto"/>
        </w:rPr>
      </w:pPr>
    </w:p>
    <w:p>
      <w:pPr>
        <w:ind w:left="968" w:right="20" w:hanging="320"/>
        <w:spacing w:after="0" w:line="277" w:lineRule="auto"/>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Full responsibility for all current Dexycu Sales, Marketing and Medical Science Liaison (MSL) functions, including compliance with all applicable laws or regulations related to such responsibilities</w:t>
      </w:r>
    </w:p>
    <w:p>
      <w:pPr>
        <w:spacing w:after="0" w:line="170" w:lineRule="exact"/>
        <w:rPr>
          <w:rFonts w:ascii="Arial" w:cs="Arial" w:eastAsia="Arial" w:hAnsi="Arial"/>
          <w:sz w:val="18"/>
          <w:szCs w:val="18"/>
          <w:color w:val="auto"/>
        </w:rPr>
      </w:pPr>
    </w:p>
    <w:p>
      <w:pPr>
        <w:jc w:val="both"/>
        <w:ind w:left="1628" w:hanging="332"/>
        <w:spacing w:after="0" w:line="263" w:lineRule="auto"/>
        <w:tabs>
          <w:tab w:leader="none" w:pos="1628"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Exception</w:t>
      </w:r>
      <w:r>
        <w:rPr>
          <w:rFonts w:ascii="Arial" w:cs="Arial" w:eastAsia="Arial" w:hAnsi="Arial"/>
          <w:sz w:val="18"/>
          <w:szCs w:val="18"/>
          <w:color w:val="auto"/>
        </w:rPr>
        <w:t>: EyePoint marketing and MSL personnel currently dedicated to Dexycu will remain with EyePoint in new roles, but will provide 90 days of transition services from the commencement of the Expansion Term. Imprimis shall pay EyePoint for such transition services at EyePoint’s cost.</w:t>
      </w:r>
    </w:p>
    <w:p>
      <w:pPr>
        <w:spacing w:after="0" w:line="183"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Imprimis will offer full-time employment to these current EyePoint personnel, as of the Expansion Effective Date, on equivalent or better salary, bonus, equity opportunities:</w:t>
      </w:r>
    </w:p>
    <w:p>
      <w:pPr>
        <w:spacing w:after="0" w:line="170" w:lineRule="exact"/>
        <w:rPr>
          <w:rFonts w:ascii="Arial" w:cs="Arial" w:eastAsia="Arial" w:hAnsi="Arial"/>
          <w:sz w:val="18"/>
          <w:szCs w:val="18"/>
          <w:color w:val="auto"/>
        </w:rPr>
      </w:pPr>
    </w:p>
    <w:p>
      <w:pPr>
        <w:ind w:left="1628" w:hanging="332"/>
        <w:spacing w:after="0"/>
        <w:tabs>
          <w:tab w:leader="none" w:pos="1628"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Imprimis will also assume full responsibility and all associated costs for the following functions pertaining to Dexycu:</w:t>
      </w:r>
    </w:p>
    <w:p>
      <w:pPr>
        <w:spacing w:after="0" w:line="225" w:lineRule="exact"/>
        <w:rPr>
          <w:rFonts w:ascii="Arial" w:cs="Arial" w:eastAsia="Arial" w:hAnsi="Arial"/>
          <w:sz w:val="18"/>
          <w:szCs w:val="18"/>
          <w:color w:val="auto"/>
        </w:rPr>
      </w:pPr>
    </w:p>
    <w:p>
      <w:pPr>
        <w:ind w:left="1628" w:hanging="332"/>
        <w:spacing w:after="0"/>
        <w:tabs>
          <w:tab w:leader="none" w:pos="1628" w:val="left"/>
        </w:tabs>
        <w:numPr>
          <w:ilvl w:val="2"/>
          <w:numId w:val="55"/>
        </w:numPr>
        <w:rPr>
          <w:rFonts w:ascii="Arial" w:cs="Arial" w:eastAsia="Arial" w:hAnsi="Arial"/>
          <w:sz w:val="18"/>
          <w:szCs w:val="18"/>
          <w:color w:val="auto"/>
        </w:rPr>
      </w:pPr>
      <w:r>
        <w:rPr>
          <w:rFonts w:ascii="Arial" w:cs="Arial" w:eastAsia="Arial" w:hAnsi="Arial"/>
          <w:sz w:val="18"/>
          <w:szCs w:val="18"/>
          <w:color w:val="auto"/>
        </w:rPr>
        <w:t>Promotional Review Committee (PRC): Imprimis to work with its existing firm, rather than EyePoint’s consultant</w:t>
      </w:r>
    </w:p>
    <w:p>
      <w:pPr>
        <w:spacing w:after="0" w:line="23" w:lineRule="exact"/>
        <w:rPr>
          <w:rFonts w:ascii="Arial" w:cs="Arial" w:eastAsia="Arial" w:hAnsi="Arial"/>
          <w:sz w:val="18"/>
          <w:szCs w:val="18"/>
          <w:color w:val="auto"/>
        </w:rPr>
      </w:pPr>
    </w:p>
    <w:p>
      <w:pPr>
        <w:ind w:left="1628" w:hanging="332"/>
        <w:spacing w:after="0"/>
        <w:tabs>
          <w:tab w:leader="none" w:pos="1628" w:val="left"/>
        </w:tabs>
        <w:numPr>
          <w:ilvl w:val="2"/>
          <w:numId w:val="55"/>
        </w:numPr>
        <w:rPr>
          <w:rFonts w:ascii="Arial" w:cs="Arial" w:eastAsia="Arial" w:hAnsi="Arial"/>
          <w:sz w:val="17"/>
          <w:szCs w:val="17"/>
          <w:color w:val="auto"/>
        </w:rPr>
      </w:pPr>
      <w:r>
        <w:rPr>
          <w:rFonts w:ascii="Arial" w:cs="Arial" w:eastAsia="Arial" w:hAnsi="Arial"/>
          <w:sz w:val="17"/>
          <w:szCs w:val="17"/>
          <w:color w:val="auto"/>
        </w:rPr>
        <w:t>Compliance (Sunshine Act, SOPs, training, etc.): Imprimis to engage EyePoint’s current consultant at G&amp;M Healthcare</w:t>
      </w:r>
    </w:p>
    <w:p>
      <w:pPr>
        <w:spacing w:after="0" w:line="20" w:lineRule="exact"/>
        <w:rPr>
          <w:rFonts w:ascii="Arial" w:cs="Arial" w:eastAsia="Arial" w:hAnsi="Arial"/>
          <w:sz w:val="17"/>
          <w:szCs w:val="17"/>
          <w:color w:val="auto"/>
        </w:rPr>
      </w:pPr>
    </w:p>
    <w:p>
      <w:pPr>
        <w:ind w:left="1628" w:hanging="332"/>
        <w:spacing w:after="0"/>
        <w:tabs>
          <w:tab w:leader="none" w:pos="1628" w:val="left"/>
        </w:tabs>
        <w:numPr>
          <w:ilvl w:val="2"/>
          <w:numId w:val="55"/>
        </w:numPr>
        <w:rPr>
          <w:rFonts w:ascii="Arial" w:cs="Arial" w:eastAsia="Arial" w:hAnsi="Arial"/>
          <w:sz w:val="18"/>
          <w:szCs w:val="18"/>
          <w:color w:val="auto"/>
        </w:rPr>
      </w:pPr>
      <w:r>
        <w:rPr>
          <w:rFonts w:ascii="Arial" w:cs="Arial" w:eastAsia="Arial" w:hAnsi="Arial"/>
          <w:sz w:val="18"/>
          <w:szCs w:val="18"/>
          <w:color w:val="auto"/>
        </w:rPr>
        <w:t>Speaker Programs</w:t>
      </w:r>
    </w:p>
    <w:p>
      <w:pPr>
        <w:spacing w:after="0" w:line="9" w:lineRule="exact"/>
        <w:rPr>
          <w:rFonts w:ascii="Arial" w:cs="Arial" w:eastAsia="Arial" w:hAnsi="Arial"/>
          <w:sz w:val="18"/>
          <w:szCs w:val="18"/>
          <w:color w:val="auto"/>
        </w:rPr>
      </w:pPr>
    </w:p>
    <w:p>
      <w:pPr>
        <w:ind w:left="1628" w:hanging="332"/>
        <w:spacing w:after="0"/>
        <w:tabs>
          <w:tab w:leader="none" w:pos="1628" w:val="left"/>
        </w:tabs>
        <w:numPr>
          <w:ilvl w:val="2"/>
          <w:numId w:val="55"/>
        </w:numPr>
        <w:rPr>
          <w:rFonts w:ascii="Arial" w:cs="Arial" w:eastAsia="Arial" w:hAnsi="Arial"/>
          <w:sz w:val="18"/>
          <w:szCs w:val="18"/>
          <w:color w:val="auto"/>
        </w:rPr>
      </w:pPr>
      <w:r>
        <w:rPr>
          <w:rFonts w:ascii="Arial" w:cs="Arial" w:eastAsia="Arial" w:hAnsi="Arial"/>
          <w:sz w:val="18"/>
          <w:szCs w:val="18"/>
          <w:color w:val="auto"/>
        </w:rPr>
        <w:t>Trade Shows</w:t>
      </w:r>
    </w:p>
    <w:p>
      <w:pPr>
        <w:spacing w:after="0" w:line="9" w:lineRule="exact"/>
        <w:rPr>
          <w:rFonts w:ascii="Arial" w:cs="Arial" w:eastAsia="Arial" w:hAnsi="Arial"/>
          <w:sz w:val="18"/>
          <w:szCs w:val="18"/>
          <w:color w:val="auto"/>
        </w:rPr>
      </w:pPr>
    </w:p>
    <w:p>
      <w:pPr>
        <w:ind w:left="1628" w:hanging="332"/>
        <w:spacing w:after="0"/>
        <w:tabs>
          <w:tab w:leader="none" w:pos="1628" w:val="left"/>
        </w:tabs>
        <w:numPr>
          <w:ilvl w:val="2"/>
          <w:numId w:val="55"/>
        </w:numPr>
        <w:rPr>
          <w:rFonts w:ascii="Arial" w:cs="Arial" w:eastAsia="Arial" w:hAnsi="Arial"/>
          <w:sz w:val="18"/>
          <w:szCs w:val="18"/>
          <w:color w:val="auto"/>
        </w:rPr>
      </w:pPr>
      <w:r>
        <w:rPr>
          <w:rFonts w:ascii="Arial" w:cs="Arial" w:eastAsia="Arial" w:hAnsi="Arial"/>
          <w:sz w:val="18"/>
          <w:szCs w:val="18"/>
          <w:color w:val="auto"/>
        </w:rPr>
        <w:t>Customer Training</w:t>
      </w:r>
    </w:p>
    <w:p>
      <w:pPr>
        <w:spacing w:after="0" w:line="21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EyePoint will provide transition services to Imprimis pertaining to the above responsibilities for a mutually agreed upon period and rate of compensation to EyePoint.</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addition, EyePoint shall provide the following services to Imprimis, at cost (payable by Imprimis to EyePoint):</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Field Reimbursement and Government Pricing Management</w:t>
      </w:r>
    </w:p>
    <w:p>
      <w:pPr>
        <w:spacing w:after="0" w:line="23" w:lineRule="exact"/>
        <w:rPr>
          <w:rFonts w:ascii="Arial" w:cs="Arial" w:eastAsia="Arial" w:hAnsi="Arial"/>
          <w:sz w:val="18"/>
          <w:szCs w:val="18"/>
          <w:color w:val="auto"/>
        </w:rPr>
      </w:pPr>
    </w:p>
    <w:p>
      <w:pPr>
        <w:ind w:left="968" w:hanging="320"/>
        <w:spacing w:after="0"/>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HUB Management (as required)</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Safety and Pharmacovigilance</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Information Technology support (as required)</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Distribution Management</w:t>
      </w: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117" w:name="page118"/>
    <w:bookmarkEnd w:id="117"/>
    <w:p>
      <w:pPr>
        <w:ind w:left="328" w:right="20" w:hanging="328"/>
        <w:spacing w:after="0" w:line="308" w:lineRule="auto"/>
        <w:tabs>
          <w:tab w:leader="none" w:pos="3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EyePoint shall retain the following responsibilities and obligations, and will indemnify and hold Imprimis harmless, pursuant to Section 12.1 of the Agreement, from and against all Liabilities resulting from any Third-Party Claim resulting from any of the following:</w:t>
      </w:r>
    </w:p>
    <w:p>
      <w:pPr>
        <w:spacing w:after="0" w:line="146" w:lineRule="exact"/>
        <w:rPr>
          <w:rFonts w:ascii="Arial" w:cs="Arial" w:eastAsia="Arial" w:hAnsi="Arial"/>
          <w:sz w:val="17"/>
          <w:szCs w:val="17"/>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Manufacturing, sterilization, packaging</w:t>
      </w:r>
    </w:p>
    <w:p>
      <w:pPr>
        <w:spacing w:after="0" w:line="23"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Product design</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Engagement of pass-through extension consultants and counsel</w:t>
      </w:r>
    </w:p>
    <w:p>
      <w:pPr>
        <w:spacing w:after="0" w:line="210" w:lineRule="exact"/>
        <w:rPr>
          <w:rFonts w:ascii="Arial" w:cs="Arial" w:eastAsia="Arial" w:hAnsi="Arial"/>
          <w:sz w:val="18"/>
          <w:szCs w:val="18"/>
          <w:color w:val="auto"/>
        </w:rPr>
      </w:pPr>
    </w:p>
    <w:p>
      <w:pPr>
        <w:ind w:left="1628" w:hanging="332"/>
        <w:spacing w:after="0" w:line="277" w:lineRule="auto"/>
        <w:tabs>
          <w:tab w:leader="none" w:pos="1628" w:val="left"/>
        </w:tabs>
        <w:numPr>
          <w:ilvl w:val="2"/>
          <w:numId w:val="56"/>
        </w:numPr>
        <w:rPr>
          <w:rFonts w:ascii="Arial" w:cs="Arial" w:eastAsia="Arial" w:hAnsi="Arial"/>
          <w:sz w:val="18"/>
          <w:szCs w:val="18"/>
          <w:color w:val="auto"/>
        </w:rPr>
      </w:pPr>
      <w:r>
        <w:rPr>
          <w:rFonts w:ascii="Arial" w:cs="Arial" w:eastAsia="Arial" w:hAnsi="Arial"/>
          <w:sz w:val="18"/>
          <w:szCs w:val="18"/>
          <w:color w:val="auto"/>
        </w:rPr>
        <w:t>EyePoint will continue to pursue pass-through extension for Dexycu in a manner consistent with its good faith efforts to secure pass-through extension to date</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Engagement of physician consultants</w:t>
      </w:r>
    </w:p>
    <w:p>
      <w:pPr>
        <w:spacing w:after="0" w:line="23"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Research &amp; Development</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Reimbursement management</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Required Clinical Trials</w:t>
      </w:r>
    </w:p>
    <w:p>
      <w:pPr>
        <w:spacing w:after="0" w:line="210" w:lineRule="exact"/>
        <w:rPr>
          <w:rFonts w:ascii="Arial" w:cs="Arial" w:eastAsia="Arial" w:hAnsi="Arial"/>
          <w:sz w:val="18"/>
          <w:szCs w:val="18"/>
          <w:color w:val="auto"/>
        </w:rPr>
      </w:pPr>
    </w:p>
    <w:p>
      <w:pPr>
        <w:ind w:left="1628" w:hanging="332"/>
        <w:spacing w:after="0"/>
        <w:tabs>
          <w:tab w:leader="none" w:pos="1628" w:val="left"/>
        </w:tabs>
        <w:numPr>
          <w:ilvl w:val="2"/>
          <w:numId w:val="56"/>
        </w:numPr>
        <w:rPr>
          <w:rFonts w:ascii="Arial" w:cs="Arial" w:eastAsia="Arial" w:hAnsi="Arial"/>
          <w:sz w:val="18"/>
          <w:szCs w:val="18"/>
          <w:color w:val="auto"/>
        </w:rPr>
      </w:pPr>
      <w:r>
        <w:rPr>
          <w:rFonts w:ascii="Arial" w:cs="Arial" w:eastAsia="Arial" w:hAnsi="Arial"/>
          <w:sz w:val="18"/>
          <w:szCs w:val="18"/>
          <w:color w:val="auto"/>
        </w:rPr>
        <w:t>Including, but not limited to, the FDA-required pediatric study</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Quality</w:t>
      </w:r>
    </w:p>
    <w:p>
      <w:pPr>
        <w:spacing w:after="0" w:line="23"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Regulatory</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Intellectual Property protection</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Fulfillment of obligations to licensees outside of the Territory, including but not limited to, Ocumension</w:t>
      </w:r>
    </w:p>
    <w:p>
      <w:pPr>
        <w:spacing w:after="0" w:line="9" w:lineRule="exact"/>
        <w:rPr>
          <w:rFonts w:ascii="Arial" w:cs="Arial" w:eastAsia="Arial" w:hAnsi="Arial"/>
          <w:sz w:val="18"/>
          <w:szCs w:val="18"/>
          <w:color w:val="auto"/>
        </w:rPr>
      </w:pPr>
    </w:p>
    <w:p>
      <w:pPr>
        <w:ind w:left="968" w:hanging="320"/>
        <w:spacing w:after="0" w:line="260"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summary of material items related to these activities will be reported through the Commercialization Committee on a monthly basis with a particular focus related to pass-through extension and label expansion activity (e.g., sNDA)</w:t>
      </w:r>
    </w:p>
    <w:p>
      <w:pPr>
        <w:spacing w:after="0" w:line="185" w:lineRule="exact"/>
        <w:rPr>
          <w:rFonts w:ascii="Arial" w:cs="Arial" w:eastAsia="Arial" w:hAnsi="Arial"/>
          <w:sz w:val="18"/>
          <w:szCs w:val="18"/>
          <w:color w:val="auto"/>
        </w:rPr>
      </w:pPr>
    </w:p>
    <w:p>
      <w:pPr>
        <w:ind w:left="328" w:hanging="328"/>
        <w:spacing w:after="0"/>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Sales-related specifics during the Expansion Term:</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Customers</w:t>
      </w:r>
      <w:r>
        <w:rPr>
          <w:rFonts w:ascii="Arial" w:cs="Arial" w:eastAsia="Arial" w:hAnsi="Arial"/>
          <w:sz w:val="18"/>
          <w:szCs w:val="18"/>
          <w:color w:val="auto"/>
        </w:rPr>
        <w:t>” shall mean, collectively, all customers for the Product in the Territory.</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 Remittance Percentage shall apply to Net Sales of the Product in the Territory</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Imprimis shall be permitted to negotiate GPO, private equity, and related contracts, subject to the following requirements:</w:t>
      </w:r>
    </w:p>
    <w:p>
      <w:pPr>
        <w:spacing w:after="0" w:line="225" w:lineRule="exact"/>
        <w:rPr>
          <w:rFonts w:ascii="Arial" w:cs="Arial" w:eastAsia="Arial" w:hAnsi="Arial"/>
          <w:sz w:val="18"/>
          <w:szCs w:val="18"/>
          <w:color w:val="auto"/>
        </w:rPr>
      </w:pPr>
    </w:p>
    <w:p>
      <w:pPr>
        <w:ind w:left="1628" w:hanging="332"/>
        <w:spacing w:after="0"/>
        <w:tabs>
          <w:tab w:leader="none" w:pos="1628" w:val="left"/>
        </w:tabs>
        <w:numPr>
          <w:ilvl w:val="2"/>
          <w:numId w:val="56"/>
        </w:numPr>
        <w:rPr>
          <w:rFonts w:ascii="Arial" w:cs="Arial" w:eastAsia="Arial" w:hAnsi="Arial"/>
          <w:sz w:val="18"/>
          <w:szCs w:val="18"/>
          <w:color w:val="auto"/>
        </w:rPr>
      </w:pPr>
      <w:r>
        <w:rPr>
          <w:rFonts w:ascii="Arial" w:cs="Arial" w:eastAsia="Arial" w:hAnsi="Arial"/>
          <w:sz w:val="18"/>
          <w:szCs w:val="18"/>
          <w:color w:val="auto"/>
        </w:rPr>
        <w:t>All such contracts shall only be effective during the Expansion Term; and</w:t>
      </w:r>
    </w:p>
    <w:p>
      <w:pPr>
        <w:spacing w:after="0" w:line="225" w:lineRule="exact"/>
        <w:rPr>
          <w:rFonts w:ascii="Arial" w:cs="Arial" w:eastAsia="Arial" w:hAnsi="Arial"/>
          <w:sz w:val="18"/>
          <w:szCs w:val="18"/>
          <w:color w:val="auto"/>
        </w:rPr>
      </w:pPr>
    </w:p>
    <w:p>
      <w:pPr>
        <w:jc w:val="both"/>
        <w:ind w:left="1628" w:hanging="332"/>
        <w:spacing w:after="0" w:line="263" w:lineRule="auto"/>
        <w:tabs>
          <w:tab w:leader="none" w:pos="1628" w:val="left"/>
        </w:tabs>
        <w:numPr>
          <w:ilvl w:val="2"/>
          <w:numId w:val="56"/>
        </w:numPr>
        <w:rPr>
          <w:rFonts w:ascii="Arial" w:cs="Arial" w:eastAsia="Arial" w:hAnsi="Arial"/>
          <w:sz w:val="18"/>
          <w:szCs w:val="18"/>
          <w:color w:val="auto"/>
        </w:rPr>
      </w:pPr>
      <w:r>
        <w:rPr>
          <w:rFonts w:ascii="Arial" w:cs="Arial" w:eastAsia="Arial" w:hAnsi="Arial"/>
          <w:sz w:val="18"/>
          <w:szCs w:val="18"/>
          <w:color w:val="auto"/>
        </w:rPr>
        <w:t xml:space="preserve">All contract terms that could affect ASP, such as rebates, volume discounts, assurance of commercial and Med Advantage carrier reimbursement, bundling with other products or services, etc., must be approved by EyePoint in writing in advance if such terms fall outside the parameters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to this letter.</w:t>
      </w:r>
    </w:p>
    <w:p>
      <w:pPr>
        <w:spacing w:after="0" w:line="18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18" w:name="page119"/>
    <w:bookmarkEnd w:id="118"/>
    <w:p>
      <w:pPr>
        <w:ind w:left="1300" w:right="20" w:hanging="320"/>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Commercialization Committee shall continue to meet monthly, primarily to review and, if applicable, approve contract terms with key accounts and other matters as needed.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Audit Rights: In addition to the rights specified in Section 8.6 of the Agreement, EyePoint or its designee shall have the right, but not the obligation, during the Expansion Term and for the remainder of the Term:</w:t>
      </w:r>
    </w:p>
    <w:p>
      <w:pPr>
        <w:spacing w:after="0" w:line="170"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To observe directly through field rides the performance of Imprimis personnel and 1099 reps in the field, to ensure compliance with the Agreement and with the terms of this Letter.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Mandatory Milestones and Downside Protection for EyePoint; Early Termination of Expansion Term</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Imprimis shall achieve quarterly Customer demand milestones for the Product of at least [***] Dexycu units (“Minimum Quarterly Units” or “MQUs”).</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Imprimis shall pay to EyePoint an annually-determined per-unit penalty for Customer demand units that fall below the MQUs, as measured on January 31, 2023 and January 31, 2024, respectively, and in the amounts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provided however, in any event, such penalty amount shall not exceed total commissions payable by EyePoint to Imprimis for Customer demand achieved during 2022 and 2023, respectively.</w:t>
      </w:r>
    </w:p>
    <w:p>
      <w:pPr>
        <w:spacing w:after="0" w:line="186"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EyePoint shall have the right, but not the obligation, to terminate the Expansion Term upon 90-days written notice to Imprimis, if Imprimis fails to achieve the MQUs or to pay any applicable penalties set forth in </w:t>
      </w:r>
      <w:r>
        <w:rPr>
          <w:rFonts w:ascii="Arial" w:cs="Arial" w:eastAsia="Arial" w:hAnsi="Arial"/>
          <w:sz w:val="18"/>
          <w:szCs w:val="18"/>
          <w:u w:val="single" w:color="auto"/>
          <w:color w:val="auto"/>
        </w:rPr>
        <w:t>Exhibit B.</w:t>
      </w:r>
    </w:p>
    <w:p>
      <w:pPr>
        <w:spacing w:after="0" w:line="170" w:lineRule="exact"/>
        <w:rPr>
          <w:rFonts w:ascii="Arial" w:cs="Arial" w:eastAsia="Arial" w:hAnsi="Arial"/>
          <w:sz w:val="18"/>
          <w:szCs w:val="18"/>
          <w:color w:val="auto"/>
        </w:rPr>
      </w:pPr>
    </w:p>
    <w:p>
      <w:pPr>
        <w:jc w:val="both"/>
        <w:ind w:left="1300" w:hanging="320"/>
        <w:spacing w:after="0" w:line="279" w:lineRule="auto"/>
        <w:tabs>
          <w:tab w:leader="none" w:pos="1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Imprimis shall have the right, but not the obligation to terminate the Expansion Term upon 30 days written notice if (i) a proposed or final Hospital Outpatient Prospective </w:t>
      </w:r>
      <w:r>
        <w:rPr>
          <w:rFonts w:ascii="Arial" w:cs="Arial" w:eastAsia="Arial" w:hAnsi="Arial"/>
          <w:sz w:val="17"/>
          <w:szCs w:val="17"/>
          <w:i w:val="1"/>
          <w:iCs w:val="1"/>
          <w:color w:val="auto"/>
        </w:rPr>
        <w:t>Payment</w:t>
      </w:r>
      <w:r>
        <w:rPr>
          <w:rFonts w:ascii="Arial" w:cs="Arial" w:eastAsia="Arial" w:hAnsi="Arial"/>
          <w:sz w:val="17"/>
          <w:szCs w:val="17"/>
          <w:color w:val="auto"/>
        </w:rPr>
        <w:t xml:space="preserve"> System (HOPPS) rule issued from CMS during calendar year 2022 does not contain an extension of the Pass-Through Payment Period for Dexycu beyond December 31, 2022, and (ii) EyePoint has not otherwise waived the MQU for a quarterly period inclusive of or following the date of the proposed or final HOPPS rule described in (i)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Terms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letter will be governed by and construed under and in accordance with the laws of the State of Delaware, without regard to the conflicts of laws principles thereof.</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expressly modified by this Letter, all terms and conditions set forth in the Agreement shall remain in full force and effect for the duration of the Section 13.1 Term.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foregoing is acceptable to you, please sign and return one fully-executed copy of this letter to us at your earliest convenience, which shall evidence your acknowledgement and acceptance thereto. This letter may be executed in counterparts, each of which shall be deemed to be an original and together shall be deemed to be one and the same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9" w:name="page120"/>
    <w:bookmarkEnd w:id="119"/>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EyePoint Pharmaceuticals, Inc.</w:t>
      </w:r>
    </w:p>
    <w:p>
      <w:pPr>
        <w:spacing w:after="0" w:line="24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Nancy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Nancy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ImprimisRx,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December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Rebate/Volume Discount Limits for 2022</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Downside Protection Penalties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(EXAMPLE)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10.51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NOVARTIS TECHNOLOGY LLC and NOVARTIS OPHTHALMICS AG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DATED AS OF 17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998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 DEFINITIONS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Definitions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9980" w:type="dxa"/>
            <w:vAlign w:val="bottom"/>
          </w:tcPr>
          <w:p>
            <w:pPr>
              <w:ind w:left="220"/>
              <w:spacing w:after="0"/>
              <w:rPr>
                <w:sz w:val="20"/>
                <w:szCs w:val="20"/>
                <w:color w:val="auto"/>
              </w:rPr>
            </w:pPr>
            <w:r>
              <w:rPr>
                <w:rFonts w:ascii="Arial" w:cs="Arial" w:eastAsia="Arial" w:hAnsi="Arial"/>
                <w:sz w:val="18"/>
                <w:szCs w:val="18"/>
                <w:color w:val="auto"/>
              </w:rPr>
              <w:t>Other Capitalized Terms</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Interpretive Provisions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2 SALE AND TRANSFER OF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and Sale of Transferred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9980" w:type="dxa"/>
            <w:vAlign w:val="bottom"/>
          </w:tcPr>
          <w:p>
            <w:pPr>
              <w:ind w:left="220"/>
              <w:spacing w:after="0"/>
              <w:rPr>
                <w:sz w:val="20"/>
                <w:szCs w:val="20"/>
                <w:color w:val="auto"/>
              </w:rPr>
            </w:pPr>
            <w:r>
              <w:rPr>
                <w:rFonts w:ascii="Arial" w:cs="Arial" w:eastAsia="Arial" w:hAnsi="Arial"/>
                <w:sz w:val="18"/>
                <w:szCs w:val="18"/>
                <w:color w:val="auto"/>
              </w:rPr>
              <w:t>No Transfer of Certain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Risk of Loss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3 ASSUMED LIABILITIES AND EXCLUDED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Assignment and Assumption of Assumed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9980" w:type="dxa"/>
            <w:vAlign w:val="bottom"/>
          </w:tcPr>
          <w:p>
            <w:pPr>
              <w:ind w:left="220"/>
              <w:spacing w:after="0"/>
              <w:rPr>
                <w:sz w:val="20"/>
                <w:szCs w:val="20"/>
                <w:color w:val="auto"/>
              </w:rPr>
            </w:pPr>
            <w:r>
              <w:rPr>
                <w:rFonts w:ascii="Arial" w:cs="Arial" w:eastAsia="Arial" w:hAnsi="Arial"/>
                <w:sz w:val="18"/>
                <w:szCs w:val="18"/>
                <w:color w:val="auto"/>
              </w:rPr>
              <w:t>Excluded Liabilities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ARTICLE 4 GRANT OF LICENSES</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9980" w:type="dxa"/>
            <w:vAlign w:val="bottom"/>
          </w:tcPr>
          <w:p>
            <w:pPr>
              <w:ind w:left="220"/>
              <w:spacing w:after="0"/>
              <w:rPr>
                <w:sz w:val="20"/>
                <w:szCs w:val="20"/>
                <w:color w:val="auto"/>
              </w:rPr>
            </w:pPr>
            <w:r>
              <w:rPr>
                <w:rFonts w:ascii="Arial" w:cs="Arial" w:eastAsia="Arial" w:hAnsi="Arial"/>
                <w:sz w:val="18"/>
                <w:szCs w:val="18"/>
                <w:color w:val="auto"/>
              </w:rPr>
              <w:t>Grant of Licenses</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Reservation of Rights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9980" w:type="dxa"/>
            <w:vAlign w:val="bottom"/>
          </w:tcPr>
          <w:p>
            <w:pPr>
              <w:ind w:left="220"/>
              <w:spacing w:after="0"/>
              <w:rPr>
                <w:sz w:val="20"/>
                <w:szCs w:val="20"/>
                <w:color w:val="auto"/>
              </w:rPr>
            </w:pPr>
            <w:r>
              <w:rPr>
                <w:rFonts w:ascii="Arial" w:cs="Arial" w:eastAsia="Arial" w:hAnsi="Arial"/>
                <w:sz w:val="18"/>
                <w:szCs w:val="18"/>
                <w:color w:val="auto"/>
              </w:rPr>
              <w:t>Restriction to Territory</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ARTICLE 5 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9980" w:type="dxa"/>
            <w:vAlign w:val="bottom"/>
          </w:tcPr>
          <w:p>
            <w:pPr>
              <w:ind w:left="220"/>
              <w:spacing w:after="0"/>
              <w:rPr>
                <w:sz w:val="20"/>
                <w:szCs w:val="20"/>
                <w:color w:val="auto"/>
              </w:rPr>
            </w:pPr>
            <w:r>
              <w:rPr>
                <w:rFonts w:ascii="Arial" w:cs="Arial" w:eastAsia="Arial" w:hAnsi="Arial"/>
                <w:sz w:val="18"/>
                <w:szCs w:val="18"/>
                <w:color w:val="auto"/>
              </w:rPr>
              <w:t>Consideration</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6 THE CLOSING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Closing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9980" w:type="dxa"/>
            <w:vAlign w:val="bottom"/>
          </w:tcPr>
          <w:p>
            <w:pPr>
              <w:ind w:left="220"/>
              <w:spacing w:after="0"/>
              <w:rPr>
                <w:sz w:val="20"/>
                <w:szCs w:val="20"/>
                <w:color w:val="auto"/>
              </w:rPr>
            </w:pPr>
            <w:r>
              <w:rPr>
                <w:rFonts w:ascii="Arial" w:cs="Arial" w:eastAsia="Arial" w:hAnsi="Arial"/>
                <w:sz w:val="18"/>
                <w:szCs w:val="18"/>
                <w:color w:val="auto"/>
              </w:rPr>
              <w:t>Deliverables</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ARTICLE 7 REPRESENTATIONS AND WARRANTIES OF NOVARTIS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9980" w:type="dxa"/>
            <w:vAlign w:val="bottom"/>
          </w:tcPr>
          <w:p>
            <w:pPr>
              <w:ind w:left="220"/>
              <w:spacing w:after="0"/>
              <w:rPr>
                <w:sz w:val="20"/>
                <w:szCs w:val="20"/>
                <w:color w:val="auto"/>
              </w:rPr>
            </w:pPr>
            <w:r>
              <w:rPr>
                <w:rFonts w:ascii="Arial" w:cs="Arial" w:eastAsia="Arial" w:hAnsi="Arial"/>
                <w:sz w:val="18"/>
                <w:szCs w:val="18"/>
                <w:color w:val="auto"/>
              </w:rPr>
              <w:t>Organization; Qualification</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Authority; Enforceability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9980" w:type="dxa"/>
            <w:vAlign w:val="bottom"/>
          </w:tcPr>
          <w:p>
            <w:pPr>
              <w:ind w:left="220"/>
              <w:spacing w:after="0"/>
              <w:rPr>
                <w:sz w:val="20"/>
                <w:szCs w:val="20"/>
                <w:color w:val="auto"/>
              </w:rPr>
            </w:pPr>
            <w:r>
              <w:rPr>
                <w:rFonts w:ascii="Arial" w:cs="Arial" w:eastAsia="Arial" w:hAnsi="Arial"/>
                <w:sz w:val="18"/>
                <w:szCs w:val="18"/>
                <w:color w:val="auto"/>
              </w:rPr>
              <w:t>No Violations; Consents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7.5</w:t>
            </w:r>
          </w:p>
        </w:tc>
        <w:tc>
          <w:tcPr>
            <w:tcW w:w="9980" w:type="dxa"/>
            <w:vAlign w:val="bottom"/>
          </w:tcPr>
          <w:p>
            <w:pPr>
              <w:ind w:left="220"/>
              <w:spacing w:after="0"/>
              <w:rPr>
                <w:sz w:val="20"/>
                <w:szCs w:val="20"/>
                <w:color w:val="auto"/>
              </w:rPr>
            </w:pPr>
            <w:r>
              <w:rPr>
                <w:rFonts w:ascii="Arial" w:cs="Arial" w:eastAsia="Arial" w:hAnsi="Arial"/>
                <w:sz w:val="18"/>
                <w:szCs w:val="18"/>
                <w:color w:val="auto"/>
              </w:rPr>
              <w:t>Debarred Personnel</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Title to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998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with Applicable Law</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9980" w:type="dxa"/>
            <w:vAlign w:val="bottom"/>
          </w:tcPr>
          <w:p>
            <w:pPr>
              <w:ind w:left="220"/>
              <w:spacing w:after="0"/>
              <w:rPr>
                <w:sz w:val="20"/>
                <w:szCs w:val="20"/>
                <w:color w:val="auto"/>
              </w:rPr>
            </w:pPr>
            <w:r>
              <w:rPr>
                <w:rFonts w:ascii="Arial" w:cs="Arial" w:eastAsia="Arial" w:hAnsi="Arial"/>
                <w:sz w:val="18"/>
                <w:szCs w:val="18"/>
                <w:color w:val="auto"/>
              </w:rPr>
              <w:t>Exclusivity of Representations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ARTICLE 8 REPRESENTATIONS AND WARRANTIES OF PURCHASER</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9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9980" w:type="dxa"/>
            <w:vAlign w:val="bottom"/>
          </w:tcPr>
          <w:p>
            <w:pPr>
              <w:ind w:left="220"/>
              <w:spacing w:after="0"/>
              <w:rPr>
                <w:sz w:val="20"/>
                <w:szCs w:val="20"/>
                <w:color w:val="auto"/>
              </w:rPr>
            </w:pPr>
            <w:r>
              <w:rPr>
                <w:rFonts w:ascii="Arial" w:cs="Arial" w:eastAsia="Arial" w:hAnsi="Arial"/>
                <w:sz w:val="18"/>
                <w:szCs w:val="18"/>
                <w:color w:val="auto"/>
              </w:rPr>
              <w:t>Organization; Qualification</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Authority; Enforceability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9980" w:type="dxa"/>
            <w:vAlign w:val="bottom"/>
          </w:tcPr>
          <w:p>
            <w:pPr>
              <w:ind w:left="220"/>
              <w:spacing w:after="0"/>
              <w:rPr>
                <w:sz w:val="20"/>
                <w:szCs w:val="20"/>
                <w:color w:val="auto"/>
              </w:rPr>
            </w:pPr>
            <w:r>
              <w:rPr>
                <w:rFonts w:ascii="Arial" w:cs="Arial" w:eastAsia="Arial" w:hAnsi="Arial"/>
                <w:sz w:val="18"/>
                <w:szCs w:val="18"/>
                <w:color w:val="auto"/>
              </w:rPr>
              <w:t>No Violations; Consents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8.4</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8.5</w:t>
            </w:r>
          </w:p>
        </w:tc>
        <w:tc>
          <w:tcPr>
            <w:tcW w:w="7980" w:type="dxa"/>
            <w:vAlign w:val="bottom"/>
          </w:tcPr>
          <w:p>
            <w:pPr>
              <w:ind w:left="220"/>
              <w:spacing w:after="0"/>
              <w:rPr>
                <w:sz w:val="20"/>
                <w:szCs w:val="20"/>
                <w:color w:val="auto"/>
              </w:rPr>
            </w:pPr>
            <w:r>
              <w:rPr>
                <w:rFonts w:ascii="Arial" w:cs="Arial" w:eastAsia="Arial" w:hAnsi="Arial"/>
                <w:sz w:val="18"/>
                <w:szCs w:val="18"/>
                <w:color w:val="auto"/>
              </w:rPr>
              <w:t>Debarred Personnel</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8.6</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Availability of Funds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8.7</w:t>
            </w:r>
          </w:p>
        </w:tc>
        <w:tc>
          <w:tcPr>
            <w:tcW w:w="7980" w:type="dxa"/>
            <w:vAlign w:val="bottom"/>
          </w:tcPr>
          <w:p>
            <w:pPr>
              <w:ind w:left="220"/>
              <w:spacing w:after="0"/>
              <w:rPr>
                <w:sz w:val="20"/>
                <w:szCs w:val="20"/>
                <w:color w:val="auto"/>
              </w:rPr>
            </w:pPr>
            <w:r>
              <w:rPr>
                <w:rFonts w:ascii="Arial" w:cs="Arial" w:eastAsia="Arial" w:hAnsi="Arial"/>
                <w:sz w:val="18"/>
                <w:szCs w:val="18"/>
                <w:color w:val="auto"/>
              </w:rPr>
              <w:t>Compliance with Applicable Law</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8.8</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Knowledge of Misrepresentation or Omission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8.9</w:t>
            </w:r>
          </w:p>
        </w:tc>
        <w:tc>
          <w:tcPr>
            <w:tcW w:w="7980" w:type="dxa"/>
            <w:vAlign w:val="bottom"/>
          </w:tcPr>
          <w:p>
            <w:pPr>
              <w:ind w:left="220"/>
              <w:spacing w:after="0"/>
              <w:rPr>
                <w:sz w:val="20"/>
                <w:szCs w:val="20"/>
                <w:color w:val="auto"/>
              </w:rPr>
            </w:pPr>
            <w:r>
              <w:rPr>
                <w:rFonts w:ascii="Arial" w:cs="Arial" w:eastAsia="Arial" w:hAnsi="Arial"/>
                <w:sz w:val="18"/>
                <w:szCs w:val="18"/>
                <w:color w:val="auto"/>
              </w:rPr>
              <w:t>Independent Assessment; No Inducement or Reliance</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8.10</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Exclusivity of Representations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9 COVENANTS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Confidentiality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9.2</w:t>
            </w:r>
          </w:p>
        </w:tc>
        <w:tc>
          <w:tcPr>
            <w:tcW w:w="7980" w:type="dxa"/>
            <w:vAlign w:val="bottom"/>
          </w:tcPr>
          <w:p>
            <w:pPr>
              <w:ind w:left="220"/>
              <w:spacing w:after="0"/>
              <w:rPr>
                <w:sz w:val="20"/>
                <w:szCs w:val="20"/>
                <w:color w:val="auto"/>
              </w:rPr>
            </w:pPr>
            <w:r>
              <w:rPr>
                <w:rFonts w:ascii="Arial" w:cs="Arial" w:eastAsia="Arial" w:hAnsi="Arial"/>
                <w:sz w:val="18"/>
                <w:szCs w:val="18"/>
                <w:color w:val="auto"/>
              </w:rPr>
              <w:t>Press Releases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9.3</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Novartis Names and Marks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9.4</w:t>
            </w:r>
          </w:p>
        </w:tc>
        <w:tc>
          <w:tcPr>
            <w:tcW w:w="7980" w:type="dxa"/>
            <w:vAlign w:val="bottom"/>
          </w:tcPr>
          <w:p>
            <w:pPr>
              <w:ind w:left="220"/>
              <w:spacing w:after="0"/>
              <w:rPr>
                <w:sz w:val="20"/>
                <w:szCs w:val="20"/>
                <w:color w:val="auto"/>
              </w:rPr>
            </w:pPr>
            <w:r>
              <w:rPr>
                <w:rFonts w:ascii="Arial" w:cs="Arial" w:eastAsia="Arial" w:hAnsi="Arial"/>
                <w:sz w:val="18"/>
                <w:szCs w:val="18"/>
                <w:color w:val="auto"/>
              </w:rPr>
              <w:t>Pharmacovigilance Agreement; Other Obligations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9.5</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Transferring of Product NDAs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9.6</w:t>
            </w:r>
          </w:p>
        </w:tc>
        <w:tc>
          <w:tcPr>
            <w:tcW w:w="7980" w:type="dxa"/>
            <w:vAlign w:val="bottom"/>
          </w:tcPr>
          <w:p>
            <w:pPr>
              <w:ind w:left="220"/>
              <w:spacing w:after="0"/>
              <w:rPr>
                <w:sz w:val="20"/>
                <w:szCs w:val="20"/>
                <w:color w:val="auto"/>
              </w:rPr>
            </w:pPr>
            <w:r>
              <w:rPr>
                <w:rFonts w:ascii="Arial" w:cs="Arial" w:eastAsia="Arial" w:hAnsi="Arial"/>
                <w:sz w:val="18"/>
                <w:szCs w:val="18"/>
                <w:color w:val="auto"/>
              </w:rPr>
              <w:t>Maintenance of Product NDAs Pending Notification of Transfer to the FDA</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9.7</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Recordations and Filings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9.8</w:t>
            </w:r>
          </w:p>
        </w:tc>
        <w:tc>
          <w:tcPr>
            <w:tcW w:w="7980" w:type="dxa"/>
            <w:vAlign w:val="bottom"/>
          </w:tcPr>
          <w:p>
            <w:pPr>
              <w:ind w:left="220"/>
              <w:spacing w:after="0"/>
              <w:rPr>
                <w:sz w:val="20"/>
                <w:szCs w:val="20"/>
                <w:color w:val="auto"/>
              </w:rPr>
            </w:pPr>
            <w:r>
              <w:rPr>
                <w:rFonts w:ascii="Arial" w:cs="Arial" w:eastAsia="Arial" w:hAnsi="Arial"/>
                <w:sz w:val="18"/>
                <w:szCs w:val="18"/>
                <w:color w:val="auto"/>
              </w:rPr>
              <w:t>Authorized generic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9.9</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and Payable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9.10</w:t>
            </w:r>
          </w:p>
        </w:tc>
        <w:tc>
          <w:tcPr>
            <w:tcW w:w="7980" w:type="dxa"/>
            <w:vAlign w:val="bottom"/>
          </w:tcPr>
          <w:p>
            <w:pPr>
              <w:ind w:left="220"/>
              <w:spacing w:after="0"/>
              <w:rPr>
                <w:sz w:val="20"/>
                <w:szCs w:val="20"/>
                <w:color w:val="auto"/>
              </w:rPr>
            </w:pPr>
            <w:r>
              <w:rPr>
                <w:rFonts w:ascii="Arial" w:cs="Arial" w:eastAsia="Arial" w:hAnsi="Arial"/>
                <w:sz w:val="18"/>
                <w:szCs w:val="18"/>
                <w:color w:val="auto"/>
              </w:rPr>
              <w:t>Wrong Pockets</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9.11</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Transfer of Books and Records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9.12</w:t>
            </w:r>
          </w:p>
        </w:tc>
        <w:tc>
          <w:tcPr>
            <w:tcW w:w="7980" w:type="dxa"/>
            <w:vAlign w:val="bottom"/>
          </w:tcPr>
          <w:p>
            <w:pPr>
              <w:ind w:left="220"/>
              <w:spacing w:after="0"/>
              <w:rPr>
                <w:sz w:val="20"/>
                <w:szCs w:val="20"/>
                <w:color w:val="auto"/>
              </w:rPr>
            </w:pPr>
            <w:r>
              <w:rPr>
                <w:rFonts w:ascii="Arial" w:cs="Arial" w:eastAsia="Arial" w:hAnsi="Arial"/>
                <w:sz w:val="18"/>
                <w:szCs w:val="18"/>
                <w:color w:val="auto"/>
              </w:rPr>
              <w:t>Preservation of Records; Novartis’ Access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9.13</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Cooperation in Litigation and Investigations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9.14</w:t>
            </w:r>
          </w:p>
        </w:tc>
        <w:tc>
          <w:tcPr>
            <w:tcW w:w="798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ARTICLE 10 INDEMNIFICATION; SURVIVAL</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10.1</w:t>
            </w:r>
          </w:p>
        </w:tc>
        <w:tc>
          <w:tcPr>
            <w:tcW w:w="7980" w:type="dxa"/>
            <w:vAlign w:val="bottom"/>
          </w:tcPr>
          <w:p>
            <w:pPr>
              <w:ind w:left="220"/>
              <w:spacing w:after="0"/>
              <w:rPr>
                <w:sz w:val="20"/>
                <w:szCs w:val="20"/>
                <w:color w:val="auto"/>
              </w:rPr>
            </w:pPr>
            <w:r>
              <w:rPr>
                <w:rFonts w:ascii="Arial" w:cs="Arial" w:eastAsia="Arial" w:hAnsi="Arial"/>
                <w:sz w:val="18"/>
                <w:szCs w:val="18"/>
                <w:color w:val="auto"/>
              </w:rPr>
              <w:t>Survival</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10.2</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Indemnification by Novartis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10.3</w:t>
            </w:r>
          </w:p>
        </w:tc>
        <w:tc>
          <w:tcPr>
            <w:tcW w:w="7980" w:type="dxa"/>
            <w:vAlign w:val="bottom"/>
          </w:tcPr>
          <w:p>
            <w:pPr>
              <w:ind w:left="220"/>
              <w:spacing w:after="0"/>
              <w:rPr>
                <w:sz w:val="20"/>
                <w:szCs w:val="20"/>
                <w:color w:val="auto"/>
              </w:rPr>
            </w:pPr>
            <w:r>
              <w:rPr>
                <w:rFonts w:ascii="Arial" w:cs="Arial" w:eastAsia="Arial" w:hAnsi="Arial"/>
                <w:sz w:val="18"/>
                <w:szCs w:val="18"/>
                <w:color w:val="auto"/>
              </w:rPr>
              <w:t>Indemnification by Purchaser</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10.4</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Limitations on Amounts of Losses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10.5</w:t>
            </w:r>
          </w:p>
        </w:tc>
        <w:tc>
          <w:tcPr>
            <w:tcW w:w="7980" w:type="dxa"/>
            <w:vAlign w:val="bottom"/>
          </w:tcPr>
          <w:p>
            <w:pPr>
              <w:ind w:left="220"/>
              <w:spacing w:after="0"/>
              <w:rPr>
                <w:sz w:val="20"/>
                <w:szCs w:val="20"/>
                <w:color w:val="auto"/>
              </w:rPr>
            </w:pPr>
            <w:r>
              <w:rPr>
                <w:rFonts w:ascii="Arial" w:cs="Arial" w:eastAsia="Arial" w:hAnsi="Arial"/>
                <w:sz w:val="18"/>
                <w:szCs w:val="18"/>
                <w:color w:val="auto"/>
              </w:rPr>
              <w:t>Other Limitations on Indemnification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10.6</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Procedures.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10.7</w:t>
            </w:r>
          </w:p>
        </w:tc>
        <w:tc>
          <w:tcPr>
            <w:tcW w:w="7980" w:type="dxa"/>
            <w:vAlign w:val="bottom"/>
          </w:tcPr>
          <w:p>
            <w:pPr>
              <w:ind w:left="220"/>
              <w:spacing w:after="0"/>
              <w:rPr>
                <w:sz w:val="20"/>
                <w:szCs w:val="20"/>
                <w:color w:val="auto"/>
              </w:rPr>
            </w:pPr>
            <w:r>
              <w:rPr>
                <w:rFonts w:ascii="Arial" w:cs="Arial" w:eastAsia="Arial" w:hAnsi="Arial"/>
                <w:sz w:val="18"/>
                <w:szCs w:val="18"/>
                <w:color w:val="auto"/>
              </w:rPr>
              <w:t>Tax Treatment</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10.8</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Exclusive Remedy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10.9</w:t>
            </w:r>
          </w:p>
        </w:tc>
        <w:tc>
          <w:tcPr>
            <w:tcW w:w="7980" w:type="dxa"/>
            <w:vAlign w:val="bottom"/>
          </w:tcPr>
          <w:p>
            <w:pPr>
              <w:ind w:left="220"/>
              <w:spacing w:after="0"/>
              <w:rPr>
                <w:sz w:val="20"/>
                <w:szCs w:val="20"/>
                <w:color w:val="auto"/>
              </w:rPr>
            </w:pPr>
            <w:r>
              <w:rPr>
                <w:rFonts w:ascii="Arial" w:cs="Arial" w:eastAsia="Arial" w:hAnsi="Arial"/>
                <w:sz w:val="18"/>
                <w:szCs w:val="18"/>
                <w:color w:val="auto"/>
              </w:rPr>
              <w:t>No Setoff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11.1</w:t>
            </w:r>
          </w:p>
        </w:tc>
        <w:tc>
          <w:tcPr>
            <w:tcW w:w="798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11.2</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and Amendment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11.3</w:t>
            </w:r>
          </w:p>
        </w:tc>
        <w:tc>
          <w:tcPr>
            <w:tcW w:w="798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11.4</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Headings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11.5</w:t>
            </w:r>
          </w:p>
        </w:tc>
        <w:tc>
          <w:tcPr>
            <w:tcW w:w="7980" w:type="dxa"/>
            <w:vAlign w:val="bottom"/>
          </w:tcPr>
          <w:p>
            <w:pPr>
              <w:ind w:left="22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11.6</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Binding Effect; Assignment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11.7</w:t>
            </w:r>
          </w:p>
        </w:tc>
        <w:tc>
          <w:tcPr>
            <w:tcW w:w="7980" w:type="dxa"/>
            <w:vAlign w:val="bottom"/>
          </w:tcPr>
          <w:p>
            <w:pPr>
              <w:ind w:left="220"/>
              <w:spacing w:after="0"/>
              <w:rPr>
                <w:sz w:val="20"/>
                <w:szCs w:val="20"/>
                <w:color w:val="auto"/>
              </w:rPr>
            </w:pPr>
            <w:r>
              <w:rPr>
                <w:rFonts w:ascii="Arial" w:cs="Arial" w:eastAsia="Arial" w:hAnsi="Arial"/>
                <w:sz w:val="18"/>
                <w:szCs w:val="18"/>
                <w:color w:val="auto"/>
              </w:rPr>
              <w:t>No Third Party Beneficiary</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11.8</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Counterparts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11.9</w:t>
            </w:r>
          </w:p>
        </w:tc>
        <w:tc>
          <w:tcPr>
            <w:tcW w:w="7980" w:type="dxa"/>
            <w:vAlign w:val="bottom"/>
          </w:tcPr>
          <w:p>
            <w:pPr>
              <w:ind w:left="220"/>
              <w:spacing w:after="0"/>
              <w:rPr>
                <w:sz w:val="20"/>
                <w:szCs w:val="20"/>
                <w:color w:val="auto"/>
              </w:rPr>
            </w:pPr>
            <w:r>
              <w:rPr>
                <w:rFonts w:ascii="Arial" w:cs="Arial" w:eastAsia="Arial" w:hAnsi="Arial"/>
                <w:sz w:val="18"/>
                <w:szCs w:val="18"/>
                <w:color w:val="auto"/>
              </w:rPr>
              <w:t>Force Majeure</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11.10</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 and Jurisdiction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11.11</w:t>
            </w:r>
          </w:p>
        </w:tc>
        <w:tc>
          <w:tcPr>
            <w:tcW w:w="798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11.12</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11.13</w:t>
            </w:r>
          </w:p>
        </w:tc>
        <w:tc>
          <w:tcPr>
            <w:tcW w:w="7980" w:type="dxa"/>
            <w:vAlign w:val="bottom"/>
          </w:tcPr>
          <w:p>
            <w:pPr>
              <w:ind w:left="220"/>
              <w:spacing w:after="0"/>
              <w:rPr>
                <w:sz w:val="20"/>
                <w:szCs w:val="20"/>
                <w:color w:val="auto"/>
              </w:rPr>
            </w:pPr>
            <w:r>
              <w:rPr>
                <w:rFonts w:ascii="Arial" w:cs="Arial" w:eastAsia="Arial" w:hAnsi="Arial"/>
                <w:sz w:val="18"/>
                <w:szCs w:val="18"/>
                <w:color w:val="auto"/>
              </w:rPr>
              <w:t>Specific Performance</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11.14</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Relationship of the Parties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11.15</w:t>
            </w:r>
          </w:p>
        </w:tc>
        <w:tc>
          <w:tcPr>
            <w:tcW w:w="7980" w:type="dxa"/>
            <w:vAlign w:val="bottom"/>
          </w:tcPr>
          <w:p>
            <w:pPr>
              <w:ind w:left="220"/>
              <w:spacing w:after="0"/>
              <w:rPr>
                <w:sz w:val="20"/>
                <w:szCs w:val="20"/>
                <w:color w:val="auto"/>
              </w:rPr>
            </w:pPr>
            <w:r>
              <w:rPr>
                <w:rFonts w:ascii="Arial" w:cs="Arial" w:eastAsia="Arial" w:hAnsi="Arial"/>
                <w:sz w:val="18"/>
                <w:szCs w:val="18"/>
                <w:color w:val="auto"/>
              </w:rPr>
              <w:t>Extension to Affiliates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11.16</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English Language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11.17</w:t>
            </w:r>
          </w:p>
        </w:tc>
        <w:tc>
          <w:tcPr>
            <w:tcW w:w="7980" w:type="dxa"/>
            <w:vAlign w:val="bottom"/>
          </w:tcPr>
          <w:p>
            <w:pPr>
              <w:ind w:left="220"/>
              <w:spacing w:after="0"/>
              <w:rPr>
                <w:sz w:val="20"/>
                <w:szCs w:val="20"/>
                <w:color w:val="auto"/>
              </w:rPr>
            </w:pPr>
            <w:r>
              <w:rPr>
                <w:rFonts w:ascii="Arial" w:cs="Arial" w:eastAsia="Arial" w:hAnsi="Arial"/>
                <w:sz w:val="18"/>
                <w:szCs w:val="18"/>
                <w:color w:val="auto"/>
              </w:rPr>
              <w:t>Construction</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11.18</w:t>
            </w: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Recourse Against Nonparty Affiliates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180"/>
              <w:spacing w:after="0"/>
              <w:rPr>
                <w:sz w:val="20"/>
                <w:szCs w:val="20"/>
                <w:color w:val="auto"/>
              </w:rPr>
            </w:pPr>
            <w:r>
              <w:rPr>
                <w:rFonts w:ascii="Arial" w:cs="Arial" w:eastAsia="Arial" w:hAnsi="Arial"/>
                <w:sz w:val="18"/>
                <w:szCs w:val="18"/>
                <w:color w:val="auto"/>
              </w:rPr>
              <w:t>11.19</w:t>
            </w:r>
          </w:p>
        </w:tc>
        <w:tc>
          <w:tcPr>
            <w:tcW w:w="7980" w:type="dxa"/>
            <w:vAlign w:val="bottom"/>
          </w:tcPr>
          <w:p>
            <w:pPr>
              <w:ind w:left="220"/>
              <w:spacing w:after="0"/>
              <w:rPr>
                <w:sz w:val="20"/>
                <w:szCs w:val="20"/>
                <w:color w:val="auto"/>
              </w:rPr>
            </w:pPr>
            <w:r>
              <w:rPr>
                <w:rFonts w:ascii="Arial" w:cs="Arial" w:eastAsia="Arial" w:hAnsi="Arial"/>
                <w:sz w:val="18"/>
                <w:szCs w:val="18"/>
                <w:color w:val="auto"/>
              </w:rPr>
              <w:t>Novartis Disclosure Schedule</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List of Annexes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438"/>
        </w:trPr>
        <w:tc>
          <w:tcPr>
            <w:tcW w:w="1400" w:type="dxa"/>
            <w:vAlign w:val="bottom"/>
            <w:gridSpan w:val="3"/>
          </w:tcPr>
          <w:p>
            <w:pPr>
              <w:spacing w:after="0"/>
              <w:rPr>
                <w:sz w:val="20"/>
                <w:szCs w:val="20"/>
                <w:color w:val="auto"/>
              </w:rPr>
            </w:pPr>
            <w:r>
              <w:rPr>
                <w:rFonts w:ascii="Arial" w:cs="Arial" w:eastAsia="Arial" w:hAnsi="Arial"/>
                <w:sz w:val="18"/>
                <w:szCs w:val="18"/>
                <w:color w:val="auto"/>
              </w:rPr>
              <w:t>Annex 1.1(a)</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Domain Names</w:t>
            </w: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Annex 1.1(b)</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Drug Substance</w:t>
            </w: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Annex 1.1(c)</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Purchaser Knowledge Parties</w:t>
            </w: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Annex 1.1(d)</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Novartis Knowledge Parties</w:t>
            </w: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Annex 1.1(e)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Trademarks</w:t>
            </w: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Annex 1.1(f)</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Product NDAs</w:t>
            </w:r>
          </w:p>
        </w:tc>
      </w:tr>
      <w:tr>
        <w:trPr>
          <w:trHeight w:val="230"/>
        </w:trPr>
        <w:tc>
          <w:tcPr>
            <w:tcW w:w="1400" w:type="dxa"/>
            <w:vAlign w:val="bottom"/>
            <w:gridSpan w:val="3"/>
          </w:tcPr>
          <w:p>
            <w:pPr>
              <w:spacing w:after="0"/>
              <w:rPr>
                <w:sz w:val="20"/>
                <w:szCs w:val="20"/>
                <w:color w:val="auto"/>
              </w:rPr>
            </w:pPr>
            <w:r>
              <w:rPr>
                <w:rFonts w:ascii="Arial" w:cs="Arial" w:eastAsia="Arial" w:hAnsi="Arial"/>
                <w:sz w:val="18"/>
                <w:szCs w:val="18"/>
                <w:color w:val="auto"/>
              </w:rPr>
              <w:t>Annex 5.1(c)</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Purchase Price Allocation</w:t>
            </w:r>
          </w:p>
        </w:tc>
      </w:tr>
      <w:tr>
        <w:trPr>
          <w:trHeight w:val="392"/>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List of Exhibits</w:t>
            </w:r>
          </w:p>
        </w:tc>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8"/>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220" w:type="dxa"/>
            <w:vAlign w:val="bottom"/>
            <w:gridSpan w:val="2"/>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w w:val="92"/>
              </w:rPr>
              <w:t>Bill of Sale &amp; Assignment and Assumption Agreement</w:t>
            </w:r>
          </w:p>
        </w:tc>
      </w:tr>
      <w:tr>
        <w:trPr>
          <w:trHeight w:val="230"/>
        </w:trPr>
        <w:tc>
          <w:tcPr>
            <w:tcW w:w="14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140" w:type="dxa"/>
            <w:vAlign w:val="bottom"/>
          </w:tcPr>
          <w:p>
            <w:pPr>
              <w:ind w:left="180"/>
              <w:spacing w:after="0"/>
              <w:rPr>
                <w:sz w:val="20"/>
                <w:szCs w:val="20"/>
                <w:color w:val="auto"/>
              </w:rPr>
            </w:pPr>
            <w:r>
              <w:rPr>
                <w:rFonts w:ascii="Arial" w:cs="Arial" w:eastAsia="Arial" w:hAnsi="Arial"/>
                <w:sz w:val="18"/>
                <w:szCs w:val="18"/>
                <w:color w:val="auto"/>
              </w:rPr>
              <w:t>Press Release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Simultaneously Executed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Alcon Sublicense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Domain Name Assignment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 Assignment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Trademark Assignment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Transition Services Agreement</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ASSET PURCHASE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this 17 day of December, 2021, by and between Novartis Technology LLC (“</w:t>
      </w:r>
      <w:r>
        <w:rPr>
          <w:rFonts w:ascii="Arial" w:cs="Arial" w:eastAsia="Arial" w:hAnsi="Arial"/>
          <w:sz w:val="17"/>
          <w:szCs w:val="17"/>
          <w:b w:val="1"/>
          <w:bCs w:val="1"/>
          <w:color w:val="auto"/>
        </w:rPr>
        <w:t>NTLLC</w:t>
      </w:r>
      <w:r>
        <w:rPr>
          <w:rFonts w:ascii="Arial" w:cs="Arial" w:eastAsia="Arial" w:hAnsi="Arial"/>
          <w:sz w:val="17"/>
          <w:szCs w:val="17"/>
          <w:color w:val="auto"/>
        </w:rPr>
        <w:t>”), a limited liability company organized under the laws of the State of Delaware and having its principal place of business at One Health Plaza, East Hanover, New Jersey, 07936, Novartis Ophthalmics AG, a company organized under the laws of Switzerland and having its principal place of business at Rue Louis-d’Affry 6, 1700 Fribourg, Switzerland (“</w:t>
      </w:r>
      <w:r>
        <w:rPr>
          <w:rFonts w:ascii="Arial" w:cs="Arial" w:eastAsia="Arial" w:hAnsi="Arial"/>
          <w:sz w:val="17"/>
          <w:szCs w:val="17"/>
          <w:b w:val="1"/>
          <w:bCs w:val="1"/>
          <w:color w:val="auto"/>
        </w:rPr>
        <w:t>NOAG</w:t>
      </w:r>
      <w:r>
        <w:rPr>
          <w:rFonts w:ascii="Arial" w:cs="Arial" w:eastAsia="Arial" w:hAnsi="Arial"/>
          <w:sz w:val="17"/>
          <w:szCs w:val="17"/>
          <w:color w:val="auto"/>
        </w:rPr>
        <w:t>” and NOAG and NTLLC being collectively referred to as “</w:t>
      </w:r>
      <w:r>
        <w:rPr>
          <w:rFonts w:ascii="Arial" w:cs="Arial" w:eastAsia="Arial" w:hAnsi="Arial"/>
          <w:sz w:val="17"/>
          <w:szCs w:val="17"/>
          <w:b w:val="1"/>
          <w:bCs w:val="1"/>
          <w:color w:val="auto"/>
        </w:rPr>
        <w:t>Novartis</w:t>
      </w:r>
      <w:r>
        <w:rPr>
          <w:rFonts w:ascii="Arial" w:cs="Arial" w:eastAsia="Arial" w:hAnsi="Arial"/>
          <w:sz w:val="17"/>
          <w:szCs w:val="17"/>
          <w:color w:val="auto"/>
        </w:rPr>
        <w:t>”) and Harrow Health, Inc., a corporation formed under the laws of Delaware and located at 102 Woodmont Blvd. Suite 610, Nashville, TN 37205 (“</w:t>
      </w:r>
      <w:r>
        <w:rPr>
          <w:rFonts w:ascii="Arial" w:cs="Arial" w:eastAsia="Arial" w:hAnsi="Arial"/>
          <w:sz w:val="17"/>
          <w:szCs w:val="17"/>
          <w:b w:val="1"/>
          <w:bCs w:val="1"/>
          <w:color w:val="auto"/>
        </w:rPr>
        <w:t>Purchaser</w:t>
      </w:r>
      <w:r>
        <w:rPr>
          <w:rFonts w:ascii="Arial" w:cs="Arial" w:eastAsia="Arial" w:hAnsi="Arial"/>
          <w:sz w:val="17"/>
          <w:szCs w:val="17"/>
          <w:color w:val="auto"/>
        </w:rPr>
        <w:t>”). Novartis and Purchaser are each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together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Novartis and its Affiliates sell, market, distribute, manufacture, and otherwise commercialize, by themselves or through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the Drug Substances and the Products in the Territory;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Novartis desires to sell, transfer, assign, convey and deliver to Purchaser, and Purchaser desires to purchase from Novartis,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Assets, and Novartis desires to assign to Purchaser and Purchaser desires to assume from Novartis the Assumed Liabilities, all upon and subject to the conditions hereinafter specified;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Novartis and/or its Affiliates own intellectual property and technology related to the Drug Substances and the Products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separate from the Transferred Assets, and they are willing to grant Purchaser certain rights to such intellectual property and technology as set forth herein and in the License Agreement; and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hereby, the Parties and/or their respective Affiliates desire to enter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Ancillary Agreements, and Novartis is willing to provide certain services involving the supply of the Products in the Territory for a transition period as set forth in this Agreement and the Supply Agreement.</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the respective representations, warranties, covenants, and agreements contained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and for other good and valuable consideration, the receipt and adequacy of which are hereby acknowledged, the Parties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whenever used herein, shall have the following meanings for all purposes of this Agreement.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means the U.S. Federal Food, Drug and Cosmetic Act, as amended, and the rules and regulations promulgated thereunder.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Adverse Event</w:t>
      </w:r>
      <w:r>
        <w:rPr>
          <w:rFonts w:ascii="Arial" w:cs="Arial" w:eastAsia="Arial" w:hAnsi="Arial"/>
          <w:sz w:val="18"/>
          <w:szCs w:val="18"/>
          <w:color w:val="auto"/>
        </w:rPr>
        <w:t>” means any untoward medical occurrence in a patient or clinical investigation subject administered a pharmaceutical product and that does not necessarily have a causal relationship with the treatment. An adverse event can therefore be any unfavorable and unintended sign (including an abnormal laboratory finding), symptom or disease temporally associated with the use of a medicinal product, whether or not related to the medicinal product.</w:t>
      </w:r>
    </w:p>
    <w:p>
      <w:pPr>
        <w:spacing w:after="0" w:line="18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with respect to a Party, any Person that, directly or indirectly, controls, is controlled by, or is under common control with that Party. For the purpose of this definition, “control” or “controlled” means,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The Parties acknowledge that in the case of entities organized under the laws of certain countries where the maximum percentage ownership permitted by Law for a foreign investor is less than fifty percent (50%), and in such cases such lower percentage shall be substituted in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foreign investor has the power to direct the management and policies of such entity while owning, directly or indirectly, such lower percentage.</w:t>
      </w:r>
    </w:p>
    <w:p>
      <w:pPr>
        <w:spacing w:after="0" w:line="174"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Alcon Sublicense Agreement</w:t>
      </w:r>
      <w:r>
        <w:rPr>
          <w:rFonts w:ascii="Arial" w:cs="Arial" w:eastAsia="Arial" w:hAnsi="Arial"/>
          <w:sz w:val="18"/>
          <w:szCs w:val="18"/>
          <w:color w:val="auto"/>
        </w:rPr>
        <w:t>” means the Alcon Sublicense Agreement entered into between Purchaser and Novartis (or one or more of its Affiliates) on the date hereof and effective as of the Closing Date.</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Agreements</w:t>
      </w:r>
      <w:r>
        <w:rPr>
          <w:rFonts w:ascii="Arial" w:cs="Arial" w:eastAsia="Arial" w:hAnsi="Arial"/>
          <w:sz w:val="18"/>
          <w:szCs w:val="18"/>
          <w:color w:val="auto"/>
        </w:rPr>
        <w:t>” means the Alcon Sublicense Agreement, Bill of Sale &amp; Assignment and Assumption Agreement, the Commercial Agreement, the Domain Name Assignment Agreement, the License Agreement, the Patent Assignment Agreement, the Supply Agreement, the Trademark Assignment Agreement, the Transition Services Agreement and each other agreement or certificate to be delivered by any Party hereto at the Closing contemplated hereby.</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Laws</w:t>
      </w:r>
      <w:r>
        <w:rPr>
          <w:rFonts w:ascii="Arial" w:cs="Arial" w:eastAsia="Arial" w:hAnsi="Arial"/>
          <w:sz w:val="18"/>
          <w:szCs w:val="18"/>
          <w:color w:val="auto"/>
        </w:rPr>
        <w:t>” means any Laws applicable to Novartis and Purchaser under any applicable jurisdiction that are designed or intended to prohibit, restrict, or regulate actions having the purpose or effect of monopolization or restraint of trade.</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Authorization</w:t>
      </w:r>
      <w:r>
        <w:rPr>
          <w:rFonts w:ascii="Arial" w:cs="Arial" w:eastAsia="Arial" w:hAnsi="Arial"/>
          <w:sz w:val="18"/>
          <w:szCs w:val="18"/>
          <w:color w:val="auto"/>
        </w:rPr>
        <w:t>” means any consent, authorization, approval, order, license, certification, or permit of or from, or declaration or filing with, any Governmental Entity, including any required filing with any Governmental Entity and the subsequent expirations of any required waiting period under any Antitrust Law.</w:t>
      </w:r>
    </w:p>
    <w:p>
      <w:pPr>
        <w:spacing w:after="0" w:line="176"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Bill of Sale &amp; Assignment and Assumption Agreement</w:t>
      </w:r>
      <w:r>
        <w:rPr>
          <w:rFonts w:ascii="Arial" w:cs="Arial" w:eastAsia="Arial" w:hAnsi="Arial"/>
          <w:sz w:val="17"/>
          <w:szCs w:val="17"/>
          <w:color w:val="auto"/>
        </w:rPr>
        <w:t xml:space="preserve">” means the Bill of Sale &amp; Assignment and Assumption Agreement entered into between Purchaser and Novartis (or one or more of its Affiliates) as of the Closing Date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40"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a public holiday) on which the banks are open for business in Basel, Switzerland and New York, New York, United States.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Closing actually occurs.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Agreement</w:t>
      </w:r>
      <w:r>
        <w:rPr>
          <w:rFonts w:ascii="Arial" w:cs="Arial" w:eastAsia="Arial" w:hAnsi="Arial"/>
          <w:sz w:val="18"/>
          <w:szCs w:val="18"/>
          <w:color w:val="auto"/>
        </w:rPr>
        <w:t>” means the Commercial Agreement entered into between Purchaser and Novartis (or one or more of its Affiliates) on the date hereof and effective as of the Closing Date.</w:t>
      </w:r>
    </w:p>
    <w:p>
      <w:pPr>
        <w:spacing w:after="0" w:line="162"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 Information</w:t>
      </w:r>
      <w:r>
        <w:rPr>
          <w:rFonts w:ascii="Arial" w:cs="Arial" w:eastAsia="Arial" w:hAnsi="Arial"/>
          <w:sz w:val="16"/>
          <w:szCs w:val="16"/>
          <w:color w:val="auto"/>
        </w:rPr>
        <w:t>” means marketing, advertising, and promotional and similar information, including sales and customer information, that is existing, owned, and used by Novartis and in Novartis’ possession as of the Closing Date, for the commercialization of any of the Products in the Territory, excluding (a) the Novartis Names and Marks, (b) any information that cannot be transferred or otherwise disclosed pursuant to applicable Law, and (c) any information that is covered by confidentiality obligations in respect of a Third Party for which Novartis has not obtained such Third Party’s consent (provided however that Novartis shall use commercially reasonable efforts to obtain the consent of any relevant Third Party).</w:t>
      </w:r>
    </w:p>
    <w:p>
      <w:pPr>
        <w:spacing w:after="0" w:line="15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that certain confidentiality agreement entered into between Novartis and Purchaser or any of their respective Affiliates on 17 August 2020, as amended from time to time.</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Domain Name Assignment Agreement</w:t>
      </w:r>
      <w:r>
        <w:rPr>
          <w:rFonts w:ascii="Arial" w:cs="Arial" w:eastAsia="Arial" w:hAnsi="Arial"/>
          <w:sz w:val="18"/>
          <w:szCs w:val="18"/>
          <w:color w:val="auto"/>
        </w:rPr>
        <w:t>” means the Domain Name Assignment Agreement entered into between Purchaser and Novartis (or one or more of its Affiliates) on the date hereof and effective as of the Closing Date.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Substance</w:t>
      </w:r>
      <w:r>
        <w:rPr>
          <w:rFonts w:ascii="Arial" w:cs="Arial" w:eastAsia="Arial" w:hAnsi="Arial"/>
          <w:sz w:val="18"/>
          <w:szCs w:val="18"/>
          <w:color w:val="auto"/>
        </w:rPr>
        <w:t>” means:</w:t>
      </w:r>
    </w:p>
    <w:p>
      <w:pPr>
        <w:spacing w:after="0" w:line="229" w:lineRule="exact"/>
        <w:rPr>
          <w:sz w:val="20"/>
          <w:szCs w:val="20"/>
          <w:color w:val="auto"/>
        </w:rPr>
      </w:pPr>
    </w:p>
    <w:p>
      <w:pPr>
        <w:ind w:left="1540" w:hanging="236"/>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respect of Maxitrol, the active pharmaceutical ingredients dexamethasone, neomycin sulfate and polymyxin B sulfate,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respect of Iopidine, the active pharmaceutical ingredient apraclonidine hydrochloride, and</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respect of Moxeza, the active pharmaceutical ingredient moxifloxacin,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in each case having the chemical structure set forth in </w:t>
      </w:r>
      <w:r>
        <w:rPr>
          <w:rFonts w:ascii="Arial" w:cs="Arial" w:eastAsia="Arial" w:hAnsi="Arial"/>
          <w:sz w:val="18"/>
          <w:szCs w:val="18"/>
          <w:u w:val="single" w:color="auto"/>
          <w:color w:val="auto"/>
        </w:rPr>
        <w:t>Annex 1.1(b)</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encumbrance, claim, charge, hypothecation, lien, license, mortgage, pledge, easement, defect in title, restrictive covenant, option, right of first refusal, or security interest of any kind.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Agreements</w:t>
      </w:r>
      <w:r>
        <w:rPr>
          <w:rFonts w:ascii="Arial" w:cs="Arial" w:eastAsia="Arial" w:hAnsi="Arial"/>
          <w:sz w:val="18"/>
          <w:szCs w:val="18"/>
          <w:color w:val="auto"/>
        </w:rPr>
        <w:t>” means all agreements of Novartis or its Affiliates.</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Ex-Territory Product</w:t>
      </w:r>
      <w:r>
        <w:rPr>
          <w:rFonts w:ascii="Arial" w:cs="Arial" w:eastAsia="Arial" w:hAnsi="Arial"/>
          <w:sz w:val="17"/>
          <w:szCs w:val="17"/>
          <w:color w:val="auto"/>
        </w:rPr>
        <w:t>” means each branded product containing any Drug Substance, which is marketed and sold by Novartis, its Affiliates, any of their service providers and/or Other Partners under trademarks, which include the tradenames MAXITROL, IOPIDINE or MOXEZA and an equivalent of an NDA in any jurisdiction outside of the United States for such branded products outside the Territory.</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means any event which is beyond the reasonable control of the Party affected, including the following events: earthquake, storm, flood, fire or other acts of nature, epidemic, war, riot, public disturbance, strike or lockouts, government actions, terrorist attack, or the like.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Fraud</w:t>
      </w:r>
      <w:r>
        <w:rPr>
          <w:rFonts w:ascii="Arial" w:cs="Arial" w:eastAsia="Arial" w:hAnsi="Arial"/>
          <w:sz w:val="17"/>
          <w:szCs w:val="17"/>
          <w:color w:val="auto"/>
        </w:rPr>
        <w:t xml:space="preserve">” means actual and intentional fraud with respect to the making of the representations and warranties pursuant to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actual and intentional fraud shall only be deemed to exist if, and the Party asserting or relying on the occurrence of such actual and intentional fraud shall satisfy its burden of proof of establishing by a preponderance of the evidence that, any of the individuals identified in </w:t>
      </w:r>
      <w:r>
        <w:rPr>
          <w:rFonts w:ascii="Arial" w:cs="Arial" w:eastAsia="Arial" w:hAnsi="Arial"/>
          <w:sz w:val="17"/>
          <w:szCs w:val="17"/>
          <w:u w:val="single" w:color="auto"/>
          <w:color w:val="auto"/>
        </w:rPr>
        <w:t>Annex 1.1(c)</w:t>
      </w:r>
      <w:r>
        <w:rPr>
          <w:rFonts w:ascii="Arial" w:cs="Arial" w:eastAsia="Arial" w:hAnsi="Arial"/>
          <w:sz w:val="17"/>
          <w:szCs w:val="17"/>
          <w:color w:val="auto"/>
        </w:rPr>
        <w:t xml:space="preserve"> (in the case of an assertion by Purchaser) or any of the individuals identified in </w:t>
      </w:r>
      <w:r>
        <w:rPr>
          <w:rFonts w:ascii="Arial" w:cs="Arial" w:eastAsia="Arial" w:hAnsi="Arial"/>
          <w:sz w:val="17"/>
          <w:szCs w:val="17"/>
          <w:u w:val="single" w:color="auto"/>
          <w:color w:val="auto"/>
        </w:rPr>
        <w:t>Annex 1.1(d)</w:t>
      </w:r>
      <w:r>
        <w:rPr>
          <w:rFonts w:ascii="Arial" w:cs="Arial" w:eastAsia="Arial" w:hAnsi="Arial"/>
          <w:sz w:val="17"/>
          <w:szCs w:val="17"/>
          <w:color w:val="auto"/>
        </w:rPr>
        <w:t xml:space="preserve"> (in the case of an assertion by Novartis), or their predecessors, had actual knowledge (as opposed to imputed or constructive knowledge) that the representations and warranties made by a Party pursuant to, in the case of Novartis,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or, in the case of Purchaser, </w:t>
      </w:r>
      <w:r>
        <w:rPr>
          <w:rFonts w:ascii="Arial" w:cs="Arial" w:eastAsia="Arial" w:hAnsi="Arial"/>
          <w:sz w:val="17"/>
          <w:szCs w:val="17"/>
          <w:u w:val="single" w:color="auto"/>
          <w:color w:val="auto"/>
        </w:rPr>
        <w:t>ARTICLE 8</w:t>
      </w:r>
      <w:r>
        <w:rPr>
          <w:rFonts w:ascii="Arial" w:cs="Arial" w:eastAsia="Arial" w:hAnsi="Arial"/>
          <w:sz w:val="17"/>
          <w:szCs w:val="17"/>
          <w:color w:val="auto"/>
        </w:rPr>
        <w:t>, were actually breached when made, and that such breach was committed with the express intention and purpose that the other Party be deceived and rely thereon to its detriment.</w:t>
      </w:r>
    </w:p>
    <w:p>
      <w:pPr>
        <w:spacing w:after="0" w:line="172"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court, agency, authority, department, legislative or regulatory body, or other instrumentality of any government or country or of any national, federal, state, provincial, regional, county, city, or other political subdivision of any such government or any supranational organization of which any such country is a member or quasi-governmental authority or self-regulatory organization of competent authority.</w:t>
      </w:r>
    </w:p>
    <w:p>
      <w:pPr>
        <w:spacing w:after="0" w:line="14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stock of Materials, Drug Substance, and/or Products that are solely maintained, held, or stored by or on behalf of Novartis or its Affiliates for the sale, distribution, and commercialization of the Products as of the Closing Date.</w:t>
      </w:r>
    </w:p>
    <w:p>
      <w:pPr>
        <w:spacing w:after="0" w:line="16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Iopidine</w:t>
      </w:r>
      <w:r>
        <w:rPr>
          <w:rFonts w:ascii="Arial" w:cs="Arial" w:eastAsia="Arial" w:hAnsi="Arial"/>
          <w:sz w:val="17"/>
          <w:szCs w:val="17"/>
          <w:color w:val="auto"/>
        </w:rPr>
        <w:t>” means the pharmaceutical product containing the active ingredient apraclonidine hydrochloride sold under the brand name Iopidine as marketed and sold by Novartis and/or its Affiliates under the relevant Product NDAs in the Territory as of the date hereof.</w:t>
      </w:r>
    </w:p>
    <w:p>
      <w:pPr>
        <w:spacing w:after="0" w:line="14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all existing and available technical information, know-how, and data, including inventions (whether patentable or not), discoveries, trade secrets, specifications, instructions, processes, formulae, materials, and other technology related to the Products or to their manufacture, registration, use, or commercialization and including all biological, chemical, pharmacological, biochemical, toxicological, pharmaceutical, physical, safety, quality control, preclinical, and clinical data relating to the Products in the Territory, and that is in existence, reasonably accessible, owned by, and available to Novartis and/or its Affiliates on the Closing Date, but specifically excluding NDA Data, Commercial Information, and Medical Information.</w:t>
      </w:r>
    </w:p>
    <w:p>
      <w:pPr>
        <w:spacing w:after="0" w:line="18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xml:space="preserve">” means, with respect to Purchaser, the actual knowledge of the individuals listed in </w:t>
      </w:r>
      <w:r>
        <w:rPr>
          <w:rFonts w:ascii="Arial" w:cs="Arial" w:eastAsia="Arial" w:hAnsi="Arial"/>
          <w:sz w:val="18"/>
          <w:szCs w:val="18"/>
          <w:u w:val="single" w:color="auto"/>
          <w:color w:val="auto"/>
        </w:rPr>
        <w:t>Annex 1.1(c)</w:t>
      </w:r>
      <w:r>
        <w:rPr>
          <w:rFonts w:ascii="Arial" w:cs="Arial" w:eastAsia="Arial" w:hAnsi="Arial"/>
          <w:sz w:val="18"/>
          <w:szCs w:val="18"/>
          <w:color w:val="auto"/>
        </w:rPr>
        <w:t xml:space="preserve">, and with respect to Novartis, the actual knowledge of any of the employees of Novartis listed in </w:t>
      </w:r>
      <w:r>
        <w:rPr>
          <w:rFonts w:ascii="Arial" w:cs="Arial" w:eastAsia="Arial" w:hAnsi="Arial"/>
          <w:sz w:val="18"/>
          <w:szCs w:val="18"/>
          <w:u w:val="single" w:color="auto"/>
          <w:color w:val="auto"/>
        </w:rPr>
        <w:t>Annex 1.1(d)</w:t>
      </w:r>
      <w:r>
        <w:rPr>
          <w:rFonts w:ascii="Arial" w:cs="Arial" w:eastAsia="Arial" w:hAnsi="Arial"/>
          <w:sz w:val="18"/>
          <w:szCs w:val="18"/>
          <w:color w:val="auto"/>
        </w:rPr>
        <w:t xml:space="preserve"> as well as the knowledge that any such individual would have obtained through due inquiry into the relevant matter.</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statute, law, treaty, judgment, ordinance, requirement, decree, regulatory rule, administrative interpretation, code, order, or other requirement having the force of law of any Governmental Entity.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and all debts, liabilities, expenses, and obligations, of any nature or kind whether accrued or fixed, absolute or contingent, matured or unmatured, or determined or determinable, including product liability, and, more generally, any liability arising under any Law, action, or governmental order, injunction, or decree and any liability arising under any contract or undertaking.</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 means the License Agreement entered into between Purchaser and Novartis (or one or more of its Affiliates) on the date hereof and effective as of the Closing Date.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IP</w:t>
      </w:r>
      <w:r>
        <w:rPr>
          <w:rFonts w:ascii="Arial" w:cs="Arial" w:eastAsia="Arial" w:hAnsi="Arial"/>
          <w:sz w:val="18"/>
          <w:szCs w:val="18"/>
          <w:color w:val="auto"/>
        </w:rPr>
        <w:t>” means the Licensed Trademarks and the Know-How other than the Transferred IP.</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Trademarks</w:t>
      </w:r>
      <w:r>
        <w:rPr>
          <w:rFonts w:ascii="Arial" w:cs="Arial" w:eastAsia="Arial" w:hAnsi="Arial"/>
          <w:sz w:val="18"/>
          <w:szCs w:val="18"/>
          <w:color w:val="auto"/>
        </w:rPr>
        <w:t xml:space="preserve">” means those registered trademarks and pending trademark applications in the Territory listed in </w:t>
      </w:r>
      <w:r>
        <w:rPr>
          <w:rFonts w:ascii="Arial" w:cs="Arial" w:eastAsia="Arial" w:hAnsi="Arial"/>
          <w:sz w:val="18"/>
          <w:szCs w:val="18"/>
          <w:u w:val="single" w:color="auto"/>
          <w:color w:val="auto"/>
        </w:rPr>
        <w:t>Annex 1.1(e)</w:t>
      </w:r>
      <w:r>
        <w:rPr>
          <w:rFonts w:ascii="Arial" w:cs="Arial" w:eastAsia="Arial" w:hAnsi="Arial"/>
          <w:sz w:val="18"/>
          <w:szCs w:val="18"/>
          <w:color w:val="auto"/>
        </w:rPr>
        <w:t xml:space="preserve"> under the heading “Licensed Trademarks”, including all goodwill associated therewith.</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w:t>
      </w:r>
      <w:r>
        <w:rPr>
          <w:rFonts w:ascii="Arial" w:cs="Arial" w:eastAsia="Arial" w:hAnsi="Arial"/>
          <w:sz w:val="17"/>
          <w:szCs w:val="17"/>
          <w:color w:val="auto"/>
        </w:rPr>
        <w:t xml:space="preserve">” means any and all direct and foreseeable damage, loss, liability, and expenses actually incurred by a Party, including reasonable attorney’s fees and expenses in connection with any action, suit, or proceeding, whether involving a Third-Party Claim or a claim solely between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Losses shall not include any special, punitive, consequential, or indirect damages or any similar damages or damages based upon diminution in value or any valuation multiplier unless payable to a Third Party as a result of a Third-Party Claim.</w:t>
      </w:r>
    </w:p>
    <w:p>
      <w:pPr>
        <w:spacing w:after="0" w:line="16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means a change, effect, event, occurrence, or development that, individually or in the aggregate, is, or could reasonably be expected to become, materially adverse to the condition of the Transferred Assets and the Licensed IP, taken as a whole, or to the Purchased Business or the ability of Novartis to consummate the transactions contemplated hereby on a timely basis, or to any of the Product NDAs;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none of the following changes, effects, events, occurrences, or developments shall be deemed either alone or in combination to constitute, and none of following shall be taken into account in determining whether there has been or will be, a Material Adverse Effect: (a) any adverse effect, event, occurrence, or development attributable to changes in conditions generally affecting (i) the pharmaceutical industry or (ii) the economy, financial, or securities markets or political, legislative, or regulatory conditions, taken as a whole, except in the case of effects referenced in clauses (i) or (ii), for effects that, taken as a whole, disproportionately impact the Products, as compared to similar pharmaceutical products, (b) any adverse effect caused by the entry into this Agreement, announcement of this Agreement, and the pendency of the transactions contemplated hereby, (c) any adverse effect due to acts of war, armed hostility, or terrorism, (d) any adverse effect due to actions or inactions taken by Novartis or any of its Affiliates in the performance of its obligations under this Agreement, (e) any adverse effect due to any claims or actions or government or other investigations pending as of the date hereof, disclosed in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of the Novartis Disclosure Schedule, or (f) any effect or change resulting from any action by, the identity of, or any facts or circumstances directly related to Purchaser.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any materials or components used in the manufacture of any of the Products, including: (a) raw ingredients, (b) intermediates, (c) excipients, (d) processing aids, (e) active ingredients, including the Drug Substance, (f) bulk drug product, and (g) packaging and labelling materials and components (including printed and non-printed components therefor).</w:t>
      </w:r>
    </w:p>
    <w:p>
      <w:pPr>
        <w:spacing w:after="0" w:line="176"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Maxitrol</w:t>
      </w:r>
      <w:r>
        <w:rPr>
          <w:rFonts w:ascii="Arial" w:cs="Arial" w:eastAsia="Arial" w:hAnsi="Arial"/>
          <w:sz w:val="17"/>
          <w:szCs w:val="17"/>
          <w:color w:val="auto"/>
        </w:rPr>
        <w:t>” means the pharmaceutical product containing the active ingredients dexamethasone, neomycin sulfate and polymyxin B sulfate sold under the brand name Maxitrol Suspension as marketed and sold by Novartis and/or its Affiliates under the relevant Product NDAs in the Territory as of the date hereof. For the avoidance of doubt, for the purposes of this Agreement “</w:t>
      </w:r>
      <w:r>
        <w:rPr>
          <w:rFonts w:ascii="Arial" w:cs="Arial" w:eastAsia="Arial" w:hAnsi="Arial"/>
          <w:sz w:val="17"/>
          <w:szCs w:val="17"/>
          <w:b w:val="1"/>
          <w:bCs w:val="1"/>
          <w:color w:val="auto"/>
        </w:rPr>
        <w:t>Maxitrol</w:t>
      </w:r>
      <w:r>
        <w:rPr>
          <w:rFonts w:ascii="Arial" w:cs="Arial" w:eastAsia="Arial" w:hAnsi="Arial"/>
          <w:sz w:val="17"/>
          <w:szCs w:val="17"/>
          <w:color w:val="auto"/>
        </w:rPr>
        <w:t>” shall not include pharmaceutical products marketed and sold by Novartis and/or its Affiliates under the brand name Maxitrol in any formulation (e.g. “ointment”) other than as a suspension.</w:t>
      </w:r>
    </w:p>
    <w:p>
      <w:pPr>
        <w:spacing w:after="0" w:line="16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Medical Information</w:t>
      </w:r>
      <w:r>
        <w:rPr>
          <w:rFonts w:ascii="Arial" w:cs="Arial" w:eastAsia="Arial" w:hAnsi="Arial"/>
          <w:sz w:val="18"/>
          <w:szCs w:val="18"/>
          <w:color w:val="auto"/>
        </w:rPr>
        <w:t>” means information solely and exclusively relating to the Drug Substance or the Products in the Territory, existing, owned, and used by Novartis or any of its Affiliates, and in Novartis’ possession as of the Closing Date, including clinical and technical matters, such as therapeutic uses for the approved indications, drug-disease information, and other product characteristics.</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Moxeza</w:t>
      </w:r>
      <w:r>
        <w:rPr>
          <w:rFonts w:ascii="Arial" w:cs="Arial" w:eastAsia="Arial" w:hAnsi="Arial"/>
          <w:sz w:val="18"/>
          <w:szCs w:val="18"/>
          <w:color w:val="auto"/>
        </w:rPr>
        <w:t>” means the pharmaceutical product containing the active ingredient moxifloxacin sold under the brand name Moxeza as marketed and sold by Novartis and/or its Affiliates under the relevant Product NDAs in the Territory prior to the date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a New Drug Application, as defined in the Act, and (b) all supplements and amendments that may be filed with respect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NDA Data</w:t>
      </w:r>
      <w:r>
        <w:rPr>
          <w:rFonts w:ascii="Arial" w:cs="Arial" w:eastAsia="Arial" w:hAnsi="Arial"/>
          <w:sz w:val="18"/>
          <w:szCs w:val="18"/>
          <w:color w:val="auto"/>
        </w:rPr>
        <w:t>” means the existing readily available dossiers in Novartis’ possession as of the Closing Date containing the Know-How actually used by Novartis and/or its Affiliates to obtain and maintain the Product NDAs in the Territory.</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NDA Transfer Date</w:t>
      </w:r>
      <w:r>
        <w:rPr>
          <w:rFonts w:ascii="Arial" w:cs="Arial" w:eastAsia="Arial" w:hAnsi="Arial"/>
          <w:sz w:val="18"/>
          <w:szCs w:val="18"/>
          <w:color w:val="auto"/>
        </w:rPr>
        <w:t>” means the date upon which the FDA approves and notifies the Product NDA naming Purchaser or Purchaser’s Affiliate or designate as the holder of the Product NDA.</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Novartis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7.7(a) and (e)</w:t>
      </w:r>
      <w:r>
        <w:rPr>
          <w:rFonts w:ascii="Arial" w:cs="Arial" w:eastAsia="Arial" w:hAnsi="Arial"/>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Partners</w:t>
      </w:r>
      <w:r>
        <w:rPr>
          <w:rFonts w:ascii="Arial" w:cs="Arial" w:eastAsia="Arial" w:hAnsi="Arial"/>
          <w:sz w:val="18"/>
          <w:szCs w:val="18"/>
          <w:color w:val="auto"/>
        </w:rPr>
        <w:t>” means any Third Party to which Novartis and/or its Affiliates have sold any of the Products to outside the Territory or Third Parties to which Novartis and/or its Affiliates may sell any of the Products to outside the Territory in the future.</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Assignment Agreement</w:t>
      </w:r>
      <w:r>
        <w:rPr>
          <w:rFonts w:ascii="Arial" w:cs="Arial" w:eastAsia="Arial" w:hAnsi="Arial"/>
          <w:sz w:val="18"/>
          <w:szCs w:val="18"/>
          <w:color w:val="auto"/>
        </w:rPr>
        <w:t>” means the Patent Assignment Agreement entered into between Purchaser and Novartis (or one or more of its Affiliates) on the date hereof and effective as of the Closing Date.</w:t>
      </w:r>
    </w:p>
    <w:p>
      <w:pPr>
        <w:spacing w:after="0" w:line="16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 pending patent applications, issued patents, utility models, and designs, (b) reissues, substitutions, confirmations, registrations, validations, re-examinations, additions, continuations, continued prosecution applications, continuations-in-part, or division of or to any of the foregoing, (c) any other patent application claiming priority to any of the foregoing anywhere in the world, and (d) extension, renewal, or restoration of any of the foregoing by existing or future extension, renewal, or restoration mechanics, including supplementary protection certificates or the equivalent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Encumbrance</w:t>
      </w:r>
      <w:r>
        <w:rPr>
          <w:rFonts w:ascii="Arial" w:cs="Arial" w:eastAsia="Arial" w:hAnsi="Arial"/>
          <w:sz w:val="17"/>
          <w:szCs w:val="17"/>
          <w:color w:val="auto"/>
        </w:rPr>
        <w:t>” means (a) any Encumbrance for Taxes, assessments, and other governmental charges that are not yet due and payable, (b) with respect to licenses, permits, or contracts, any restrictions, obligations, limitations, or other Encumbrances contained in such license, permit, or contract or existing at Law or under the regulatory regime pursuant to which such license, permit, or contracts is granted that do not materially impair the current use of the Drug Substance, the Products, the Transferred Assets, or the Licensed IP, individually or in the aggregate, or (c) with respect to a NDA, in respect of the Products, any restrictions, obligations, limitations, or other Encumbrances contained in such NDA or existing at Law or under the regulatory regime pursuant to which such NDA is granted that do not materially impair the current use of the Drug Substance, the Products, the Transferred Assets, or the Licensed IP, individually or in the aggregate.</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partnership, limited liability company, firm, corporation, association, trust, unincorporated organization,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other entity.</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Pharmacovigilance Agreement</w:t>
      </w:r>
      <w:r>
        <w:rPr>
          <w:rFonts w:ascii="Arial" w:cs="Arial" w:eastAsia="Arial" w:hAnsi="Arial"/>
          <w:sz w:val="18"/>
          <w:szCs w:val="18"/>
          <w:color w:val="auto"/>
        </w:rPr>
        <w:t xml:space="preserve">” means the Pharmacovigilance Agreement to be entered into by Purchaser and Novartis (or one or more of its Affiliates) in accordance with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1 Period</w:t>
      </w:r>
      <w:r>
        <w:rPr>
          <w:rFonts w:ascii="Arial" w:cs="Arial" w:eastAsia="Arial" w:hAnsi="Arial"/>
          <w:sz w:val="18"/>
          <w:szCs w:val="18"/>
          <w:color w:val="auto"/>
        </w:rPr>
        <w:t>” has the meaning given to it in the Supply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2 Period</w:t>
      </w:r>
      <w:r>
        <w:rPr>
          <w:rFonts w:ascii="Arial" w:cs="Arial" w:eastAsia="Arial" w:hAnsi="Arial"/>
          <w:sz w:val="18"/>
          <w:szCs w:val="18"/>
          <w:color w:val="auto"/>
        </w:rPr>
        <w:t>” has the meaning given to it in the Supply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each of Maxitrol, Iopidine and Moxeza (and “</w:t>
      </w:r>
      <w:r>
        <w:rPr>
          <w:rFonts w:ascii="Arial" w:cs="Arial" w:eastAsia="Arial" w:hAnsi="Arial"/>
          <w:sz w:val="18"/>
          <w:szCs w:val="18"/>
          <w:b w:val="1"/>
          <w:bCs w:val="1"/>
          <w:color w:val="auto"/>
        </w:rPr>
        <w:t>Product</w:t>
      </w:r>
      <w:r>
        <w:rPr>
          <w:rFonts w:ascii="Arial" w:cs="Arial" w:eastAsia="Arial" w:hAnsi="Arial"/>
          <w:sz w:val="18"/>
          <w:szCs w:val="18"/>
          <w:color w:val="auto"/>
        </w:rPr>
        <w:t>” shall mean either of them).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IP</w:t>
      </w:r>
      <w:r>
        <w:rPr>
          <w:rFonts w:ascii="Arial" w:cs="Arial" w:eastAsia="Arial" w:hAnsi="Arial"/>
          <w:sz w:val="18"/>
          <w:szCs w:val="18"/>
          <w:color w:val="auto"/>
        </w:rPr>
        <w:t>” means the Transferred IP or the Licensed IP, or both, as the context admits.</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 Liability Claim</w:t>
      </w:r>
      <w:r>
        <w:rPr>
          <w:rFonts w:ascii="Arial" w:cs="Arial" w:eastAsia="Arial" w:hAnsi="Arial"/>
          <w:sz w:val="17"/>
          <w:szCs w:val="17"/>
          <w:color w:val="auto"/>
        </w:rPr>
        <w:t>” means any suit, legal proceeding, arbitration proceeding, or any other claim for monetary or equitable relief asserted by a Third Party arising out of the sale or use of the Drug Substance or the Products, including: (a) claims that arise from, relate to or are in connection with injury or death to a human being claimed to have occurred as a result of the use of the Drug Substance or the Products, whether premised on allegations of design or manufacturing defect, negligence, failure to provide an adequate warning, breach of express or implied warranty, or any other legal theory, (b) claims that a Third Party was induced to purchase the Drug Substance or the Products based on false or misleading representations or purchased or used the product for uses other than those indicated in the product labelling as approved by the FDA or other Regulatory Authority, (c) claims that the sale of the Drug Substance or the Products created a public nuisance, or (d) claims premised on regulatory action or voluntary action involving the Drug Substance or the Products, such as recalls or withdrawal of the Products from the market.</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NDA</w:t>
      </w:r>
      <w:r>
        <w:rPr>
          <w:rFonts w:ascii="Arial" w:cs="Arial" w:eastAsia="Arial" w:hAnsi="Arial"/>
          <w:sz w:val="18"/>
          <w:szCs w:val="18"/>
          <w:color w:val="auto"/>
        </w:rPr>
        <w:t>s” means the NDAs set forth on Annex 1.1(f).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Business</w:t>
      </w:r>
      <w:r>
        <w:rPr>
          <w:rFonts w:ascii="Arial" w:cs="Arial" w:eastAsia="Arial" w:hAnsi="Arial"/>
          <w:sz w:val="18"/>
          <w:szCs w:val="18"/>
          <w:color w:val="auto"/>
        </w:rPr>
        <w:t>” means Novartis’ business related to the Products.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Fundamental Representations</w:t>
      </w:r>
      <w:r>
        <w:rPr>
          <w:rFonts w:ascii="Arial" w:cs="Arial" w:eastAsia="Arial" w:hAnsi="Arial"/>
          <w:sz w:val="16"/>
          <w:szCs w:val="16"/>
          <w:color w:val="auto"/>
        </w:rPr>
        <w:t xml:space="preserve">” means the representations and warranties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8.9</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Records</w:t>
      </w:r>
      <w:r>
        <w:rPr>
          <w:rFonts w:ascii="Arial" w:cs="Arial" w:eastAsia="Arial" w:hAnsi="Arial"/>
          <w:sz w:val="18"/>
          <w:szCs w:val="18"/>
          <w:color w:val="auto"/>
        </w:rPr>
        <w:t>” means the books, record, files, and other documentation of Novartis and/or its Affiliates as of the Closing Date, or pertinent portions thereof, in each case to the extent solely and exclusively related to the Products in the Territory, to the extent owned, maintained, and in the possession or control of Novartis or any of its Affiliates as of the Closing Date.</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Entity responsible for granting an NDA or an equivalent of an NDA in any jurisdiction outside of the United States for the Products, including the FDA, any successor entity thereto, and any corresponding national or regional regulatory authorities.</w:t>
      </w:r>
    </w:p>
    <w:p>
      <w:pPr>
        <w:spacing w:after="0" w:line="17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means, with respect to any Person, the directors, officers, employees, managers, members, partners, equity holders, agents, consultants, advisors (including legal counsel, accountants, and financial advisors), and representatives of such Person.</w:t>
      </w:r>
    </w:p>
    <w:p>
      <w:pPr>
        <w:spacing w:after="0" w:line="14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w:t>
      </w:r>
      <w:r>
        <w:rPr>
          <w:rFonts w:ascii="Arial" w:cs="Arial" w:eastAsia="Arial" w:hAnsi="Arial"/>
          <w:sz w:val="18"/>
          <w:szCs w:val="18"/>
          <w:color w:val="auto"/>
        </w:rPr>
        <w:t>” means the Supply Agreement entered into between Purchaser and Novartis (or one or more of its Affiliates) on the date hereof and effective as of the Closing Date.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all U.S. federal, state and local, and non-U.S. taxes and assessments, including all interest, penalties, and additions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respect thereto.</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United States.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any Affiliate of a Party.</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Assignment Agreement</w:t>
      </w:r>
      <w:r>
        <w:rPr>
          <w:rFonts w:ascii="Arial" w:cs="Arial" w:eastAsia="Arial" w:hAnsi="Arial"/>
          <w:sz w:val="18"/>
          <w:szCs w:val="18"/>
          <w:color w:val="auto"/>
        </w:rPr>
        <w:t>” means the trademark assignment agreement entered into between Purchaser and Novartis (or one or more of its Affiliates) on the date hereof and effective as of the Closing Date.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Transferred Domain Names</w:t>
      </w:r>
      <w:r>
        <w:rPr>
          <w:rFonts w:ascii="Arial" w:cs="Arial" w:eastAsia="Arial" w:hAnsi="Arial"/>
          <w:sz w:val="17"/>
          <w:szCs w:val="17"/>
          <w:color w:val="auto"/>
        </w:rPr>
        <w:t xml:space="preserve">” means those domain names listed in </w:t>
      </w:r>
      <w:r>
        <w:rPr>
          <w:rFonts w:ascii="Arial" w:cs="Arial" w:eastAsia="Arial" w:hAnsi="Arial"/>
          <w:sz w:val="17"/>
          <w:szCs w:val="17"/>
          <w:u w:val="single" w:color="auto"/>
          <w:color w:val="auto"/>
        </w:rPr>
        <w:t>Annex 1.1(a)</w:t>
      </w:r>
      <w:r>
        <w:rPr>
          <w:rFonts w:ascii="Arial" w:cs="Arial" w:eastAsia="Arial" w:hAnsi="Arial"/>
          <w:sz w:val="17"/>
          <w:szCs w:val="17"/>
          <w:color w:val="auto"/>
        </w:rPr>
        <w:t xml:space="preserve"> under the heading “Transferred Domain Names”.</w:t>
      </w:r>
    </w:p>
    <w:p>
      <w:pPr>
        <w:spacing w:after="0" w:line="237"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Transferred IP</w:t>
      </w:r>
      <w:r>
        <w:rPr>
          <w:rFonts w:ascii="Arial" w:cs="Arial" w:eastAsia="Arial" w:hAnsi="Arial"/>
          <w:sz w:val="17"/>
          <w:szCs w:val="17"/>
          <w:color w:val="auto"/>
        </w:rPr>
        <w:t>” means (a) the Transferred Patent, the Transferred Trademarks, and the Transferred Domain Names (and any and all intellectual property rights in and to the foregoing), and (b) Commercial Information, Medical Information, Records, and NDA Data (and any and all intellectual property rights in and to the foregoing), in each case in this clause (b), to the extent relating solely and exclusively to the Products in the Territory, and in each case that are in existence as of the Closing Date, but not including any of the Licensed IP.</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Patent</w:t>
      </w:r>
      <w:r>
        <w:rPr>
          <w:rFonts w:ascii="Arial" w:cs="Arial" w:eastAsia="Arial" w:hAnsi="Arial"/>
          <w:sz w:val="18"/>
          <w:szCs w:val="18"/>
          <w:color w:val="auto"/>
        </w:rPr>
        <w:t>” means U.S. Patent No. 8450311.</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Trademarks</w:t>
      </w:r>
      <w:r>
        <w:rPr>
          <w:rFonts w:ascii="Arial" w:cs="Arial" w:eastAsia="Arial" w:hAnsi="Arial"/>
          <w:sz w:val="18"/>
          <w:szCs w:val="18"/>
          <w:color w:val="auto"/>
        </w:rPr>
        <w:t xml:space="preserve">” means those registered trademarks and pending trademark applications in the Territory listed in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1.1(e)</w:t>
      </w:r>
      <w:r>
        <w:rPr>
          <w:rFonts w:ascii="Arial" w:cs="Arial" w:eastAsia="Arial" w:hAnsi="Arial"/>
          <w:sz w:val="18"/>
          <w:szCs w:val="18"/>
          <w:color w:val="auto"/>
        </w:rPr>
        <w:t xml:space="preserve"> under the heading “Transferred Trademarks”, including all goodwill associated therewith.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means the Transition Services Agreement entered into between Purchaser and Novartis (or one or more of its Affiliates) on the date hereof and effective as of the Closing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340" w:type="dxa"/>
            <w:vAlign w:val="bottom"/>
            <w:gridSpan w:val="3"/>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 including all possessions and territories thereof.</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260" w:type="dxa"/>
            <w:vAlign w:val="bottom"/>
            <w:gridSpan w:val="4"/>
          </w:tcPr>
          <w:p>
            <w:pPr>
              <w:ind w:left="660"/>
              <w:spacing w:after="0"/>
              <w:rPr>
                <w:sz w:val="20"/>
                <w:szCs w:val="20"/>
                <w:color w:val="auto"/>
              </w:rPr>
            </w:pPr>
            <w:r>
              <w:rPr>
                <w:rFonts w:ascii="Arial" w:cs="Arial" w:eastAsia="Arial" w:hAnsi="Arial"/>
                <w:sz w:val="18"/>
                <w:szCs w:val="18"/>
                <w:color w:val="auto"/>
                <w:w w:val="95"/>
              </w:rPr>
              <w:t>1.2 Other Capitalized Terms. The following terms shall have the meanings specified in the indicated section of this Agreement:</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1780" w:type="dxa"/>
            <w:vAlign w:val="bottom"/>
            <w:tcBorders>
              <w:top w:val="single" w:sz="8" w:color="auto"/>
            </w:tcBorders>
          </w:tcPr>
          <w:p>
            <w:pPr>
              <w:spacing w:after="0"/>
              <w:rPr>
                <w:sz w:val="24"/>
                <w:szCs w:val="24"/>
                <w:color w:val="auto"/>
              </w:rPr>
            </w:pPr>
          </w:p>
        </w:tc>
        <w:tc>
          <w:tcPr>
            <w:tcW w:w="7560" w:type="dxa"/>
            <w:vAlign w:val="bottom"/>
            <w:gridSpan w:val="2"/>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Reference</w:t>
            </w:r>
          </w:p>
        </w:tc>
        <w:tc>
          <w:tcPr>
            <w:tcW w:w="0" w:type="dxa"/>
            <w:vAlign w:val="bottom"/>
          </w:tcPr>
          <w:p>
            <w:pPr>
              <w:spacing w:after="0"/>
              <w:rPr>
                <w:sz w:val="1"/>
                <w:szCs w:val="1"/>
                <w:color w:val="auto"/>
              </w:rPr>
            </w:pPr>
          </w:p>
        </w:tc>
      </w:tr>
      <w:tr>
        <w:trPr>
          <w:trHeight w:val="216"/>
        </w:trPr>
        <w:tc>
          <w:tcPr>
            <w:tcW w:w="9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7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Agreement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Assumed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Claim Notice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Closing</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Confidential Information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Contracting Party</w:t>
            </w:r>
          </w:p>
        </w:tc>
        <w:tc>
          <w:tcPr>
            <w:tcW w:w="980" w:type="dxa"/>
            <w:vAlign w:val="bottom"/>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Excluded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Excluded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Indemnified Party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Indemnifying Party</w:t>
            </w:r>
          </w:p>
        </w:tc>
        <w:tc>
          <w:tcPr>
            <w:tcW w:w="980" w:type="dxa"/>
            <w:vAlign w:val="bottom"/>
          </w:tcPr>
          <w:p>
            <w:pPr>
              <w:jc w:val="right"/>
              <w:spacing w:after="0"/>
              <w:rPr>
                <w:sz w:val="20"/>
                <w:szCs w:val="20"/>
                <w:color w:val="auto"/>
              </w:rPr>
            </w:pPr>
            <w:r>
              <w:rPr>
                <w:rFonts w:ascii="Arial" w:cs="Arial" w:eastAsia="Arial" w:hAnsi="Arial"/>
                <w:sz w:val="18"/>
                <w:szCs w:val="18"/>
                <w:color w:val="auto"/>
              </w:rPr>
              <w:t>10.6(b)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Nonparty Affiliates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Novartis Disclosure Schedule</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Novartis Indemnified Parties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Novartis Names and Marks</w:t>
            </w: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Party</w:t>
            </w:r>
          </w:p>
        </w:tc>
        <w:tc>
          <w:tcPr>
            <w:tcW w:w="980" w:type="dxa"/>
            <w:vAlign w:val="bottom"/>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5.1(a)(i)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Purchaser</w:t>
            </w:r>
          </w:p>
        </w:tc>
        <w:tc>
          <w:tcPr>
            <w:tcW w:w="980" w:type="dxa"/>
            <w:vAlign w:val="bottom"/>
          </w:tcPr>
          <w:p>
            <w:pPr>
              <w:jc w:val="right"/>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Purchaser Disclosure Schedule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Purchaser Indemnified Parties</w:t>
            </w: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Qualifying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Third-Party Claim</w:t>
            </w:r>
          </w:p>
        </w:tc>
        <w:tc>
          <w:tcPr>
            <w:tcW w:w="980" w:type="dxa"/>
            <w:vAlign w:val="bottom"/>
          </w:tcPr>
          <w:p>
            <w:pPr>
              <w:jc w:val="right"/>
              <w:spacing w:after="0"/>
              <w:rPr>
                <w:sz w:val="20"/>
                <w:szCs w:val="20"/>
                <w:color w:val="auto"/>
              </w:rPr>
            </w:pPr>
            <w:r>
              <w:rPr>
                <w:rFonts w:ascii="Arial" w:cs="Arial" w:eastAsia="Arial" w:hAnsi="Arial"/>
                <w:sz w:val="18"/>
                <w:szCs w:val="18"/>
                <w:color w:val="auto"/>
              </w:rPr>
              <w:t>10.6(b)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Taxes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tcPr>
          <w:p>
            <w:pPr>
              <w:spacing w:after="0"/>
              <w:rPr>
                <w:sz w:val="20"/>
                <w:szCs w:val="20"/>
                <w:color w:val="auto"/>
              </w:rPr>
            </w:pPr>
            <w:r>
              <w:rPr>
                <w:rFonts w:ascii="Arial" w:cs="Arial" w:eastAsia="Arial" w:hAnsi="Arial"/>
                <w:sz w:val="18"/>
                <w:szCs w:val="18"/>
                <w:color w:val="auto"/>
              </w:rPr>
              <w:t>Transferred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Warranty Breach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Interpretive Provisions</w:t>
      </w:r>
      <w:r>
        <w:rPr>
          <w:rFonts w:ascii="Arial" w:cs="Arial" w:eastAsia="Arial" w:hAnsi="Arial"/>
          <w:sz w:val="18"/>
          <w:szCs w:val="18"/>
          <w:color w:val="auto"/>
        </w:rPr>
        <w:t>. Unless the express context otherwise requires:</w:t>
      </w:r>
    </w:p>
    <w:p>
      <w:pPr>
        <w:spacing w:after="0" w:line="225" w:lineRule="exact"/>
        <w:rPr>
          <w:sz w:val="20"/>
          <w:szCs w:val="20"/>
          <w:color w:val="auto"/>
        </w:rPr>
      </w:pPr>
    </w:p>
    <w:p>
      <w:pPr>
        <w:ind w:firstLine="1304"/>
        <w:spacing w:after="0" w:line="277" w:lineRule="auto"/>
        <w:tabs>
          <w:tab w:leader="none" w:pos="15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terms defined in the singular shall have a comparable meaning when used in the plural, and vice versa;</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“Dollars” and “$” mean United States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ind w:firstLine="1304"/>
        <w:spacing w:after="0" w:line="277" w:lineRule="auto"/>
        <w:tabs>
          <w:tab w:leader="none" w:pos="15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references herein to a specific Section, Article, Recital, Schedule, Annex, or Exhibit shall refer, respectively, to Sections, Articles, Recitals, Schedules, Annexes, or Exhibits of this Agreement;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wherever the word “include,” “includes,” or “including” is used in this Agreement, it shall be deemed to be followed by the words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“without limitation”;</w:t>
      </w:r>
    </w:p>
    <w:p>
      <w:pPr>
        <w:spacing w:after="0" w:line="210" w:lineRule="exact"/>
        <w:rPr>
          <w:rFonts w:ascii="Arial" w:cs="Arial" w:eastAsia="Arial" w:hAnsi="Arial"/>
          <w:sz w:val="17"/>
          <w:szCs w:val="17"/>
          <w:color w:val="auto"/>
        </w:rPr>
      </w:pPr>
    </w:p>
    <w:p>
      <w:pPr>
        <w:ind w:left="1520" w:hanging="216"/>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references herein to any gender shall include each other gender;</w:t>
      </w:r>
    </w:p>
    <w:p>
      <w:pPr>
        <w:spacing w:after="0" w:line="225" w:lineRule="exact"/>
        <w:rPr>
          <w:rFonts w:ascii="Arial" w:cs="Arial" w:eastAsia="Arial" w:hAnsi="Arial"/>
          <w:sz w:val="18"/>
          <w:szCs w:val="18"/>
          <w:color w:val="auto"/>
        </w:rPr>
      </w:pPr>
    </w:p>
    <w:p>
      <w:pPr>
        <w:ind w:firstLine="1304"/>
        <w:spacing w:after="0" w:line="277" w:lineRule="auto"/>
        <w:tabs>
          <w:tab w:leader="none" w:pos="1557"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the word “from” means “from and including” and the words “to” and “until” each means “to but excluding”;</w:t>
      </w:r>
    </w:p>
    <w:p>
      <w:pPr>
        <w:spacing w:after="0" w:line="170" w:lineRule="exact"/>
        <w:rPr>
          <w:rFonts w:ascii="Arial" w:cs="Arial" w:eastAsia="Arial" w:hAnsi="Arial"/>
          <w:sz w:val="18"/>
          <w:szCs w:val="18"/>
          <w:color w:val="auto"/>
        </w:rPr>
      </w:pPr>
    </w:p>
    <w:p>
      <w:pPr>
        <w:ind w:firstLine="1304"/>
        <w:spacing w:after="0" w:line="277" w:lineRule="auto"/>
        <w:tabs>
          <w:tab w:leader="none" w:pos="15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references herein to any Law or any license mean such Law or license as amended, modified, codified, reenacted, supplemented, or superseded, in whole or in part, and in effect, as of the time at which such Law or license is referenced;</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references herein to any Law shall be deemed also to refer to all rules and regulations promulgated thereunder;</w:t>
      </w:r>
    </w:p>
    <w:p>
      <w:pPr>
        <w:spacing w:after="0" w:line="225" w:lineRule="exact"/>
        <w:rPr>
          <w:rFonts w:ascii="Arial" w:cs="Arial" w:eastAsia="Arial" w:hAnsi="Arial"/>
          <w:sz w:val="18"/>
          <w:szCs w:val="18"/>
          <w:color w:val="auto"/>
        </w:rPr>
      </w:pPr>
    </w:p>
    <w:p>
      <w:pPr>
        <w:ind w:right="20" w:firstLine="1304"/>
        <w:spacing w:after="0" w:line="277" w:lineRule="auto"/>
        <w:tabs>
          <w:tab w:leader="none" w:pos="1514"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references to any agreement or contract are to that agreement or contract as amended, modified, or supplemented from time to time in accordance with the terms thereof;</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“extent” in the phrase “to the extent” means the degree to which a subject or other thing extends, and such phrase does not mean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simply “if”;</w:t>
      </w:r>
    </w:p>
    <w:p>
      <w:pPr>
        <w:spacing w:after="0" w:line="210" w:lineRule="exact"/>
        <w:rPr>
          <w:rFonts w:ascii="Arial" w:cs="Arial" w:eastAsia="Arial" w:hAnsi="Arial"/>
          <w:sz w:val="16"/>
          <w:szCs w:val="16"/>
          <w:color w:val="auto"/>
        </w:rPr>
      </w:pPr>
    </w:p>
    <w:p>
      <w:pPr>
        <w:ind w:right="20" w:firstLine="1304"/>
        <w:spacing w:after="0" w:line="277" w:lineRule="auto"/>
        <w:tabs>
          <w:tab w:leader="none" w:pos="152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documents or materials referred to herein as being “made available” to Purchaser shall have been provided to Purchaser or its counsel at least one (1) Business Day prior to the date hereof; and</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Party includes its permitted assignees and/or the respective successors in title to substantially the whole of its undertaking.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TRANSFER OF ASSETS</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and Sale of Transferred Assets.</w:t>
      </w:r>
    </w:p>
    <w:p>
      <w:pPr>
        <w:spacing w:after="0" w:line="225" w:lineRule="exact"/>
        <w:rPr>
          <w:sz w:val="20"/>
          <w:szCs w:val="20"/>
          <w:color w:val="auto"/>
        </w:rPr>
      </w:pPr>
    </w:p>
    <w:p>
      <w:pPr>
        <w:jc w:val="both"/>
        <w:ind w:firstLine="1304"/>
        <w:spacing w:after="0" w:line="301" w:lineRule="auto"/>
        <w:tabs>
          <w:tab w:leader="none" w:pos="154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Transferred Assets. </w:t>
      </w:r>
      <w:r>
        <w:rPr>
          <w:rFonts w:ascii="Arial" w:cs="Arial" w:eastAsia="Arial" w:hAnsi="Arial"/>
          <w:sz w:val="16"/>
          <w:szCs w:val="16"/>
          <w:color w:val="auto"/>
        </w:rPr>
        <w:t>At the Closing, upon the terms and subject to the conditions set forth in this Agreement, including</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w:t>
      </w:r>
      <w:r>
        <w:rPr>
          <w:rFonts w:ascii="Arial" w:cs="Arial" w:eastAsia="Arial" w:hAnsi="Arial"/>
          <w:sz w:val="16"/>
          <w:szCs w:val="16"/>
          <w:u w:val="single" w:color="auto"/>
          <w:color w:val="auto"/>
        </w:rPr>
        <w:t>Section 2.2</w:t>
      </w:r>
      <w:r>
        <w:rPr>
          <w:rFonts w:ascii="Arial" w:cs="Arial" w:eastAsia="Arial" w:hAnsi="Arial"/>
          <w:sz w:val="16"/>
          <w:szCs w:val="16"/>
          <w:color w:val="auto"/>
        </w:rPr>
        <w:t>, Novartis shall, and shall cause its Affiliates to, sell, transfer, assign, convey, and deliver to Purchaser, and Purchaser shall purchase and accept from Novartis, free and clear of any and all Encumbrances, except for Permitted Encumbrances, if any, all of Novartis’ right, title, and interest in, to, and under the following assets, solely to the extent that they relate exclusively to the Products in the Territory (the “</w:t>
      </w:r>
      <w:r>
        <w:rPr>
          <w:rFonts w:ascii="Arial" w:cs="Arial" w:eastAsia="Arial" w:hAnsi="Arial"/>
          <w:sz w:val="16"/>
          <w:szCs w:val="16"/>
          <w:b w:val="1"/>
          <w:bCs w:val="1"/>
          <w:color w:val="auto"/>
        </w:rPr>
        <w:t>Transferred Assets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2300" w:hanging="218"/>
        <w:spacing w:after="0"/>
        <w:tabs>
          <w:tab w:leader="none" w:pos="2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Product NDAs; and</w:t>
      </w:r>
    </w:p>
    <w:p>
      <w:pPr>
        <w:spacing w:after="0" w:line="225" w:lineRule="exact"/>
        <w:rPr>
          <w:rFonts w:ascii="Arial" w:cs="Arial" w:eastAsia="Arial" w:hAnsi="Arial"/>
          <w:sz w:val="18"/>
          <w:szCs w:val="18"/>
          <w:color w:val="auto"/>
        </w:rPr>
      </w:pPr>
    </w:p>
    <w:p>
      <w:pPr>
        <w:ind w:left="2340" w:hanging="258"/>
        <w:spacing w:after="0"/>
        <w:tabs>
          <w:tab w:leader="none" w:pos="2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Transferred 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6" w:name="page137"/>
    <w:bookmarkEnd w:id="136"/>
    <w:p>
      <w:pPr>
        <w:jc w:val="both"/>
        <w:ind w:firstLine="1304"/>
        <w:spacing w:after="0" w:line="263" w:lineRule="auto"/>
        <w:tabs>
          <w:tab w:leader="none" w:pos="155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Excluded Assets. </w:t>
      </w:r>
      <w:r>
        <w:rPr>
          <w:rFonts w:ascii="Arial" w:cs="Arial" w:eastAsia="Arial" w:hAnsi="Arial"/>
          <w:sz w:val="18"/>
          <w:szCs w:val="18"/>
          <w:color w:val="auto"/>
        </w:rPr>
        <w:t>Notwithstanding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2.1(a)</w:t>
      </w:r>
      <w:r>
        <w:rPr>
          <w:rFonts w:ascii="Arial" w:cs="Arial" w:eastAsia="Arial" w:hAnsi="Arial"/>
          <w:sz w:val="18"/>
          <w:szCs w:val="18"/>
          <w:color w:val="auto"/>
        </w:rPr>
        <w:t>, nothing herein contained shall be deemed to sell, transfer, assign, convey, or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Purchaser, and Novartis (and its Affiliates, as applicable) shall retain all right, title, and interest in, to, and under the following assets (the “</w:t>
      </w:r>
      <w:r>
        <w:rPr>
          <w:rFonts w:ascii="Arial" w:cs="Arial" w:eastAsia="Arial" w:hAnsi="Arial"/>
          <w:sz w:val="18"/>
          <w:szCs w:val="18"/>
          <w:b w:val="1"/>
          <w:bCs w:val="1"/>
          <w:color w:val="auto"/>
        </w:rPr>
        <w:t>Excluded</w:t>
      </w:r>
      <w:r>
        <w:rPr>
          <w:rFonts w:ascii="Arial" w:cs="Arial" w:eastAsia="Arial" w:hAnsi="Arial"/>
          <w:sz w:val="18"/>
          <w:szCs w:val="18"/>
          <w:color w:val="auto"/>
        </w:rPr>
        <w:t xml:space="preserve"> </w:t>
      </w:r>
      <w:r>
        <w:rPr>
          <w:rFonts w:ascii="Arial" w:cs="Arial" w:eastAsia="Arial" w:hAnsi="Arial"/>
          <w:sz w:val="18"/>
          <w:szCs w:val="18"/>
          <w:b w:val="1"/>
          <w:bCs w:val="1"/>
          <w:color w:val="auto"/>
        </w:rPr>
        <w:t>Assets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2082"/>
        <w:spacing w:after="0" w:line="279" w:lineRule="auto"/>
        <w:tabs>
          <w:tab w:leader="none" w:pos="2295"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assets that relate to (A) any Ex-Territory Product, (B) any active product ingredient other than the Drug Substance, (C) any variant of the Drug Substance, (D) any product other than the Products in the Territory, (E) any pharmaceutical products marketed and sold by Novartis and/or its Affiliates under the brand name Maxitrol in any formulation other than as a suspension, or (F) any right to any NDA or other right to sell products containing the Drug Substance held or used in the Territory by the Sandoz (generics) business of Novartis AG;</w:t>
      </w:r>
    </w:p>
    <w:p>
      <w:pPr>
        <w:spacing w:after="0" w:line="171" w:lineRule="exact"/>
        <w:rPr>
          <w:rFonts w:ascii="Arial" w:cs="Arial" w:eastAsia="Arial" w:hAnsi="Arial"/>
          <w:sz w:val="17"/>
          <w:szCs w:val="17"/>
          <w:color w:val="auto"/>
        </w:rPr>
      </w:pPr>
    </w:p>
    <w:p>
      <w:pPr>
        <w:ind w:firstLine="2082"/>
        <w:spacing w:after="0" w:line="277" w:lineRule="auto"/>
        <w:tabs>
          <w:tab w:leader="none" w:pos="234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Inventory (which shall be purchased by Purchaser in separate transactions subject to and in accordance with the terms and conditions contained in the Supply Agreement);</w:t>
      </w:r>
    </w:p>
    <w:p>
      <w:pPr>
        <w:spacing w:after="0" w:line="170" w:lineRule="exact"/>
        <w:rPr>
          <w:rFonts w:ascii="Arial" w:cs="Arial" w:eastAsia="Arial" w:hAnsi="Arial"/>
          <w:sz w:val="18"/>
          <w:szCs w:val="18"/>
          <w:color w:val="auto"/>
        </w:rPr>
      </w:pPr>
    </w:p>
    <w:p>
      <w:pPr>
        <w:ind w:left="2400" w:hanging="318"/>
        <w:spacing w:after="0"/>
        <w:tabs>
          <w:tab w:leader="none" w:pos="24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subject to the license rights granted to Purchaser in the License Agreement, the Licensed IP;</w:t>
      </w:r>
    </w:p>
    <w:p>
      <w:pPr>
        <w:spacing w:after="0" w:line="225" w:lineRule="exact"/>
        <w:rPr>
          <w:rFonts w:ascii="Arial" w:cs="Arial" w:eastAsia="Arial" w:hAnsi="Arial"/>
          <w:sz w:val="18"/>
          <w:szCs w:val="18"/>
          <w:color w:val="auto"/>
        </w:rPr>
      </w:pPr>
    </w:p>
    <w:p>
      <w:pPr>
        <w:ind w:left="2400" w:hanging="318"/>
        <w:spacing w:after="0"/>
        <w:tabs>
          <w:tab w:leader="none" w:pos="24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Novartis Names and Marks and any trademark, service mark, trade dress, logo, trade name, or corporate name similar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related thereto;</w:t>
      </w:r>
    </w:p>
    <w:p>
      <w:pPr>
        <w:spacing w:after="0" w:line="210" w:lineRule="exact"/>
        <w:rPr>
          <w:rFonts w:ascii="Arial" w:cs="Arial" w:eastAsia="Arial" w:hAnsi="Arial"/>
          <w:sz w:val="16"/>
          <w:szCs w:val="16"/>
          <w:color w:val="auto"/>
        </w:rPr>
      </w:pPr>
    </w:p>
    <w:p>
      <w:pPr>
        <w:ind w:right="20" w:firstLine="2082"/>
        <w:spacing w:after="0" w:line="308" w:lineRule="auto"/>
        <w:tabs>
          <w:tab w:leader="none" w:pos="2346"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accounts receivable, cash, and pre-paid expenses, whether or not relating to the Drug Substance, the Products or the Transferred Assets for the period prior to the Closing Date (including payments received with respect thereto on or after the Closing Date);</w:t>
      </w:r>
    </w:p>
    <w:p>
      <w:pPr>
        <w:spacing w:after="0" w:line="146" w:lineRule="exact"/>
        <w:rPr>
          <w:rFonts w:ascii="Arial" w:cs="Arial" w:eastAsia="Arial" w:hAnsi="Arial"/>
          <w:sz w:val="17"/>
          <w:szCs w:val="17"/>
          <w:color w:val="auto"/>
        </w:rPr>
      </w:pPr>
    </w:p>
    <w:p>
      <w:pPr>
        <w:ind w:firstLine="2082"/>
        <w:spacing w:after="0" w:line="277" w:lineRule="auto"/>
        <w:tabs>
          <w:tab w:leader="none" w:pos="238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real property and leaseholds (together with all fixtures and fittings related to any property), physical plant, machinery, equipment, supplies, motor vehicles, and laboratory or office equipment;</w:t>
      </w:r>
    </w:p>
    <w:p>
      <w:pPr>
        <w:spacing w:after="0" w:line="170" w:lineRule="exact"/>
        <w:rPr>
          <w:rFonts w:ascii="Arial" w:cs="Arial" w:eastAsia="Arial" w:hAnsi="Arial"/>
          <w:sz w:val="18"/>
          <w:szCs w:val="18"/>
          <w:color w:val="auto"/>
        </w:rPr>
      </w:pPr>
    </w:p>
    <w:p>
      <w:pPr>
        <w:ind w:left="2440" w:hanging="358"/>
        <w:spacing w:after="0"/>
        <w:tabs>
          <w:tab w:leader="none" w:pos="24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global safety database relating to the Products and source documents associated with individual case safety reports;</w:t>
      </w:r>
    </w:p>
    <w:p>
      <w:pPr>
        <w:spacing w:after="0" w:line="248" w:lineRule="exact"/>
        <w:rPr>
          <w:rFonts w:ascii="Arial" w:cs="Arial" w:eastAsia="Arial" w:hAnsi="Arial"/>
          <w:sz w:val="16"/>
          <w:szCs w:val="16"/>
          <w:color w:val="auto"/>
        </w:rPr>
      </w:pPr>
    </w:p>
    <w:p>
      <w:pPr>
        <w:jc w:val="both"/>
        <w:ind w:firstLine="2082"/>
        <w:spacing w:after="0" w:line="259" w:lineRule="auto"/>
        <w:tabs>
          <w:tab w:leader="none" w:pos="24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rights or assets, including those with the same Drug Substances of the Products, belonging to the generic business of Sandoz (which is the generic division of Novartis) or any of its successors, including for the avoidance of doubt any rights to (i) the dexamethasone neomycin sulfate, polymyxin B sulfate product sold by Sandoz in the Territory under the ANDA A062341, or (ii) the 0.5% apraclonidine hydrochloride sold by Sandoz in the Territory as an authorized generic product;</w:t>
      </w:r>
    </w:p>
    <w:p>
      <w:pPr>
        <w:spacing w:after="0" w:line="186" w:lineRule="exact"/>
        <w:rPr>
          <w:rFonts w:ascii="Arial" w:cs="Arial" w:eastAsia="Arial" w:hAnsi="Arial"/>
          <w:sz w:val="18"/>
          <w:szCs w:val="18"/>
          <w:color w:val="auto"/>
        </w:rPr>
      </w:pPr>
    </w:p>
    <w:p>
      <w:pPr>
        <w:ind w:left="2380" w:hanging="298"/>
        <w:spacing w:after="0"/>
        <w:tabs>
          <w:tab w:leader="none" w:pos="2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rights for countries outside the Territory;</w:t>
      </w:r>
    </w:p>
    <w:p>
      <w:pPr>
        <w:spacing w:after="0" w:line="225" w:lineRule="exact"/>
        <w:rPr>
          <w:rFonts w:ascii="Arial" w:cs="Arial" w:eastAsia="Arial" w:hAnsi="Arial"/>
          <w:sz w:val="18"/>
          <w:szCs w:val="18"/>
          <w:color w:val="auto"/>
        </w:rPr>
      </w:pPr>
    </w:p>
    <w:p>
      <w:pPr>
        <w:ind w:left="2340" w:hanging="258"/>
        <w:spacing w:after="0"/>
        <w:tabs>
          <w:tab w:leader="none" w:pos="23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Excluded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7" w:name="page138"/>
    <w:bookmarkEnd w:id="137"/>
    <w:p>
      <w:pPr>
        <w:ind w:left="2380" w:hanging="298"/>
        <w:spacing w:after="0"/>
        <w:tabs>
          <w:tab w:leader="none" w:pos="2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employees of Novartis and its Affiliates;</w:t>
      </w:r>
    </w:p>
    <w:p>
      <w:pPr>
        <w:spacing w:after="0" w:line="225" w:lineRule="exact"/>
        <w:rPr>
          <w:rFonts w:ascii="Arial" w:cs="Arial" w:eastAsia="Arial" w:hAnsi="Arial"/>
          <w:sz w:val="18"/>
          <w:szCs w:val="18"/>
          <w:color w:val="auto"/>
        </w:rPr>
      </w:pPr>
    </w:p>
    <w:p>
      <w:pPr>
        <w:ind w:left="2460" w:hanging="378"/>
        <w:spacing w:after="0"/>
        <w:tabs>
          <w:tab w:leader="none" w:pos="2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rights in the Territory relating to new combinations of the Drug Substance or the Products with one or more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active ingredient or device;</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(xiii) any rights under Novartis’ insurance policies, whether or not related to the Drug Substance, the Products,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Transferred Assets;</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(xiv) originals of books and records that Novartis and its Affiliates are required to retain pursuant to any Law, subject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11" w:lineRule="exact"/>
        <w:rPr>
          <w:sz w:val="20"/>
          <w:szCs w:val="20"/>
          <w:color w:val="auto"/>
        </w:rPr>
      </w:pPr>
    </w:p>
    <w:p>
      <w:pPr>
        <w:ind w:left="2420" w:hanging="338"/>
        <w:spacing w:after="0"/>
        <w:tabs>
          <w:tab w:leader="none" w:pos="2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books and records relating to employees of Novartis and/or its Affiliates;</w:t>
      </w:r>
    </w:p>
    <w:p>
      <w:pPr>
        <w:spacing w:after="0" w:line="225" w:lineRule="exact"/>
        <w:rPr>
          <w:rFonts w:ascii="Arial" w:cs="Arial" w:eastAsia="Arial" w:hAnsi="Arial"/>
          <w:sz w:val="18"/>
          <w:szCs w:val="18"/>
          <w:color w:val="auto"/>
        </w:rPr>
      </w:pPr>
    </w:p>
    <w:p>
      <w:pPr>
        <w:ind w:left="2480" w:hanging="398"/>
        <w:spacing w:after="0"/>
        <w:tabs>
          <w:tab w:leader="none" w:pos="2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books and records that comprise Novartis’ or any of its Affiliates’ accounting or Tax records;</w:t>
      </w:r>
    </w:p>
    <w:p>
      <w:pPr>
        <w:spacing w:after="0" w:line="225" w:lineRule="exact"/>
        <w:rPr>
          <w:rFonts w:ascii="Arial" w:cs="Arial" w:eastAsia="Arial" w:hAnsi="Arial"/>
          <w:sz w:val="18"/>
          <w:szCs w:val="18"/>
          <w:color w:val="auto"/>
        </w:rPr>
      </w:pPr>
    </w:p>
    <w:p>
      <w:pPr>
        <w:jc w:val="both"/>
        <w:ind w:firstLine="2082"/>
        <w:spacing w:after="0" w:line="263" w:lineRule="auto"/>
        <w:tabs>
          <w:tab w:leader="none" w:pos="25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refunds, claims for refunds, or rights to receive refunds from any Governmental Entity with respect to any and all Taxes paid or to be paid by Novartis or any of its Affiliates (including any and all Taxes paid or to be paid by any of Novartis’ Affiliates on behalf of Novartis);</w:t>
      </w:r>
    </w:p>
    <w:p>
      <w:pPr>
        <w:spacing w:after="0" w:line="183" w:lineRule="exact"/>
        <w:rPr>
          <w:rFonts w:ascii="Arial" w:cs="Arial" w:eastAsia="Arial" w:hAnsi="Arial"/>
          <w:sz w:val="18"/>
          <w:szCs w:val="18"/>
          <w:color w:val="auto"/>
        </w:rPr>
      </w:pPr>
    </w:p>
    <w:p>
      <w:pPr>
        <w:ind w:left="2580" w:hanging="498"/>
        <w:spacing w:after="0"/>
        <w:tabs>
          <w:tab w:leader="none" w:pos="2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rights of Novartis arising under this Agreement or from the consummation of the transactions contemplated hereby;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480" w:hanging="398"/>
        <w:spacing w:after="0"/>
        <w:tabs>
          <w:tab w:leader="none" w:pos="2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all other assets, properties, rights, and interests of Novartis and its Affiliates not described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Transfer of Certain Assets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Parties acknowledge and agree that, notwithstanding anything to the contrary in this Agreement, in no event shall this Agreement be interpreted as a transfer of, nor shall it require the transfer, assignment, or assumption of, by either Party, any rights or obligations, if the transferring party, or its Affiliates, do not have the right to transfer such rights and obligations or if such transfer, assignment, or assumption would be in violation of applicable Law.</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1557"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Parties acknowledge and agree that, notwithstanding anything to the contrary in this Agreement, Novartis and its Affiliates will not be obliged to sell, transfer, assign, convey, deliver, exercise or grant any licenses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otherwise), or perform any activities, and Purchaser will not be obliged to purchase, accept, exercise or grant any license rights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otherwise) and will not perform any activities, related to any of the Transferred Assets and/or the Licensed IP to the extent such Transferred Assets and/or the Licensed IP relate to countries that are, as of the date hereof, subject to comprehensive U.S. trade sanctions (meaning country-wide sanctions not limited to specific sectors or parties) administered by the U.S. Treasury Department’s Office of Foreign Assets Control.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8" w:name="page139"/>
    <w:bookmarkEnd w:id="138"/>
    <w:p>
      <w:pPr>
        <w:jc w:val="both"/>
        <w:ind w:left="120" w:firstLine="648"/>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Risk of Loss</w:t>
      </w:r>
      <w:r>
        <w:rPr>
          <w:rFonts w:ascii="Arial" w:cs="Arial" w:eastAsia="Arial" w:hAnsi="Arial"/>
          <w:sz w:val="18"/>
          <w:szCs w:val="18"/>
          <w:color w:val="auto"/>
        </w:rPr>
        <w:t>. Title and risk of loss or damage to the Transferred Assets shall pass to Purchaser on the Closing Date. As of the Closing Date, the Transferred Assets shall cease to be insured by Novartis’ insurance policies or by Novartis’ self-insurance, as the case may be, and Purchaser shall have no right or obligation with respect to any such policy.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ASSUMED LIABILITIES AND EXCLUDED LIABILITIES</w:t>
      </w:r>
    </w:p>
    <w:p>
      <w:pPr>
        <w:spacing w:after="0" w:line="211"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Assignment and Assumption of Assumed Liabilities</w:t>
      </w:r>
      <w:r>
        <w:rPr>
          <w:rFonts w:ascii="Arial" w:cs="Arial" w:eastAsia="Arial" w:hAnsi="Arial"/>
          <w:sz w:val="18"/>
          <w:szCs w:val="18"/>
          <w:color w:val="auto"/>
        </w:rPr>
        <w:t>. At the Closing, upon the terms and subject to the conditions set forth in this Agreement, Novartis shall assign to Purchaser, and, provided that Purchaser shall have no right to take any such action in Novartis’ (or any of its Affiliates’) name, Purchaser shall assume, be responsible for, and pay, perform, and discharge when due, any Liabilities arising from the ownership or use of the Transferred Assets and/or the Licensed IP by or on behalf of Purchaser (or any of its successors or assignees) or the manufacture, sale, marketing, distribution, or other commercialization of the Products by or on behalf of Purchaser (or any of its successors or assignees), including (a) any Tax liabilities arising within the Territory after the Closing Date, and (b) any Liabilities arising within or outside the Territory in respect of any Product Liability Claim, intellectual property infringement claim or misappropriation claim brought by any Third Party after the Closing Date relating to the Drug Substance or the Products except, in each case, to the extent arising out of Drug Substance or Products manufactured as of the Closing Date (collectively, “</w:t>
      </w:r>
      <w:r>
        <w:rPr>
          <w:rFonts w:ascii="Arial" w:cs="Arial" w:eastAsia="Arial" w:hAnsi="Arial"/>
          <w:sz w:val="18"/>
          <w:szCs w:val="18"/>
          <w:b w:val="1"/>
          <w:bCs w:val="1"/>
          <w:color w:val="auto"/>
        </w:rPr>
        <w:t>Assumed</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Liabilities</w:t>
      </w:r>
      <w:r>
        <w:rPr>
          <w:rFonts w:ascii="Arial" w:cs="Arial" w:eastAsia="Arial" w:hAnsi="Arial"/>
          <w:sz w:val="18"/>
          <w:szCs w:val="18"/>
          <w:color w:val="auto"/>
        </w:rPr>
        <w:t>”).</w:t>
      </w:r>
    </w:p>
    <w:p>
      <w:pPr>
        <w:spacing w:after="0" w:line="196" w:lineRule="exact"/>
        <w:rPr>
          <w:sz w:val="20"/>
          <w:szCs w:val="20"/>
          <w:color w:val="auto"/>
        </w:rPr>
      </w:pPr>
    </w:p>
    <w:p>
      <w:pPr>
        <w:jc w:val="both"/>
        <w:ind w:left="120"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Notwithstanding anything in this Agreement to the contrary, Purchaser shall not assume and shall not be responsible to pay, perform or discharge and Novartis shall retain and remain responsible for and pay, perform, and discharge any and all Liabilities other than the Assumed Liabilities (the “</w:t>
      </w:r>
      <w:r>
        <w:rPr>
          <w:rFonts w:ascii="Arial" w:cs="Arial" w:eastAsia="Arial" w:hAnsi="Arial"/>
          <w:sz w:val="18"/>
          <w:szCs w:val="18"/>
          <w:b w:val="1"/>
          <w:bCs w:val="1"/>
          <w:color w:val="auto"/>
        </w:rPr>
        <w:t>Excluded Liabilities</w:t>
      </w:r>
      <w:r>
        <w:rPr>
          <w:rFonts w:ascii="Arial" w:cs="Arial" w:eastAsia="Arial" w:hAnsi="Arial"/>
          <w:sz w:val="18"/>
          <w:szCs w:val="18"/>
          <w:color w:val="auto"/>
        </w:rPr>
        <w:t>”), including:</w:t>
      </w:r>
    </w:p>
    <w:p>
      <w:pPr>
        <w:spacing w:after="0" w:line="184" w:lineRule="exact"/>
        <w:rPr>
          <w:sz w:val="20"/>
          <w:szCs w:val="20"/>
          <w:color w:val="auto"/>
        </w:rPr>
      </w:pPr>
    </w:p>
    <w:p>
      <w:pPr>
        <w:ind w:left="1540" w:hanging="236"/>
        <w:spacing w:after="0"/>
        <w:tabs>
          <w:tab w:leader="none" w:pos="1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Liabilities related to or arising out of the Excluded Assets;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Liabilities under any of the Excluded Agreements;</w:t>
      </w:r>
    </w:p>
    <w:p>
      <w:pPr>
        <w:spacing w:after="0" w:line="225" w:lineRule="exact"/>
        <w:rPr>
          <w:rFonts w:ascii="Arial" w:cs="Arial" w:eastAsia="Arial" w:hAnsi="Arial"/>
          <w:sz w:val="18"/>
          <w:szCs w:val="18"/>
          <w:color w:val="auto"/>
        </w:rPr>
      </w:pPr>
    </w:p>
    <w:p>
      <w:pPr>
        <w:ind w:firstLine="1304"/>
        <w:spacing w:after="0" w:line="308" w:lineRule="auto"/>
        <w:tabs>
          <w:tab w:leader="none" w:pos="1549"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Liabilities in respect of any pending or threatened claim, demand, action or proceeding arising out of, relating to or otherwise in respect of the Transferred Assets to the extent such claim, demand, action or proceeding relates to any period prior to the Closing Date;</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5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Liabilities arising outside the Territory in respect of any Product Liability Claim, intellectual property infringement claim or misappropriation claim brought by any Third Party in respect of Product that was sold outside the Territory by a party other than Purchaser (or anyone acting on the behalf of Purchaser);</w:t>
      </w:r>
    </w:p>
    <w:p>
      <w:pPr>
        <w:spacing w:after="0" w:line="183" w:lineRule="exact"/>
        <w:rPr>
          <w:rFonts w:ascii="Arial" w:cs="Arial" w:eastAsia="Arial" w:hAnsi="Arial"/>
          <w:sz w:val="18"/>
          <w:szCs w:val="18"/>
          <w:color w:val="auto"/>
        </w:rPr>
      </w:pPr>
    </w:p>
    <w:p>
      <w:pPr>
        <w:ind w:firstLine="1304"/>
        <w:spacing w:after="0" w:line="308" w:lineRule="auto"/>
        <w:tabs>
          <w:tab w:leader="none" w:pos="1569"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Liabilities arising within the Territory in respect of any Product Liability Claim, intellectual property infringement claim or misappropriation claim brought by any Third Party to the extent arising out of Drug Substance or Products manufactured as of the Closing Date;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9" w:name="page140"/>
    <w:bookmarkEnd w:id="139"/>
    <w:p>
      <w:pPr>
        <w:ind w:left="1520" w:hanging="216"/>
        <w:spacing w:after="0"/>
        <w:tabs>
          <w:tab w:leader="none" w:pos="1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Liabilities associated with debt, loans or credit facilities of Novartis, any of its Affiliates owing to financial institutions; and</w:t>
      </w:r>
    </w:p>
    <w:p>
      <w:pPr>
        <w:spacing w:after="0" w:line="236" w:lineRule="exact"/>
        <w:rPr>
          <w:rFonts w:ascii="Arial" w:cs="Arial" w:eastAsia="Arial" w:hAnsi="Arial"/>
          <w:sz w:val="17"/>
          <w:szCs w:val="17"/>
          <w:color w:val="auto"/>
        </w:rPr>
      </w:pPr>
    </w:p>
    <w:p>
      <w:pPr>
        <w:ind w:left="1580" w:hanging="276"/>
        <w:spacing w:after="0"/>
        <w:tabs>
          <w:tab w:leader="none" w:pos="1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Liabilities arising out of, in respect of or in connection with the failure by Novartis or any of its Affiliates to comply with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LICENSES</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Grant of Licenses</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277" w:lineRule="auto"/>
        <w:tabs>
          <w:tab w:leader="none" w:pos="1554"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Licenses. </w:t>
      </w:r>
      <w:r>
        <w:rPr>
          <w:rFonts w:ascii="Arial" w:cs="Arial" w:eastAsia="Arial" w:hAnsi="Arial"/>
          <w:sz w:val="18"/>
          <w:szCs w:val="18"/>
          <w:color w:val="auto"/>
        </w:rPr>
        <w:t>The entire consideration for the licenses under the License Agreement shall form part of this Agreement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and the transfer of Transferred Assets) and the licenses shall be fully paid-up, royalty-free, and perpetual.</w:t>
      </w:r>
    </w:p>
    <w:p>
      <w:pPr>
        <w:spacing w:after="0" w:line="170" w:lineRule="exact"/>
        <w:rPr>
          <w:rFonts w:ascii="Arial" w:cs="Arial" w:eastAsia="Arial" w:hAnsi="Arial"/>
          <w:sz w:val="18"/>
          <w:szCs w:val="18"/>
          <w:color w:val="auto"/>
        </w:rPr>
      </w:pPr>
    </w:p>
    <w:p>
      <w:pPr>
        <w:jc w:val="both"/>
        <w:ind w:firstLine="1304"/>
        <w:spacing w:after="0" w:line="270" w:lineRule="auto"/>
        <w:tabs>
          <w:tab w:leader="none" w:pos="157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Grant-back License. </w:t>
      </w:r>
      <w:r>
        <w:rPr>
          <w:rFonts w:ascii="Arial" w:cs="Arial" w:eastAsia="Arial" w:hAnsi="Arial"/>
          <w:sz w:val="17"/>
          <w:szCs w:val="17"/>
          <w:color w:val="auto"/>
        </w:rPr>
        <w:t>From and after the Closing, Purchaser hereby grants Novartis a non-exclusive, fully paid-up, royalty-free,</w:t>
      </w:r>
      <w:r>
        <w:rPr>
          <w:rFonts w:ascii="Arial" w:cs="Arial" w:eastAsia="Arial" w:hAnsi="Arial"/>
          <w:sz w:val="17"/>
          <w:szCs w:val="17"/>
          <w:i w:val="1"/>
          <w:iCs w:val="1"/>
          <w:color w:val="auto"/>
        </w:rPr>
        <w:t xml:space="preserve"> </w:t>
      </w:r>
      <w:r>
        <w:rPr>
          <w:rFonts w:ascii="Arial" w:cs="Arial" w:eastAsia="Arial" w:hAnsi="Arial"/>
          <w:sz w:val="17"/>
          <w:szCs w:val="17"/>
          <w:color w:val="auto"/>
        </w:rPr>
        <w:t>perpetual license, with the right to sublicense to its Affiliates or sub-contractors, under the Transferred IP and a right to use and reference the NDAs in respect of the Drug Substance and the Products solely (i) to exercise Novartis’ rights and perform Novartis’ obligations under this Agreement, the Supply Agreement, and the other Ancillary Agreements, (ii) as necessary to comply with its obligations under Law, (iii) to the extent it is reasonably necessary for the defense or prosecution of any legal or regulatory proceeding in which Novartis or any of its Affiliates is a party or a potential party, (iv) to conduct research activities with respect to the Drug Substance and/or Products in the Territory, and/or (v) to research, have researched, develop, have developed, use, have used, improve, have improved, market, have marketed, practice, have practiced, make, have made, offer for sale, sell, have sold, distribute, have distributed, import, have imported, export, have exported and otherwise exploit, have exploited, combinations of the Drug Substance or the Products with one or more other active ingredient or device.</w:t>
      </w:r>
    </w:p>
    <w:p>
      <w:pPr>
        <w:spacing w:after="0" w:line="181" w:lineRule="exact"/>
        <w:rPr>
          <w:sz w:val="20"/>
          <w:szCs w:val="20"/>
          <w:color w:val="auto"/>
        </w:rPr>
      </w:pPr>
    </w:p>
    <w:p>
      <w:pPr>
        <w:jc w:val="both"/>
        <w:ind w:left="120" w:firstLine="648"/>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Reservation of Rights</w:t>
      </w:r>
      <w:r>
        <w:rPr>
          <w:rFonts w:ascii="Arial" w:cs="Arial" w:eastAsia="Arial" w:hAnsi="Arial"/>
          <w:sz w:val="17"/>
          <w:szCs w:val="17"/>
          <w:color w:val="auto"/>
        </w:rPr>
        <w:t>. From and after the Closing, without limiting any other rights that Novartis, its Affiliates, any of their service providers, and/or Other Partners may have, Novartis, its Affiliates, any of their service providers, and/or Other Partners (a) shall not be restricted from conducting research and development activities with respect to the Drug Substance, the Products, and/or the Ex-Territory Products in the Territory, (b) may manufacture and import or have manufactured and imported the Ex-Territory Products in the Territory solely for commercialization outside the Territory, and (c) may manufacture and import or have the Products manufactured and imported within or outside the Territory for sale to Purchaser in accordance with the Supply Agreement. For the avoidance of doubt, nothing in this Agreement or any Ancillary Agreement restricts Novartis and/or its Affiliates from developing, manufacturing, distributing, and/or selling a combination product which includes both the Drug Substance as an active ingredient and another compound as an active ingredient in the Territory.</w:t>
      </w:r>
    </w:p>
    <w:p>
      <w:pPr>
        <w:spacing w:after="0" w:line="178"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4.3 Restriction to Territory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From and after the Closing, Purchaser and its Affiliates may research, have researched, develop, have developed, manufacture, have manufactured, use, have used, and import and/or have imported the Products outside the Territory for commercialization in the Territory. Purchaser and its Affiliates shall not sell or promote the Products outside the Territory.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0" w:name="page141"/>
    <w:bookmarkEnd w:id="140"/>
    <w:p>
      <w:pPr>
        <w:jc w:val="both"/>
        <w:ind w:left="-20" w:firstLine="1304"/>
        <w:spacing w:after="0" w:line="259" w:lineRule="auto"/>
        <w:tabs>
          <w:tab w:leader="none" w:pos="15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From and after the Closing, Novartis, its Affiliates, any of their service providers and/or Other Partners may manufacture and import or have manufactured and imported the Ex-Territory Product in the Territory for commercialization outside the Territory. Except as contemplated under the Supply Agreement, Novartis and its Affiliates shall not sell or promote or otherwise commercialize the Products or the Ex-Territory Product in the Territory.</w:t>
      </w:r>
    </w:p>
    <w:p>
      <w:pPr>
        <w:spacing w:after="0" w:line="186" w:lineRule="exact"/>
        <w:rPr>
          <w:rFonts w:ascii="Arial" w:cs="Arial" w:eastAsia="Arial" w:hAnsi="Arial"/>
          <w:sz w:val="18"/>
          <w:szCs w:val="18"/>
          <w:color w:val="auto"/>
        </w:rPr>
      </w:pPr>
    </w:p>
    <w:p>
      <w:pPr>
        <w:jc w:val="both"/>
        <w:ind w:left="-20" w:firstLine="1304"/>
        <w:spacing w:after="0" w:line="259" w:lineRule="auto"/>
        <w:tabs>
          <w:tab w:leader="none" w:pos="15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Purchaser or its Affiliates enter into an agreement to have the Products sold or promoted by a Third Party, the rights to have the Products sold or promoted shall be limited to jurisdictions within the Territory. If Purchaser or its Affiliates sells, transfers, or otherwise divests to a Third Party the Product NDAs and rights to sell, promote, have sold, or have promoted the Products, then the rights to have the Products sold or promoted shall be limited (to the extent permitted by applicable Law) to jurisdictions within the Territory.</w:t>
      </w:r>
    </w:p>
    <w:p>
      <w:pPr>
        <w:spacing w:after="0" w:line="186" w:lineRule="exact"/>
        <w:rPr>
          <w:rFonts w:ascii="Arial" w:cs="Arial" w:eastAsia="Arial" w:hAnsi="Arial"/>
          <w:sz w:val="18"/>
          <w:szCs w:val="18"/>
          <w:color w:val="auto"/>
        </w:rPr>
      </w:pPr>
    </w:p>
    <w:p>
      <w:pPr>
        <w:jc w:val="both"/>
        <w:ind w:left="-20" w:firstLine="1304"/>
        <w:spacing w:after="0" w:line="275" w:lineRule="auto"/>
        <w:tabs>
          <w:tab w:leader="none" w:pos="1541"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Novartis or its Affiliates enter into an agreement to have an Ex-Territory Product sold or promoted by a Third Party, the rights to have such Ex-Territory Product sold or promoted shall be limited to jurisdictions outside the Territory. If Novartis or its Affiliates sells, transfers, or otherwise divests to an Other Partner the Products marketing authorizations (including any equivalent of an NDA in any jurisdiction outside of the United States) and rights to sell, promote, have sold, or have promoted an Ex-Territory Product, then the rights to have such Ex-Territory Product sold or promoted shall be limited (to the extent permitted by applicable Law) to jurisdictions outside the Territory.</w:t>
      </w:r>
    </w:p>
    <w:p>
      <w:pPr>
        <w:spacing w:after="0" w:line="17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PAYMENTS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225" w:lineRule="exact"/>
        <w:rPr>
          <w:sz w:val="20"/>
          <w:szCs w:val="20"/>
          <w:color w:val="auto"/>
        </w:rPr>
      </w:pPr>
    </w:p>
    <w:p>
      <w:pPr>
        <w:ind w:left="-20" w:right="20" w:firstLine="1304"/>
        <w:spacing w:after="0" w:line="277" w:lineRule="auto"/>
        <w:tabs>
          <w:tab w:leader="none" w:pos="15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total consideration for the purchase of the Transferred Assets as described herein and for the provision of the licenses under the License Agreement shall be:</w:t>
      </w:r>
    </w:p>
    <w:p>
      <w:pPr>
        <w:spacing w:after="0" w:line="166" w:lineRule="exact"/>
        <w:rPr>
          <w:rFonts w:ascii="Arial" w:cs="Arial" w:eastAsia="Arial" w:hAnsi="Arial"/>
          <w:sz w:val="18"/>
          <w:szCs w:val="18"/>
          <w:color w:val="auto"/>
        </w:rPr>
      </w:pPr>
    </w:p>
    <w:p>
      <w:pPr>
        <w:ind w:left="2280" w:hanging="218"/>
        <w:spacing w:after="0"/>
        <w:tabs>
          <w:tab w:leader="none" w:pos="22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an amount in cash equal to USD $14,050,000 (fourteen million fifty thousand US dollars) (the “</w:t>
      </w:r>
      <w:r>
        <w:rPr>
          <w:rFonts w:ascii="Arial" w:cs="Arial" w:eastAsia="Arial" w:hAnsi="Arial"/>
          <w:sz w:val="17"/>
          <w:szCs w:val="17"/>
          <w:b w:val="1"/>
          <w:bCs w:val="1"/>
          <w:color w:val="auto"/>
        </w:rPr>
        <w:t>Purchase Price</w:t>
      </w:r>
      <w:r>
        <w:rPr>
          <w:rFonts w:ascii="Arial" w:cs="Arial" w:eastAsia="Arial" w:hAnsi="Arial"/>
          <w:sz w:val="17"/>
          <w:szCs w:val="17"/>
          <w:color w:val="auto"/>
        </w:rPr>
        <w:t>”); and</w:t>
      </w:r>
    </w:p>
    <w:p>
      <w:pPr>
        <w:spacing w:after="0" w:line="240" w:lineRule="exact"/>
        <w:rPr>
          <w:rFonts w:ascii="Arial" w:cs="Arial" w:eastAsia="Arial" w:hAnsi="Arial"/>
          <w:sz w:val="17"/>
          <w:szCs w:val="17"/>
          <w:color w:val="auto"/>
        </w:rPr>
      </w:pPr>
    </w:p>
    <w:p>
      <w:pPr>
        <w:ind w:left="2320" w:hanging="258"/>
        <w:spacing w:after="0"/>
        <w:tabs>
          <w:tab w:leader="none" w:pos="23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assumption of the Assumed Liabilities.</w:t>
      </w:r>
    </w:p>
    <w:p>
      <w:pPr>
        <w:spacing w:after="0" w:line="225" w:lineRule="exact"/>
        <w:rPr>
          <w:rFonts w:ascii="Arial" w:cs="Arial" w:eastAsia="Arial" w:hAnsi="Arial"/>
          <w:sz w:val="18"/>
          <w:szCs w:val="18"/>
          <w:color w:val="auto"/>
        </w:rPr>
      </w:pPr>
    </w:p>
    <w:p>
      <w:pPr>
        <w:jc w:val="both"/>
        <w:ind w:left="-20" w:firstLine="1304"/>
        <w:spacing w:after="0" w:line="259" w:lineRule="auto"/>
        <w:tabs>
          <w:tab w:leader="none" w:pos="15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Purchaser acknowledges and agrees that the total consideration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shall not be reduced and no part of such consideration shall be refunded, and Novartis and its Affiliates shall have no liability of any kind to Purchaser or its Affiliates in the event that any NDA in respect of the Drug Substance or the Products is not transferred to Purchaser for any reason. All payments shall be made free and clear of, and without deduction for, withholdings, Taxes or other charges of any kind and of any country.</w:t>
      </w:r>
    </w:p>
    <w:p>
      <w:pPr>
        <w:spacing w:after="0" w:line="186" w:lineRule="exact"/>
        <w:rPr>
          <w:rFonts w:ascii="Arial" w:cs="Arial" w:eastAsia="Arial" w:hAnsi="Arial"/>
          <w:sz w:val="18"/>
          <w:szCs w:val="18"/>
          <w:color w:val="auto"/>
        </w:rPr>
      </w:pPr>
    </w:p>
    <w:p>
      <w:pPr>
        <w:ind w:left="1520" w:hanging="236"/>
        <w:spacing w:after="0"/>
        <w:tabs>
          <w:tab w:leader="none" w:pos="1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Parties agree that, for all purposes, the Purchase Price shall be allocated to the individual Products as set out in Annex 5.1(c).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141" w:name="page142"/>
    <w:bookmarkEnd w:id="141"/>
    <w:p>
      <w:pPr>
        <w:ind w:left="78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277" w:lineRule="auto"/>
        <w:tabs>
          <w:tab w:leader="none" w:pos="15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Purchaser shall bear any transfer Tax imposed in the Territory in connection with the transactions contemplated in this Agreement (“</w:t>
      </w:r>
      <w:r>
        <w:rPr>
          <w:rFonts w:ascii="Arial" w:cs="Arial" w:eastAsia="Arial" w:hAnsi="Arial"/>
          <w:sz w:val="18"/>
          <w:szCs w:val="18"/>
          <w:b w:val="1"/>
          <w:bCs w:val="1"/>
          <w:color w:val="auto"/>
        </w:rPr>
        <w:t>Transfer Taxes</w:t>
      </w:r>
      <w:r>
        <w:rPr>
          <w:rFonts w:ascii="Arial" w:cs="Arial" w:eastAsia="Arial" w:hAnsi="Arial"/>
          <w:sz w:val="18"/>
          <w:szCs w:val="18"/>
          <w:color w:val="auto"/>
        </w:rPr>
        <w:t>”) and shall make any corresponding tax declarations in the Territory that may be required.</w:t>
      </w:r>
    </w:p>
    <w:p>
      <w:pPr>
        <w:spacing w:after="0" w:line="170" w:lineRule="exact"/>
        <w:rPr>
          <w:rFonts w:ascii="Arial" w:cs="Arial" w:eastAsia="Arial" w:hAnsi="Arial"/>
          <w:sz w:val="18"/>
          <w:szCs w:val="18"/>
          <w:color w:val="auto"/>
        </w:rPr>
      </w:pPr>
    </w:p>
    <w:p>
      <w:pPr>
        <w:ind w:firstLine="1304"/>
        <w:spacing w:after="0" w:line="308" w:lineRule="auto"/>
        <w:tabs>
          <w:tab w:leader="none" w:pos="1568"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Party shall be responsible for any Tax obligations of its own due to this Agreement (including income Tax and capital gains Tax). Neither Party shall have any obligation towards the other Party in case that the other Party fails to fully comply with its Tax obligations.</w:t>
      </w:r>
    </w:p>
    <w:p>
      <w:pPr>
        <w:spacing w:after="0" w:line="146" w:lineRule="exact"/>
        <w:rPr>
          <w:rFonts w:ascii="Arial" w:cs="Arial" w:eastAsia="Arial" w:hAnsi="Arial"/>
          <w:sz w:val="17"/>
          <w:szCs w:val="17"/>
          <w:color w:val="auto"/>
        </w:rPr>
      </w:pPr>
    </w:p>
    <w:p>
      <w:pPr>
        <w:ind w:firstLine="1304"/>
        <w:spacing w:after="0" w:line="277" w:lineRule="auto"/>
        <w:tabs>
          <w:tab w:leader="none" w:pos="15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all Tax purposes, both Parties agree to report the transactions contemplated by this Agreement in a manner consistent with its terms and to not take any position inconsistent therewith in any Tax return, refund claim, litigation,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CLOSING</w:t>
      </w:r>
    </w:p>
    <w:p>
      <w:pPr>
        <w:spacing w:after="0" w:line="211" w:lineRule="exact"/>
        <w:rPr>
          <w:sz w:val="20"/>
          <w:szCs w:val="20"/>
          <w:color w:val="auto"/>
        </w:rPr>
      </w:pPr>
    </w:p>
    <w:p>
      <w:pPr>
        <w:jc w:val="both"/>
        <w:ind w:left="120" w:firstLine="648"/>
        <w:spacing w:after="0" w:line="30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Closing</w:t>
      </w:r>
      <w:r>
        <w:rPr>
          <w:rFonts w:ascii="Arial" w:cs="Arial" w:eastAsia="Arial" w:hAnsi="Arial"/>
          <w:sz w:val="16"/>
          <w:szCs w:val="16"/>
          <w:color w:val="auto"/>
        </w:rPr>
        <w:t>. Subject to the satisfaction or waiver of all the conditions set forth in ARTICLE 10, the closing of the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the offices of NPC or such other place as the parties may agree (or, if agreed by the parties, remotely by electronic means) on the date hereof or on such earlier date as mutually agreed by the Parties. The Closing shall be deemed to have occurred as of 12:01 a.m. New York City time, on the Closing Date, such that Purchaser shall be deemed the owner of the Transferred Assets on and after the Closing Date.</w:t>
      </w:r>
    </w:p>
    <w:p>
      <w:pPr>
        <w:spacing w:after="0" w:line="1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Deliverables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6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Parties acknowledge and agree that simultaneously with the execution of this Agreement, Novartis and Purchaser shall have executed and delivered to each other duly executed copies of the following agreements, which shall become effective as of Closing in accordance with their terms:</w:t>
      </w:r>
    </w:p>
    <w:p>
      <w:pPr>
        <w:spacing w:after="0" w:line="183" w:lineRule="exact"/>
        <w:rPr>
          <w:rFonts w:ascii="Arial" w:cs="Arial" w:eastAsia="Arial" w:hAnsi="Arial"/>
          <w:sz w:val="18"/>
          <w:szCs w:val="18"/>
          <w:color w:val="auto"/>
        </w:rPr>
      </w:pPr>
    </w:p>
    <w:p>
      <w:pPr>
        <w:ind w:left="2300" w:hanging="218"/>
        <w:spacing w:after="0"/>
        <w:tabs>
          <w:tab w:leader="none" w:pos="2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Alcon Sublicense Agreement;</w:t>
      </w:r>
    </w:p>
    <w:p>
      <w:pPr>
        <w:spacing w:after="0" w:line="225" w:lineRule="exact"/>
        <w:rPr>
          <w:rFonts w:ascii="Arial" w:cs="Arial" w:eastAsia="Arial" w:hAnsi="Arial"/>
          <w:sz w:val="18"/>
          <w:szCs w:val="18"/>
          <w:color w:val="auto"/>
        </w:rPr>
      </w:pPr>
    </w:p>
    <w:p>
      <w:pPr>
        <w:ind w:left="2340" w:hanging="258"/>
        <w:spacing w:after="0"/>
        <w:tabs>
          <w:tab w:leader="none" w:pos="23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Commercial Agreement;</w:t>
      </w:r>
    </w:p>
    <w:p>
      <w:pPr>
        <w:spacing w:after="0" w:line="225" w:lineRule="exact"/>
        <w:rPr>
          <w:rFonts w:ascii="Arial" w:cs="Arial" w:eastAsia="Arial" w:hAnsi="Arial"/>
          <w:sz w:val="18"/>
          <w:szCs w:val="18"/>
          <w:color w:val="auto"/>
        </w:rPr>
      </w:pPr>
    </w:p>
    <w:p>
      <w:pPr>
        <w:ind w:left="2400" w:hanging="318"/>
        <w:spacing w:after="0"/>
        <w:tabs>
          <w:tab w:leader="none" w:pos="24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Domain Name Assignment Agreement;</w:t>
      </w:r>
    </w:p>
    <w:p>
      <w:pPr>
        <w:spacing w:after="0" w:line="225" w:lineRule="exact"/>
        <w:rPr>
          <w:rFonts w:ascii="Arial" w:cs="Arial" w:eastAsia="Arial" w:hAnsi="Arial"/>
          <w:sz w:val="18"/>
          <w:szCs w:val="18"/>
          <w:color w:val="auto"/>
        </w:rPr>
      </w:pPr>
    </w:p>
    <w:p>
      <w:pPr>
        <w:ind w:left="2380" w:hanging="298"/>
        <w:spacing w:after="0"/>
        <w:tabs>
          <w:tab w:leader="none" w:pos="23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License Agreement;</w:t>
      </w:r>
    </w:p>
    <w:p>
      <w:pPr>
        <w:spacing w:after="0" w:line="225" w:lineRule="exact"/>
        <w:rPr>
          <w:rFonts w:ascii="Arial" w:cs="Arial" w:eastAsia="Arial" w:hAnsi="Arial"/>
          <w:sz w:val="18"/>
          <w:szCs w:val="18"/>
          <w:color w:val="auto"/>
        </w:rPr>
      </w:pPr>
    </w:p>
    <w:p>
      <w:pPr>
        <w:ind w:left="2340" w:hanging="258"/>
        <w:spacing w:after="0"/>
        <w:tabs>
          <w:tab w:leader="none" w:pos="23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Supply Agreement;</w:t>
      </w:r>
    </w:p>
    <w:p>
      <w:pPr>
        <w:spacing w:after="0" w:line="225" w:lineRule="exact"/>
        <w:rPr>
          <w:rFonts w:ascii="Arial" w:cs="Arial" w:eastAsia="Arial" w:hAnsi="Arial"/>
          <w:sz w:val="18"/>
          <w:szCs w:val="18"/>
          <w:color w:val="auto"/>
        </w:rPr>
      </w:pPr>
    </w:p>
    <w:p>
      <w:pPr>
        <w:ind w:left="2380" w:hanging="298"/>
        <w:spacing w:after="0"/>
        <w:tabs>
          <w:tab w:leader="none" w:pos="23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Patent Assignment Agreement;</w:t>
      </w:r>
    </w:p>
    <w:p>
      <w:pPr>
        <w:spacing w:after="0" w:line="225" w:lineRule="exact"/>
        <w:rPr>
          <w:rFonts w:ascii="Arial" w:cs="Arial" w:eastAsia="Arial" w:hAnsi="Arial"/>
          <w:sz w:val="18"/>
          <w:szCs w:val="18"/>
          <w:color w:val="auto"/>
        </w:rPr>
      </w:pPr>
    </w:p>
    <w:p>
      <w:pPr>
        <w:ind w:left="2440" w:hanging="358"/>
        <w:spacing w:after="0"/>
        <w:tabs>
          <w:tab w:leader="none" w:pos="24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Trademark Assignment Agreement; and</w:t>
      </w:r>
    </w:p>
    <w:p>
      <w:pPr>
        <w:spacing w:after="0" w:line="225" w:lineRule="exact"/>
        <w:rPr>
          <w:rFonts w:ascii="Arial" w:cs="Arial" w:eastAsia="Arial" w:hAnsi="Arial"/>
          <w:sz w:val="18"/>
          <w:szCs w:val="18"/>
          <w:color w:val="auto"/>
        </w:rPr>
      </w:pPr>
    </w:p>
    <w:p>
      <w:pPr>
        <w:ind w:left="2480" w:hanging="398"/>
        <w:spacing w:after="0"/>
        <w:tabs>
          <w:tab w:leader="none" w:pos="2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Transition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2" w:name="page143"/>
    <w:bookmarkEnd w:id="142"/>
    <w:p>
      <w:pPr>
        <w:jc w:val="both"/>
        <w:ind w:firstLine="1304"/>
        <w:spacing w:after="0" w:line="263" w:lineRule="auto"/>
        <w:tabs>
          <w:tab w:leader="none" w:pos="15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the Closing, the Parties shall execute and deliver other documents and instruments of sale, assignment, transfer, and conveyance as are reasonably necessary to effectuate the transactions contemplated by this Agreement to occur on the Closing Date, including the Bill of Sale &amp; Assignment and Assumption Agreement.</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155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At the Closing, Purchaser shall (i) pay the Purchase Price to Novartis, free and clear of, and without deduction for, withholdings, Taxes, or other charges of any kind and of any country, by wire transfer into the bank account specified below, and (ii) deliver to Novartis a U.S. Federal Reserve reference or similar number evidencing execution of such payment. For the avoidance of doubt, the Parties acknowledge and agree that the Closing shall not occur until Novartis shall have confirmed receipt of the entirety of the Purchase Price at following bank account: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Company: NOVARTIS TECHNOLOGY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Address: 251 LITTLE FALLS DRIVE WILMINGTON DE 19808 US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Citibank Branch: Citibank N.A. New York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Swift Code: CITIUS33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021000089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No.: 31178485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NOVARTIS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Novartis represents and warrants to Purchaser, subject to the exceptions disclosed in the disclosure schedules provided by Novartis to Purchaser concurrently with the execution of this Agreement (the “</w:t>
      </w:r>
      <w:r>
        <w:rPr>
          <w:rFonts w:ascii="Arial" w:cs="Arial" w:eastAsia="Arial" w:hAnsi="Arial"/>
          <w:sz w:val="18"/>
          <w:szCs w:val="18"/>
          <w:b w:val="1"/>
          <w:bCs w:val="1"/>
          <w:color w:val="auto"/>
        </w:rPr>
        <w:t>Novartis Disclosure Schedule</w:t>
      </w:r>
      <w:r>
        <w:rPr>
          <w:rFonts w:ascii="Arial" w:cs="Arial" w:eastAsia="Arial" w:hAnsi="Arial"/>
          <w:sz w:val="18"/>
          <w:szCs w:val="18"/>
          <w:color w:val="auto"/>
        </w:rPr>
        <w:t>”), as follows:</w:t>
      </w:r>
    </w:p>
    <w:p>
      <w:pPr>
        <w:spacing w:after="0" w:line="170" w:lineRule="exact"/>
        <w:rPr>
          <w:sz w:val="20"/>
          <w:szCs w:val="20"/>
          <w:color w:val="auto"/>
        </w:rPr>
      </w:pPr>
    </w:p>
    <w:p>
      <w:pPr>
        <w:jc w:val="both"/>
        <w:ind w:left="120"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Organization; Qualification</w:t>
      </w:r>
      <w:r>
        <w:rPr>
          <w:rFonts w:ascii="Arial" w:cs="Arial" w:eastAsia="Arial" w:hAnsi="Arial"/>
          <w:sz w:val="18"/>
          <w:szCs w:val="18"/>
          <w:color w:val="auto"/>
        </w:rPr>
        <w:t>. Novartis is a company duly organized, validly existing, and in good standing under the laws of the jurisdiction of its formation. Novartis is duly qualified to do business and in good standing (to the extent such concept is recognized by the applicable jurisdiction) as a foreign entity in each jurisdiction in which the nature of its business or the ownership, lease, or operation of its assets and properties makes such qualification necessary, except where the failure to be so qualified or to be in good standing would not reasonably be expected to have a Material Adverse Effect.</w:t>
      </w:r>
    </w:p>
    <w:p>
      <w:pPr>
        <w:spacing w:after="0" w:line="188"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Authority; Enforceability</w:t>
      </w:r>
      <w:r>
        <w:rPr>
          <w:rFonts w:ascii="Arial" w:cs="Arial" w:eastAsia="Arial" w:hAnsi="Arial"/>
          <w:sz w:val="16"/>
          <w:szCs w:val="16"/>
          <w:color w:val="auto"/>
        </w:rPr>
        <w:t>. Novartis has the requisite organizational power and authority to enter into this Agreement and the Ancillary Agreements and to consummate the transactions contemplated hereby and thereby. The execution and delivery of this Agreement and, as of the Closing, each of the Ancillary Agreements, by Novartis and the consummation of the transactions contemplated hereby and thereby have been duly and validly authorized and no other organizational proceedings on the part of Novartis are required therefor. This Agreement has been, and the Ancillary Agreements, as of the Closing, will be, duly executed and delivered by Novartis and, assuming the due authorization, execution, and delivery of this Agreement and, as of the Closing, each of the Ancillary Agreements, by Purchaser, will constitute the legal, valid, and binding obligation of Novartis, enforceable against Novartis in accordance with their terms, subject to bankruptcy, insolvency, reorganization, moratorium, fraudulent transfer, or other similar Laws affecting or relating to the enforcement of creditors’ rights generally from time to time in effect, and to general principles of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3" w:name="page144"/>
    <w:bookmarkEnd w:id="143"/>
    <w:p>
      <w:pPr>
        <w:jc w:val="both"/>
        <w:ind w:left="120" w:firstLine="648"/>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 Violations; Consents</w:t>
      </w:r>
      <w:r>
        <w:rPr>
          <w:rFonts w:ascii="Arial" w:cs="Arial" w:eastAsia="Arial" w:hAnsi="Arial"/>
          <w:sz w:val="18"/>
          <w:szCs w:val="18"/>
          <w:color w:val="auto"/>
        </w:rPr>
        <w:t>. Except for the Authorizations listed in Section 7.3 of the Novartis Disclosure Schedule, the execution and delivery of this Agreement does not and, as of the Closing, the execution and delivery of the Ancillary Agreements will not, and the consummation of the transactions contemplated hereby and thereby and the compliance with the terms hereof and thereof will not (i) violate any Law applicable to Novartis, the Drug Substance, the Products, the Transferred Assets, or the Licensed IP, (ii) conflict with any provision of the charter or by-laws (or similar organizational documents) of Novartis, or (iii) require any approval, authorization, consent, license, exemption, filing, or registration with any court, arbitrator, or Governmental Entity.</w:t>
      </w:r>
    </w:p>
    <w:p>
      <w:pPr>
        <w:spacing w:after="0" w:line="192" w:lineRule="exact"/>
        <w:rPr>
          <w:sz w:val="20"/>
          <w:szCs w:val="20"/>
          <w:color w:val="auto"/>
        </w:rPr>
      </w:pPr>
    </w:p>
    <w:p>
      <w:pPr>
        <w:jc w:val="both"/>
        <w:ind w:left="120" w:firstLine="648"/>
        <w:spacing w:after="0" w:line="27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Litigation</w:t>
      </w:r>
      <w:r>
        <w:rPr>
          <w:rFonts w:ascii="Arial" w:cs="Arial" w:eastAsia="Arial" w:hAnsi="Arial"/>
          <w:sz w:val="17"/>
          <w:szCs w:val="17"/>
          <w:color w:val="auto"/>
        </w:rPr>
        <w:t>. Except as disclosed in Section 7.4 of the Novartis Disclosure Schedule, there is no suit, claim, action, investigation, or proceeding pending or, to the Knowledge of Novartis, threatened against Novartis or any of its Affiliates, that relates to the Drug Substance, the Products, the Transferred Assets, or the Licensed IP. There are no outstanding orders, injunctions, or decrees of any Governmental Entity that apply to any of the Transferred Assets that restrict the ownership, disposition, or use of any of the Transferred Assets.</w:t>
      </w:r>
    </w:p>
    <w:p>
      <w:pPr>
        <w:spacing w:after="0" w:line="171" w:lineRule="exact"/>
        <w:rPr>
          <w:sz w:val="20"/>
          <w:szCs w:val="20"/>
          <w:color w:val="auto"/>
        </w:rPr>
      </w:pPr>
    </w:p>
    <w:p>
      <w:pPr>
        <w:jc w:val="both"/>
        <w:ind w:left="120" w:right="20" w:firstLine="648"/>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Debarred Personnel.</w:t>
      </w:r>
      <w:r>
        <w:rPr>
          <w:rFonts w:ascii="Arial" w:cs="Arial" w:eastAsia="Arial" w:hAnsi="Arial"/>
          <w:sz w:val="18"/>
          <w:szCs w:val="18"/>
          <w:color w:val="auto"/>
        </w:rPr>
        <w:t xml:space="preserve"> Neither Novartis nor any of its Affiliates nor any of Novartis’ or its Affiliates’ employees or consultants has been debarred or deemed subject to debarment pursuant to Section 306 of the Act nor, to the Knowledge of Novartis, are any such Persons the subject of a conviction described in such section.</w:t>
      </w:r>
    </w:p>
    <w:p>
      <w:pPr>
        <w:spacing w:after="0" w:line="184" w:lineRule="exact"/>
        <w:rPr>
          <w:sz w:val="20"/>
          <w:szCs w:val="20"/>
          <w:color w:val="auto"/>
        </w:rPr>
      </w:pPr>
    </w:p>
    <w:p>
      <w:pPr>
        <w:jc w:val="both"/>
        <w:ind w:left="120" w:firstLine="648"/>
        <w:spacing w:after="0" w:line="263" w:lineRule="auto"/>
        <w:rPr>
          <w:sz w:val="20"/>
          <w:szCs w:val="20"/>
          <w:color w:val="auto"/>
        </w:rPr>
      </w:pPr>
      <w:r>
        <w:rPr>
          <w:rFonts w:ascii="Arial" w:cs="Arial" w:eastAsia="Arial" w:hAnsi="Arial"/>
          <w:sz w:val="18"/>
          <w:szCs w:val="18"/>
          <w:i w:val="1"/>
          <w:iCs w:val="1"/>
          <w:color w:val="auto"/>
        </w:rPr>
        <w:t>7.</w:t>
      </w:r>
      <w:r>
        <w:rPr>
          <w:rFonts w:ascii="Arial" w:cs="Arial" w:eastAsia="Arial" w:hAnsi="Arial"/>
          <w:sz w:val="18"/>
          <w:szCs w:val="18"/>
          <w:color w:val="auto"/>
        </w:rPr>
        <w:t>6</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Title to Assets</w:t>
      </w:r>
      <w:r>
        <w:rPr>
          <w:rFonts w:ascii="Arial" w:cs="Arial" w:eastAsia="Arial" w:hAnsi="Arial"/>
          <w:sz w:val="18"/>
          <w:szCs w:val="18"/>
          <w:color w:val="auto"/>
        </w:rPr>
        <w:t>. Novartis has good, valid and marketable title to, or a valid and enforceable license or other right to use (as applicable),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Transferred Assets. All of the Transferred Assets owned or purported to be owned by Novartis are owned free and clear of all Encumbrances other than Permitted Encumbrances.</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Knowledge of Novartis, the Product IP constitutes all of the material intellectual property rights owned by or licensed to Novartis or its Affiliates which is used by Novartis and/or its Affiliates to manufacture, sell, market, distribute, or otherwise commercialize the Products as of the date hereof. Neither Novartis nor any of its Affiliates owns, licenses or otherwise controls any Patents that are reasonably necessary to manufacture, sell, market, distribute, or otherwise commercialize the Products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6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Annex 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1.1(e)</w:t>
      </w:r>
      <w:r>
        <w:rPr>
          <w:rFonts w:ascii="Arial" w:cs="Arial" w:eastAsia="Arial" w:hAnsi="Arial"/>
          <w:sz w:val="18"/>
          <w:szCs w:val="18"/>
          <w:color w:val="auto"/>
        </w:rPr>
        <w:t>, contain true and complete lists of all trademarks, and domain names included in the Product IP. Neither Novartis nor any of its Affiliates is a party to any license or similar agreement under which it has granted a license or other rights to any Third Party in respect of the Drug Substance or the Products which would conflict in any material respect with the rights being conveyed or licensed to Purchaser under this Agreement or the License Agreement,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4" w:name="page145"/>
    <w:bookmarkEnd w:id="144"/>
    <w:p>
      <w:pPr>
        <w:jc w:val="both"/>
        <w:ind w:firstLine="1304"/>
        <w:spacing w:after="0" w:line="289" w:lineRule="auto"/>
        <w:tabs>
          <w:tab w:leader="none" w:pos="1581" w:val="left"/>
        </w:tabs>
        <w:numPr>
          <w:ilvl w:val="0"/>
          <w:numId w:val="76"/>
        </w:numPr>
        <w:rPr>
          <w:rFonts w:ascii="Arial" w:cs="Arial" w:eastAsia="Arial" w:hAnsi="Arial"/>
          <w:sz w:val="16"/>
          <w:szCs w:val="16"/>
          <w:color w:val="010000"/>
        </w:rPr>
      </w:pPr>
      <w:r>
        <w:rPr>
          <w:rFonts w:ascii="Arial" w:cs="Arial" w:eastAsia="Arial" w:hAnsi="Arial"/>
          <w:sz w:val="16"/>
          <w:szCs w:val="16"/>
          <w:color w:val="auto"/>
        </w:rPr>
        <w:t>To the Knowledge of Novartis, the manufacture, sale, offer for sale, or importation of the Products in the Territory, as it is manufactured, sold, offered for sale, or imported as of the date hereof, does not infringe, misappropriate, or otherwise violate in any material respect the intellectual property rights of any Third Party in the Territory. To the Knowledge of Novartis, none of the Product IP has been adjudged invalid or unenforceable in whole or part and all such Product IP is valid and enforceable, other than abandoned Patents and the opinions of the U.S. Patent and Trademark Office with respect to currently pending patent applications and trademark applications or registered trademarks which are vulnerable for non-use cancellation. As of the date hereof, there is, in the Territory, no suit, claim, action, investigation, or proceeding pending or, to the Knowledge of Novartis, threatened in writing against Novartis or any of its Affiliates, that relates to the Product IP (i) based upon, or challenging or seeking to deny or restrict, the rights of Novartis or any of its Affiliates in any of the Product IP, or (ii) alleging that the Products, or any processes used to manufacture the Products, conflict with, misappropriate, infringe, or otherwise violate any intellectual property rights of any Third Party in the Territory.</w:t>
      </w:r>
    </w:p>
    <w:p>
      <w:pPr>
        <w:spacing w:after="0" w:line="166" w:lineRule="exact"/>
        <w:rPr>
          <w:rFonts w:ascii="Arial" w:cs="Arial" w:eastAsia="Arial" w:hAnsi="Arial"/>
          <w:sz w:val="16"/>
          <w:szCs w:val="16"/>
          <w:color w:val="010000"/>
        </w:rPr>
      </w:pPr>
    </w:p>
    <w:p>
      <w:pPr>
        <w:ind w:left="1560" w:hanging="256"/>
        <w:spacing w:after="0"/>
        <w:tabs>
          <w:tab w:leader="none" w:pos="156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To the Knowledge of Novartis, no Third Party is infringing any of the Product IP.</w:t>
      </w:r>
    </w:p>
    <w:p>
      <w:pPr>
        <w:spacing w:after="0" w:line="225" w:lineRule="exact"/>
        <w:rPr>
          <w:rFonts w:ascii="Arial" w:cs="Arial" w:eastAsia="Arial" w:hAnsi="Arial"/>
          <w:sz w:val="18"/>
          <w:szCs w:val="18"/>
          <w:color w:val="010000"/>
        </w:rPr>
      </w:pPr>
    </w:p>
    <w:p>
      <w:pPr>
        <w:ind w:firstLine="1304"/>
        <w:spacing w:after="0" w:line="277" w:lineRule="auto"/>
        <w:tabs>
          <w:tab w:leader="none" w:pos="1554"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Novartis is the sole and exclusive legal and beneficial owner of all right, title and interest in and to the Transferred IP, and has the valid and enforceable right to use all Licensed IP, free and clear of Encumbrances other than Permitted Encumbrances.</w:t>
      </w:r>
    </w:p>
    <w:p>
      <w:pPr>
        <w:spacing w:after="0" w:line="170" w:lineRule="exact"/>
        <w:rPr>
          <w:rFonts w:ascii="Arial" w:cs="Arial" w:eastAsia="Arial" w:hAnsi="Arial"/>
          <w:sz w:val="18"/>
          <w:szCs w:val="18"/>
          <w:color w:val="010000"/>
        </w:rPr>
      </w:pPr>
    </w:p>
    <w:p>
      <w:pPr>
        <w:jc w:val="both"/>
        <w:ind w:firstLine="1304"/>
        <w:spacing w:after="0" w:line="279" w:lineRule="auto"/>
        <w:tabs>
          <w:tab w:leader="none" w:pos="1534"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Neither the execution, delivery, or performance of this Agreement, nor the consummation of the transactions contemplated hereby, will result in the loss or impairment of or payment of any additional amounts with respect to, or require the consent of any other Person in respect of, Purchaser’s right to own or use any Product IP. Immediately, following the Closing, all Transferred IP and Licensed IP will be owned or available, respectively, for use by Purchaser on identical terms as they were owned or available for use by Novartis immediately prior to the Closing.</w:t>
      </w:r>
    </w:p>
    <w:p>
      <w:pPr>
        <w:spacing w:after="0" w:line="171" w:lineRule="exact"/>
        <w:rPr>
          <w:rFonts w:ascii="Arial" w:cs="Arial" w:eastAsia="Arial" w:hAnsi="Arial"/>
          <w:sz w:val="17"/>
          <w:szCs w:val="17"/>
          <w:color w:val="010000"/>
        </w:rPr>
      </w:pPr>
    </w:p>
    <w:p>
      <w:pPr>
        <w:ind w:firstLine="1304"/>
        <w:spacing w:after="0" w:line="277" w:lineRule="auto"/>
        <w:tabs>
          <w:tab w:leader="none" w:pos="1564"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Novartis has taken commercially reasonable steps to maintain and enforce the Product IP and to preserve the confidentiality of all trade secrets included in the Product IP.</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7.8 </w:t>
      </w:r>
      <w:r>
        <w:rPr>
          <w:rFonts w:ascii="Arial" w:cs="Arial" w:eastAsia="Arial" w:hAnsi="Arial"/>
          <w:sz w:val="18"/>
          <w:szCs w:val="18"/>
          <w:u w:val="single" w:color="auto"/>
          <w:color w:val="000000"/>
        </w:rPr>
        <w:t>Compliance with Applicable Law</w:t>
      </w:r>
      <w:r>
        <w:rPr>
          <w:rFonts w:ascii="Arial" w:cs="Arial" w:eastAsia="Arial" w:hAnsi="Arial"/>
          <w:sz w:val="18"/>
          <w:szCs w:val="18"/>
          <w:color w:val="000000"/>
        </w:rPr>
        <w:t>. Neither Novartis nor any of its Affiliates is in violation of any applicable Law, which could reasonably be</w:t>
      </w:r>
      <w:r>
        <w:rPr>
          <w:rFonts w:ascii="Arial" w:cs="Arial" w:eastAsia="Arial" w:hAnsi="Arial"/>
          <w:sz w:val="18"/>
          <w:szCs w:val="18"/>
          <w:color w:val="010000"/>
        </w:rPr>
        <w:t xml:space="preserve"> </w:t>
      </w:r>
      <w:r>
        <w:rPr>
          <w:rFonts w:ascii="Arial" w:cs="Arial" w:eastAsia="Arial" w:hAnsi="Arial"/>
          <w:sz w:val="18"/>
          <w:szCs w:val="18"/>
          <w:color w:val="000000"/>
        </w:rPr>
        <w:t>expected to prevent or materially delay the consummation of the transactions contemplated hereby or materially interfere with Novartis’ performance of its obligations hereunder.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5" w:name="page146"/>
    <w:bookmarkEnd w:id="145"/>
    <w:p>
      <w:pPr>
        <w:jc w:val="both"/>
        <w:ind w:firstLine="648"/>
        <w:spacing w:after="0" w:line="268" w:lineRule="auto"/>
        <w:rPr>
          <w:sz w:val="20"/>
          <w:szCs w:val="20"/>
          <w:color w:val="auto"/>
        </w:rPr>
      </w:pPr>
      <w:r>
        <w:rPr>
          <w:rFonts w:ascii="Arial" w:cs="Arial" w:eastAsia="Arial" w:hAnsi="Arial"/>
          <w:sz w:val="17"/>
          <w:szCs w:val="17"/>
          <w:color w:val="010000"/>
        </w:rPr>
        <w:t xml:space="preserve">7.9 </w:t>
      </w:r>
      <w:r>
        <w:rPr>
          <w:rFonts w:ascii="Arial" w:cs="Arial" w:eastAsia="Arial" w:hAnsi="Arial"/>
          <w:sz w:val="17"/>
          <w:szCs w:val="17"/>
          <w:u w:val="single" w:color="auto"/>
          <w:color w:val="000000"/>
        </w:rPr>
        <w:t>Exclusivity of Representations</w:t>
      </w:r>
      <w:r>
        <w:rPr>
          <w:rFonts w:ascii="Arial" w:cs="Arial" w:eastAsia="Arial" w:hAnsi="Arial"/>
          <w:sz w:val="17"/>
          <w:szCs w:val="17"/>
          <w:color w:val="000000"/>
        </w:rPr>
        <w:t>. Except for the representations and warranties contained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7</w:t>
      </w:r>
      <w:r>
        <w:rPr>
          <w:rFonts w:ascii="Arial" w:cs="Arial" w:eastAsia="Arial" w:hAnsi="Arial"/>
          <w:sz w:val="17"/>
          <w:szCs w:val="17"/>
          <w:color w:val="010000"/>
        </w:rPr>
        <w:t xml:space="preserve"> </w:t>
      </w:r>
      <w:r>
        <w:rPr>
          <w:rFonts w:ascii="Arial" w:cs="Arial" w:eastAsia="Arial" w:hAnsi="Arial"/>
          <w:sz w:val="17"/>
          <w:szCs w:val="17"/>
          <w:color w:val="000000"/>
        </w:rPr>
        <w:t>(as modified by the Novartis</w:t>
      </w:r>
      <w:r>
        <w:rPr>
          <w:rFonts w:ascii="Arial" w:cs="Arial" w:eastAsia="Arial" w:hAnsi="Arial"/>
          <w:sz w:val="17"/>
          <w:szCs w:val="17"/>
          <w:color w:val="010000"/>
        </w:rPr>
        <w:t xml:space="preserve"> </w:t>
      </w:r>
      <w:r>
        <w:rPr>
          <w:rFonts w:ascii="Arial" w:cs="Arial" w:eastAsia="Arial" w:hAnsi="Arial"/>
          <w:sz w:val="17"/>
          <w:szCs w:val="17"/>
          <w:color w:val="000000"/>
        </w:rPr>
        <w:t xml:space="preserve">Disclosure Schedule) and in the Ancillary Agreements, neither Novartis nor any other Person makes any other express or implied representation or warranty with respect to the Drug Substance, the Products, the Transferred Assets, the Assumed Liabilities, or the Licensed IP, or the transactions contemplated by this Agreement, and Novartis disclaims any other representations or warranties, whether made by Novartis, its Affiliates, or any of their respective Representatives. Except for the representations and warranties contained in this </w:t>
      </w:r>
      <w:r>
        <w:rPr>
          <w:rFonts w:ascii="Arial" w:cs="Arial" w:eastAsia="Arial" w:hAnsi="Arial"/>
          <w:sz w:val="17"/>
          <w:szCs w:val="17"/>
          <w:u w:val="single" w:color="auto"/>
          <w:color w:val="000000"/>
        </w:rPr>
        <w:t>ARTICLE 7</w:t>
      </w:r>
      <w:r>
        <w:rPr>
          <w:rFonts w:ascii="Arial" w:cs="Arial" w:eastAsia="Arial" w:hAnsi="Arial"/>
          <w:sz w:val="17"/>
          <w:szCs w:val="17"/>
          <w:color w:val="000000"/>
        </w:rPr>
        <w:t xml:space="preserve"> (as modified by the Novartis Disclosure Schedule) and in the Ancillary Agreements, Novartis hereby disclaims all liability and responsibility for any representation, warranty, projection, forecast, statement, or information made, communicated, or furnished (whether orally or in writing, in any “data room” relating to the transactions contemplated by this Agreement, in management presentations, functional “break-out” discussions, responses to questions or requests submitted by or on behalf of Purchaser, or in any other form in consideration or investigation of the transactions contemplated by this Agreement) to Purchaser, its Affiliates, or any of their respective Representatives (including any opinion, information, forecast, projection, or advice that may have been or may be provided to Purchaser, its Affiliates, or any of their respective Representatives by any Representative of Novartis or any of its Affiliates). Novartis makes no representations or warranties to Purchaser, its Affiliates, or any of their respective Representatives regarding (a) merchantability or fitness for any particular purpose, or (b) the probable success or profitability of the Drug Substance, the Products, the Transferred Assets, the Assumed Liabilities, or the Licensed IP. Without limiting the generality of the foregoing, Purchaser acknowledges and agrees that, except as expressly provided in this Agreement or in the Ancillary Agreements, Purchaser is acquiring the Transferred Assets on an “as is, where is” basis.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Purchaser represents and warrants to Novartis, subject to the exceptions disclosed in the disclosure schedules provided by Purchaser to Novartis concurrently with the execution of this Agreement (the “</w:t>
      </w:r>
      <w:r>
        <w:rPr>
          <w:rFonts w:ascii="Arial" w:cs="Arial" w:eastAsia="Arial" w:hAnsi="Arial"/>
          <w:sz w:val="18"/>
          <w:szCs w:val="18"/>
          <w:b w:val="1"/>
          <w:bCs w:val="1"/>
          <w:color w:val="auto"/>
        </w:rPr>
        <w:t>Purchaser Disclosure Schedule</w:t>
      </w:r>
      <w:r>
        <w:rPr>
          <w:rFonts w:ascii="Arial" w:cs="Arial" w:eastAsia="Arial" w:hAnsi="Arial"/>
          <w:sz w:val="18"/>
          <w:szCs w:val="18"/>
          <w:color w:val="auto"/>
        </w:rPr>
        <w:t>”), as follows: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8.1 </w:t>
      </w:r>
      <w:r>
        <w:rPr>
          <w:rFonts w:ascii="Arial" w:cs="Arial" w:eastAsia="Arial" w:hAnsi="Arial"/>
          <w:sz w:val="17"/>
          <w:szCs w:val="17"/>
          <w:u w:val="single" w:color="auto"/>
          <w:color w:val="000000"/>
        </w:rPr>
        <w:t>Organization; Qualification</w:t>
      </w:r>
      <w:r>
        <w:rPr>
          <w:rFonts w:ascii="Arial" w:cs="Arial" w:eastAsia="Arial" w:hAnsi="Arial"/>
          <w:sz w:val="17"/>
          <w:szCs w:val="17"/>
          <w:color w:val="000000"/>
        </w:rPr>
        <w:t>. Purchaser is a corporation duly organized, validly existing, and in good standing under the laws of the jurisdiction</w:t>
      </w:r>
      <w:r>
        <w:rPr>
          <w:rFonts w:ascii="Arial" w:cs="Arial" w:eastAsia="Arial" w:hAnsi="Arial"/>
          <w:sz w:val="17"/>
          <w:szCs w:val="17"/>
          <w:color w:val="010000"/>
        </w:rPr>
        <w:t xml:space="preserve"> </w:t>
      </w:r>
      <w:r>
        <w:rPr>
          <w:rFonts w:ascii="Arial" w:cs="Arial" w:eastAsia="Arial" w:hAnsi="Arial"/>
          <w:sz w:val="17"/>
          <w:szCs w:val="17"/>
          <w:color w:val="000000"/>
        </w:rPr>
        <w:t>of its formation. Purchaser is duly qualified to do business and in good standing (to the extent such concept is recognized by the applicable jurisdiction) as a foreign entity in each jurisdiction in which the nature of its business or the ownership, lease, or operation of its assets and properties makes such qualification necessary, except where the failure to be so qualified or be in good standing would not reasonably be expected to prevent or materially delay the consummation of the transactions contemplated hereby. Purchaser is a pharmaceutical company, which, together with its Affiliates and distributors, has the necessary technical and commercial resources and expertise to assume from Novartis the Transferred Assets and related obligations under the terms, conditions, and timelines contained in this Agreement and the Ancillary Agreements.</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8.2 </w:t>
      </w:r>
      <w:r>
        <w:rPr>
          <w:rFonts w:ascii="Arial" w:cs="Arial" w:eastAsia="Arial" w:hAnsi="Arial"/>
          <w:sz w:val="16"/>
          <w:szCs w:val="16"/>
          <w:u w:val="single" w:color="auto"/>
          <w:color w:val="000000"/>
        </w:rPr>
        <w:t>Authority; Enforceability</w:t>
      </w:r>
      <w:r>
        <w:rPr>
          <w:rFonts w:ascii="Arial" w:cs="Arial" w:eastAsia="Arial" w:hAnsi="Arial"/>
          <w:sz w:val="16"/>
          <w:szCs w:val="16"/>
          <w:color w:val="000000"/>
        </w:rPr>
        <w:t>. Purchaser has the requisite organizational power and authority to enter into this Agreement and the Ancillary</w:t>
      </w:r>
      <w:r>
        <w:rPr>
          <w:rFonts w:ascii="Arial" w:cs="Arial" w:eastAsia="Arial" w:hAnsi="Arial"/>
          <w:sz w:val="16"/>
          <w:szCs w:val="16"/>
          <w:color w:val="010000"/>
        </w:rPr>
        <w:t xml:space="preserve"> </w:t>
      </w:r>
      <w:r>
        <w:rPr>
          <w:rFonts w:ascii="Arial" w:cs="Arial" w:eastAsia="Arial" w:hAnsi="Arial"/>
          <w:sz w:val="16"/>
          <w:szCs w:val="16"/>
          <w:color w:val="000000"/>
        </w:rPr>
        <w:t>Agreements and to consummate the transactions contemplated hereby and thereby. The execution and delivery of this Agreement and, as of the Closing, each of the Ancillary Agreements, by Purchaser and the consummation of the transactions contemplated hereby and thereby have been duly and validly authorized and no other organizational proceedings on the part of Purchaser are required therefor. This Agreement has been, and the Ancillary Agreements, as of the Closing, will be, duly executed and delivered by Purchaser and, assuming the due authorization, execution, and delivery of this Agreement and, as of the Closing, the Ancillary Agreements, by Novartis, will constitute the legal, valid, and binding obligations of Purchaser, enforceable against Purchaser in accordance with their terms, subject to bankruptcy, insolvency, reorganization, moratorium, fraudulent transfer, or other similar Laws affecting or relating to the enforcement of creditors’ rights generally from time to time in effect, and to general principles of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6" w:name="page147"/>
    <w:bookmarkEnd w:id="146"/>
    <w:p>
      <w:pPr>
        <w:jc w:val="both"/>
        <w:ind w:firstLine="648"/>
        <w:spacing w:after="0" w:line="253" w:lineRule="auto"/>
        <w:rPr>
          <w:sz w:val="20"/>
          <w:szCs w:val="20"/>
          <w:color w:val="auto"/>
        </w:rPr>
      </w:pPr>
      <w:r>
        <w:rPr>
          <w:rFonts w:ascii="Arial" w:cs="Arial" w:eastAsia="Arial" w:hAnsi="Arial"/>
          <w:sz w:val="18"/>
          <w:szCs w:val="18"/>
          <w:color w:val="010000"/>
        </w:rPr>
        <w:t xml:space="preserve">8.3 </w:t>
      </w:r>
      <w:r>
        <w:rPr>
          <w:rFonts w:ascii="Arial" w:cs="Arial" w:eastAsia="Arial" w:hAnsi="Arial"/>
          <w:sz w:val="18"/>
          <w:szCs w:val="18"/>
          <w:u w:val="single" w:color="auto"/>
          <w:color w:val="000000"/>
        </w:rPr>
        <w:t>No Violations; Consents</w:t>
      </w:r>
      <w:r>
        <w:rPr>
          <w:rFonts w:ascii="Arial" w:cs="Arial" w:eastAsia="Arial" w:hAnsi="Arial"/>
          <w:sz w:val="18"/>
          <w:szCs w:val="18"/>
          <w:color w:val="000000"/>
        </w:rPr>
        <w:t>. Except for (a) any filings with Governmental Entities or other Authorizations necessary to transfer the Transferred</w:t>
      </w:r>
      <w:r>
        <w:rPr>
          <w:rFonts w:ascii="Arial" w:cs="Arial" w:eastAsia="Arial" w:hAnsi="Arial"/>
          <w:sz w:val="18"/>
          <w:szCs w:val="18"/>
          <w:color w:val="010000"/>
        </w:rPr>
        <w:t xml:space="preserve"> </w:t>
      </w:r>
      <w:r>
        <w:rPr>
          <w:rFonts w:ascii="Arial" w:cs="Arial" w:eastAsia="Arial" w:hAnsi="Arial"/>
          <w:sz w:val="18"/>
          <w:szCs w:val="18"/>
          <w:color w:val="000000"/>
        </w:rPr>
        <w:t xml:space="preserve">Assets, and (b) the Authorizations listed in </w:t>
      </w:r>
      <w:r>
        <w:rPr>
          <w:rFonts w:ascii="Arial" w:cs="Arial" w:eastAsia="Arial" w:hAnsi="Arial"/>
          <w:sz w:val="18"/>
          <w:szCs w:val="18"/>
          <w:u w:val="single" w:color="auto"/>
          <w:color w:val="000000"/>
        </w:rPr>
        <w:t>Section 8.3</w:t>
      </w:r>
      <w:r>
        <w:rPr>
          <w:rFonts w:ascii="Arial" w:cs="Arial" w:eastAsia="Arial" w:hAnsi="Arial"/>
          <w:sz w:val="18"/>
          <w:szCs w:val="18"/>
          <w:color w:val="000000"/>
        </w:rPr>
        <w:t xml:space="preserve"> of the Purchaser Disclosure Schedule, the execution and delivery of this Agreement do not, and, as of the Closing, the execution and delivery of the Ancillary Agreements will not, and the consummation of the transactions contemplated hereby and thereby and the compliance with the terms hereof and thereof will not (i) violate any Law applicable to Purchaser, (ii) conflict with any provision of the certificate of incorporation or by-laws (or similar organizational documents) of Purchaser, or (iii) require any approval, authorization, consent, license, exemption, filing, or registration with any court, arbitrator, or Governmental Entity, except with respect to the foregoing clause (iii), for such approvals, authorizations, consents, licenses, exemptions, filings, or registrations which have been obtained or made or which, if not obtained or made, would not reasonably be expected to prevent or materially delay the consummation of the transactions contemplated hereby or materially interfere with Purchaser’s performance of its obligations hereunder.</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8.4 </w:t>
      </w:r>
      <w:r>
        <w:rPr>
          <w:rFonts w:ascii="Arial" w:cs="Arial" w:eastAsia="Arial" w:hAnsi="Arial"/>
          <w:sz w:val="17"/>
          <w:szCs w:val="17"/>
          <w:u w:val="single" w:color="auto"/>
          <w:color w:val="000000"/>
        </w:rPr>
        <w:t>Litigation</w:t>
      </w:r>
      <w:r>
        <w:rPr>
          <w:rFonts w:ascii="Arial" w:cs="Arial" w:eastAsia="Arial" w:hAnsi="Arial"/>
          <w:sz w:val="17"/>
          <w:szCs w:val="17"/>
          <w:color w:val="000000"/>
        </w:rPr>
        <w:t>. Except as disclosed in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8.4</w:t>
      </w:r>
      <w:r>
        <w:rPr>
          <w:rFonts w:ascii="Arial" w:cs="Arial" w:eastAsia="Arial" w:hAnsi="Arial"/>
          <w:sz w:val="17"/>
          <w:szCs w:val="17"/>
          <w:color w:val="010000"/>
        </w:rPr>
        <w:t xml:space="preserve"> </w:t>
      </w:r>
      <w:r>
        <w:rPr>
          <w:rFonts w:ascii="Arial" w:cs="Arial" w:eastAsia="Arial" w:hAnsi="Arial"/>
          <w:sz w:val="17"/>
          <w:szCs w:val="17"/>
          <w:color w:val="000000"/>
        </w:rPr>
        <w:t>of the Purchaser Disclosure Schedule, there is no suit, claim, action, investigation, or proceeding</w:t>
      </w:r>
      <w:r>
        <w:rPr>
          <w:rFonts w:ascii="Arial" w:cs="Arial" w:eastAsia="Arial" w:hAnsi="Arial"/>
          <w:sz w:val="17"/>
          <w:szCs w:val="17"/>
          <w:color w:val="010000"/>
        </w:rPr>
        <w:t xml:space="preserve"> </w:t>
      </w:r>
      <w:r>
        <w:rPr>
          <w:rFonts w:ascii="Arial" w:cs="Arial" w:eastAsia="Arial" w:hAnsi="Arial"/>
          <w:sz w:val="17"/>
          <w:szCs w:val="17"/>
          <w:color w:val="000000"/>
        </w:rPr>
        <w:t>pending or, to the Knowledge of Purchaser, threatened in writing against Purchaser or any of its Affiliates, which (a) would reasonably be expected to prevent or materially delay the consummation of the transactions contemplated hereby or materially interfere with Purchaser’s performance of its obligations hereunder, or (b) challenges or seeks to prevent or enjoin the transactions contemplated by this Agreement or any of the Ancillary Agreements. There are no outstanding orders, injunctions, or decrees of any Governmental Entity that apply to Purchaser that restrict the ownership, disposition, or use of any of the Transferred Assets in a manner that would reasonably be expected to prevent or materially delay the consummation of the transactions contemplated hereby or materially interfere with Purchaser’s performance of its obligations hereunder.</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8.5 </w:t>
      </w:r>
      <w:r>
        <w:rPr>
          <w:rFonts w:ascii="Arial" w:cs="Arial" w:eastAsia="Arial" w:hAnsi="Arial"/>
          <w:sz w:val="18"/>
          <w:szCs w:val="18"/>
          <w:u w:val="single" w:color="auto"/>
          <w:color w:val="000000"/>
        </w:rPr>
        <w:t>Debarred Personnel</w:t>
      </w:r>
      <w:r>
        <w:rPr>
          <w:rFonts w:ascii="Arial" w:cs="Arial" w:eastAsia="Arial" w:hAnsi="Arial"/>
          <w:sz w:val="18"/>
          <w:szCs w:val="18"/>
          <w:color w:val="000000"/>
        </w:rPr>
        <w:t>. Neither Purchaser nor any of its Affiliates nor any of Purchaser’s or its Affiliates’ employees or consultants has been</w:t>
      </w:r>
      <w:r>
        <w:rPr>
          <w:rFonts w:ascii="Arial" w:cs="Arial" w:eastAsia="Arial" w:hAnsi="Arial"/>
          <w:sz w:val="18"/>
          <w:szCs w:val="18"/>
          <w:color w:val="010000"/>
        </w:rPr>
        <w:t xml:space="preserve"> </w:t>
      </w:r>
      <w:r>
        <w:rPr>
          <w:rFonts w:ascii="Arial" w:cs="Arial" w:eastAsia="Arial" w:hAnsi="Arial"/>
          <w:sz w:val="18"/>
          <w:szCs w:val="18"/>
          <w:color w:val="000000"/>
        </w:rPr>
        <w:t>debarred or deemed subject to debarment pursuant to Section 306 of the Act nor, to the Knowledge of Purchaser, are any such Persons the subject of a conviction described in such section.</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8"/>
          <w:szCs w:val="18"/>
          <w:color w:val="010000"/>
        </w:rPr>
        <w:t xml:space="preserve">8.6 </w:t>
      </w:r>
      <w:r>
        <w:rPr>
          <w:rFonts w:ascii="Arial" w:cs="Arial" w:eastAsia="Arial" w:hAnsi="Arial"/>
          <w:sz w:val="18"/>
          <w:szCs w:val="18"/>
          <w:u w:val="single" w:color="auto"/>
          <w:color w:val="000000"/>
        </w:rPr>
        <w:t>Availability of Funds</w:t>
      </w:r>
      <w:r>
        <w:rPr>
          <w:rFonts w:ascii="Arial" w:cs="Arial" w:eastAsia="Arial" w:hAnsi="Arial"/>
          <w:sz w:val="18"/>
          <w:szCs w:val="18"/>
          <w:color w:val="000000"/>
        </w:rPr>
        <w:t>.</w:t>
      </w:r>
    </w:p>
    <w:p>
      <w:pPr>
        <w:spacing w:after="0" w:line="225" w:lineRule="exact"/>
        <w:rPr>
          <w:sz w:val="20"/>
          <w:szCs w:val="20"/>
          <w:color w:val="auto"/>
        </w:rPr>
      </w:pPr>
    </w:p>
    <w:p>
      <w:pPr>
        <w:jc w:val="both"/>
        <w:ind w:firstLine="1304"/>
        <w:spacing w:after="0" w:line="263" w:lineRule="auto"/>
        <w:tabs>
          <w:tab w:leader="none" w:pos="1554"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At the Closing, Purchaser will have immediately available cash that is sufficient to pay the full consideration payable hereunder, to satisfy all of the Assumed Liabilities, and to make all other necessary payments in connection with the transactions contemplated by, and to perform its obligations under, this Agreement and the Ancillary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7" w:name="page148"/>
    <w:bookmarkEnd w:id="147"/>
    <w:p>
      <w:pPr>
        <w:jc w:val="both"/>
        <w:ind w:firstLine="1304"/>
        <w:spacing w:after="0" w:line="255" w:lineRule="auto"/>
        <w:tabs>
          <w:tab w:leader="none" w:pos="1551"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After giving effect to the transactions contemplated hereby, including the payment of all amounts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(including all related fees and expenses), Purchaser will not (i) be insolvent (because (x) Purchaser’s financial condition is such that the sum of its debts is greater than the fair value of its assets, (y) the present fair saleable value of Purchaser’s assets will be less than the amount required to pay Purchaser’s probable liability on its debts as they become absolute and matured, or (z) Purchaser is unable to pay all of its debts as and when they become due and payable), (ii) have unreasonably small capital with which to engage in its business, or (iii) have incurred or plan to incur debts beyond its ability to pay as they become absolute and matured.</w:t>
      </w:r>
    </w:p>
    <w:p>
      <w:pPr>
        <w:spacing w:after="0" w:line="192" w:lineRule="exact"/>
        <w:rPr>
          <w:sz w:val="20"/>
          <w:szCs w:val="20"/>
          <w:color w:val="auto"/>
        </w:rPr>
      </w:pPr>
    </w:p>
    <w:p>
      <w:pPr>
        <w:ind w:left="780"/>
        <w:spacing w:after="0"/>
        <w:rPr>
          <w:sz w:val="20"/>
          <w:szCs w:val="20"/>
          <w:color w:val="auto"/>
        </w:rPr>
      </w:pPr>
      <w:r>
        <w:rPr>
          <w:rFonts w:ascii="Arial" w:cs="Arial" w:eastAsia="Arial" w:hAnsi="Arial"/>
          <w:sz w:val="18"/>
          <w:szCs w:val="18"/>
          <w:color w:val="010000"/>
        </w:rPr>
        <w:t xml:space="preserve">8.7 </w:t>
      </w:r>
      <w:r>
        <w:rPr>
          <w:rFonts w:ascii="Arial" w:cs="Arial" w:eastAsia="Arial" w:hAnsi="Arial"/>
          <w:sz w:val="18"/>
          <w:szCs w:val="18"/>
          <w:u w:val="single" w:color="auto"/>
          <w:color w:val="000000"/>
        </w:rPr>
        <w:t>Compliance with Applicable Law</w:t>
      </w:r>
      <w:r>
        <w:rPr>
          <w:rFonts w:ascii="Arial" w:cs="Arial" w:eastAsia="Arial" w:hAnsi="Arial"/>
          <w:sz w:val="18"/>
          <w:szCs w:val="18"/>
          <w:color w:val="000000"/>
        </w:rPr>
        <w:t>.</w:t>
      </w:r>
    </w:p>
    <w:p>
      <w:pPr>
        <w:spacing w:after="0" w:line="225" w:lineRule="exact"/>
        <w:rPr>
          <w:sz w:val="20"/>
          <w:szCs w:val="20"/>
          <w:color w:val="auto"/>
        </w:rPr>
      </w:pPr>
    </w:p>
    <w:p>
      <w:pPr>
        <w:jc w:val="both"/>
        <w:ind w:firstLine="1304"/>
        <w:spacing w:after="0" w:line="263" w:lineRule="auto"/>
        <w:tabs>
          <w:tab w:leader="none" w:pos="1567"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To the Knowledge of Purchaser, neither Purchaser nor any of its Affiliates is in violation of any applicable Law, which would reasonably be expected to prevent or materially delay the consummation of the transactions contemplated hereby or materially interfere with Purchaser’s performance of its obligations hereunder.</w:t>
      </w:r>
    </w:p>
    <w:p>
      <w:pPr>
        <w:spacing w:after="0" w:line="183" w:lineRule="exact"/>
        <w:rPr>
          <w:rFonts w:ascii="Arial" w:cs="Arial" w:eastAsia="Arial" w:hAnsi="Arial"/>
          <w:sz w:val="18"/>
          <w:szCs w:val="18"/>
          <w:color w:val="010000"/>
        </w:rPr>
      </w:pPr>
    </w:p>
    <w:p>
      <w:pPr>
        <w:ind w:firstLine="1304"/>
        <w:spacing w:after="0" w:line="277" w:lineRule="auto"/>
        <w:tabs>
          <w:tab w:leader="none" w:pos="1551"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Purchaser is aware of the applicable Law relating to marketing, distribution, and sale of the Products in the Territory, and will be able to legally import, export, store, market, distribute, and sell the Products in the Territory immediately as of the Closing.</w:t>
      </w:r>
    </w:p>
    <w:p>
      <w:pPr>
        <w:spacing w:after="0" w:line="170" w:lineRule="exact"/>
        <w:rPr>
          <w:rFonts w:ascii="Arial" w:cs="Arial" w:eastAsia="Arial" w:hAnsi="Arial"/>
          <w:sz w:val="18"/>
          <w:szCs w:val="18"/>
          <w:color w:val="010000"/>
        </w:rPr>
      </w:pPr>
    </w:p>
    <w:p>
      <w:pPr>
        <w:ind w:firstLine="1304"/>
        <w:spacing w:after="0" w:line="277" w:lineRule="auto"/>
        <w:tabs>
          <w:tab w:leader="none" w:pos="1540"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As of the NDA Transfer Date, Purchaser or its Affiliates shall have the full organizational and regulatory authority to own, hold, and use the Product NDAs.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8.8 </w:t>
      </w:r>
      <w:r>
        <w:rPr>
          <w:rFonts w:ascii="Arial" w:cs="Arial" w:eastAsia="Arial" w:hAnsi="Arial"/>
          <w:sz w:val="18"/>
          <w:szCs w:val="18"/>
          <w:u w:val="single" w:color="auto"/>
          <w:color w:val="000000"/>
        </w:rPr>
        <w:t>No Knowledge of Misrepresentation or Omission</w:t>
      </w:r>
      <w:r>
        <w:rPr>
          <w:rFonts w:ascii="Arial" w:cs="Arial" w:eastAsia="Arial" w:hAnsi="Arial"/>
          <w:sz w:val="18"/>
          <w:szCs w:val="18"/>
          <w:color w:val="000000"/>
        </w:rPr>
        <w:t>. As of the date of this Agreement, none of the individuals listed on Annex 1.1(c) have actual</w:t>
      </w:r>
      <w:r>
        <w:rPr>
          <w:rFonts w:ascii="Arial" w:cs="Arial" w:eastAsia="Arial" w:hAnsi="Arial"/>
          <w:sz w:val="18"/>
          <w:szCs w:val="18"/>
          <w:color w:val="010000"/>
        </w:rPr>
        <w:t xml:space="preserve"> </w:t>
      </w:r>
      <w:r>
        <w:rPr>
          <w:rFonts w:ascii="Arial" w:cs="Arial" w:eastAsia="Arial" w:hAnsi="Arial"/>
          <w:sz w:val="18"/>
          <w:szCs w:val="18"/>
          <w:color w:val="000000"/>
        </w:rPr>
        <w:t>knowledge (without having conducted or having any duty to conduct any investigation) that the representations and warranties of Novartis made in this Agreement are inaccurate or untrue (including as qualified by the Novartis Disclosure Schedules).</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010000"/>
        </w:rPr>
        <w:t xml:space="preserve">8.9 </w:t>
      </w:r>
      <w:r>
        <w:rPr>
          <w:rFonts w:ascii="Arial" w:cs="Arial" w:eastAsia="Arial" w:hAnsi="Arial"/>
          <w:sz w:val="16"/>
          <w:szCs w:val="16"/>
          <w:u w:val="single" w:color="auto"/>
          <w:color w:val="000000"/>
        </w:rPr>
        <w:t>Independent Assessment; No Inducement or Reliance</w:t>
      </w:r>
      <w:r>
        <w:rPr>
          <w:rFonts w:ascii="Arial" w:cs="Arial" w:eastAsia="Arial" w:hAnsi="Arial"/>
          <w:sz w:val="16"/>
          <w:szCs w:val="16"/>
          <w:color w:val="000000"/>
        </w:rPr>
        <w:t>. Purchaser agrees and acknowledges that, except for the representations and warranties</w:t>
      </w:r>
      <w:r>
        <w:rPr>
          <w:rFonts w:ascii="Arial" w:cs="Arial" w:eastAsia="Arial" w:hAnsi="Arial"/>
          <w:sz w:val="16"/>
          <w:szCs w:val="16"/>
          <w:color w:val="010000"/>
        </w:rPr>
        <w:t xml:space="preserve"> </w:t>
      </w:r>
      <w:r>
        <w:rPr>
          <w:rFonts w:ascii="Arial" w:cs="Arial" w:eastAsia="Arial" w:hAnsi="Arial"/>
          <w:sz w:val="16"/>
          <w:szCs w:val="16"/>
          <w:color w:val="000000"/>
        </w:rPr>
        <w:t xml:space="preserve">expressly set forth in </w:t>
      </w:r>
      <w:r>
        <w:rPr>
          <w:rFonts w:ascii="Arial" w:cs="Arial" w:eastAsia="Arial" w:hAnsi="Arial"/>
          <w:sz w:val="16"/>
          <w:szCs w:val="16"/>
          <w:u w:val="single" w:color="auto"/>
          <w:color w:val="000000"/>
        </w:rPr>
        <w:t>ARTICLE 7</w:t>
      </w:r>
      <w:r>
        <w:rPr>
          <w:rFonts w:ascii="Arial" w:cs="Arial" w:eastAsia="Arial" w:hAnsi="Arial"/>
          <w:sz w:val="16"/>
          <w:szCs w:val="16"/>
          <w:color w:val="000000"/>
        </w:rPr>
        <w:t xml:space="preserve"> (as modified by the Novartis Disclosure Schedule), neither Novartis nor any of its Affiliates, or any of their respective Representatives, or any other Person has made or is making, and Purchaser has not relied upon and is not relying upon, any other representations or warranties, promises, covenants, agreements, or guaranties, statutory, common law, or otherwise, of any nature, oral or written, past, present, or future, including any other representations or warranties, express or implied. In addition, Purchaser has not relied upon and is not relying upon the accuracy or completeness of any other information, made by, or made available by, Novartis, its Affiliates or any of their respective Representatives, with respect to, or in connection with, the negotiation, execution, or delivery of this Agreement or the transactions contemplated hereby, notwithstanding the delivery or disclosure of any documentation or other information with respect to any one or more of the foregoing, including in any “data room” relating to the transactions contemplated by this Agreement, in management presentations, functional “break-out” discussions, responses to questions or requests submitted by or on behalf of Purchaser, or in any other form provided or made available to Purchaser or its Representatives in anticipation or contemplation of any of the transactions contemplated hereby. Furthermore, in connection with the due diligence investigation of the Drug Substance, the Products, the Transferred Assets, the Assumed Liabilities, and the Licensed IP by and on behalf of Purchaser, Purchaser and its Representatives have received and may continue to receive from Novartis, its Affiliates, or any of their respective Representatives certain estimates, projections, forecasts, and other forward-looking information, as well as certain business plan information, regarding the Drug Substance, the Products, the Transferred Assets, the Assumed Liabilities, and the Licensed IP. Purchaser hereby acknowledges that there are uncertainties inherent in attempting to make such estimates, projections, forecasts, and other forward-looking statements, as well as in such business plans, with which Purchaser is familiar, that Purchaser is taking full responsibility for making its own evaluation of the adequacy and accuracy of all estimates, projections, forecasts, and other forward-looking information, as well as such business plans, so furnished to it (including the reasonableness of the assumptions underlying such estimates, projections, forecasts, forward-looking information, or business plans), and that Purchaser will have no claim against Novartis, its Affiliates, or any of their respective Representatives, with respect thereto. Accordingly, Purchaser hereby acknowledges that none of Novartis, its Affiliates, or any of their respective Representatives, has made or is making any representation or warranty with respect to, and Purchaser has not relied upon, such estimates, projections, forecasts, forward-looking statements, or business plans (including the reasonableness of the assumptions underlying such estimates, projections, forecasts, forward-looking statements, or business plans).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8" w:name="page149"/>
    <w:bookmarkEnd w:id="148"/>
    <w:p>
      <w:pPr>
        <w:jc w:val="both"/>
        <w:ind w:firstLine="648"/>
        <w:spacing w:after="0" w:line="259" w:lineRule="auto"/>
        <w:rPr>
          <w:sz w:val="20"/>
          <w:szCs w:val="20"/>
          <w:color w:val="auto"/>
        </w:rPr>
      </w:pPr>
      <w:r>
        <w:rPr>
          <w:rFonts w:ascii="Arial" w:cs="Arial" w:eastAsia="Arial" w:hAnsi="Arial"/>
          <w:sz w:val="18"/>
          <w:szCs w:val="18"/>
          <w:color w:val="010000"/>
        </w:rPr>
        <w:t xml:space="preserve">8.10 </w:t>
      </w:r>
      <w:r>
        <w:rPr>
          <w:rFonts w:ascii="Arial" w:cs="Arial" w:eastAsia="Arial" w:hAnsi="Arial"/>
          <w:sz w:val="18"/>
          <w:szCs w:val="18"/>
          <w:u w:val="single" w:color="auto"/>
          <w:color w:val="000000"/>
        </w:rPr>
        <w:t>Exclusivity of Representations</w:t>
      </w:r>
      <w:r>
        <w:rPr>
          <w:rFonts w:ascii="Arial" w:cs="Arial" w:eastAsia="Arial" w:hAnsi="Arial"/>
          <w:sz w:val="18"/>
          <w:szCs w:val="18"/>
          <w:color w:val="000000"/>
        </w:rPr>
        <w:t>. Except for the representations and warranties contained in this ARTICLE 8 (as modified by the Purchaser</w:t>
      </w:r>
      <w:r>
        <w:rPr>
          <w:rFonts w:ascii="Arial" w:cs="Arial" w:eastAsia="Arial" w:hAnsi="Arial"/>
          <w:sz w:val="18"/>
          <w:szCs w:val="18"/>
          <w:color w:val="010000"/>
        </w:rPr>
        <w:t xml:space="preserve"> </w:t>
      </w:r>
      <w:r>
        <w:rPr>
          <w:rFonts w:ascii="Arial" w:cs="Arial" w:eastAsia="Arial" w:hAnsi="Arial"/>
          <w:sz w:val="18"/>
          <w:szCs w:val="18"/>
          <w:color w:val="000000"/>
        </w:rPr>
        <w:t>Disclosure Schedule) and in the Ancillary Agreements, neither Purchaser nor any other Person makes any other express or implied representation or warranty with respect to the transactions contemplated by this Agreement, and Purchaser disclaims any other representations or warranties, whether made by Purchaser, its Affiliates, or any of their respective Representatives.</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covenant and agree as follows:</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010000"/>
        </w:rPr>
        <w:t xml:space="preserve">9.1 </w:t>
      </w:r>
      <w:r>
        <w:rPr>
          <w:rFonts w:ascii="Arial" w:cs="Arial" w:eastAsia="Arial" w:hAnsi="Arial"/>
          <w:sz w:val="16"/>
          <w:szCs w:val="16"/>
          <w:u w:val="single" w:color="auto"/>
          <w:color w:val="000000"/>
        </w:rPr>
        <w:t>Confidentiality</w:t>
      </w:r>
      <w:r>
        <w:rPr>
          <w:rFonts w:ascii="Arial" w:cs="Arial" w:eastAsia="Arial" w:hAnsi="Arial"/>
          <w:sz w:val="16"/>
          <w:szCs w:val="16"/>
          <w:color w:val="000000"/>
        </w:rPr>
        <w:t>. Each of Novartis and Purchaser covenants and agrees that neither it nor any of its Affiliates shall disclose any Confidential</w:t>
      </w:r>
      <w:r>
        <w:rPr>
          <w:rFonts w:ascii="Arial" w:cs="Arial" w:eastAsia="Arial" w:hAnsi="Arial"/>
          <w:sz w:val="16"/>
          <w:szCs w:val="16"/>
          <w:color w:val="010000"/>
        </w:rPr>
        <w:t xml:space="preserve"> </w:t>
      </w:r>
      <w:r>
        <w:rPr>
          <w:rFonts w:ascii="Arial" w:cs="Arial" w:eastAsia="Arial" w:hAnsi="Arial"/>
          <w:sz w:val="16"/>
          <w:szCs w:val="16"/>
          <w:color w:val="000000"/>
        </w:rPr>
        <w:t xml:space="preserve">Information (as defined below) to any Third Party other than to (a) its and its Affiliates’ respective Representatives who need to know such information and who are bound by restrictions regarding disclosure and use of such Confidential Information comparable to and no less restrictive than those set forth herein, and (b) actual and proposed (sub)licensees, manufacturers, suppliers, contractors, distributors, and permitted assignees who are bound in writing by restrictions regarding disclosure and use of the Confidential Information comparable to and no less restrictive than those set forth herein;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Purchaser may disclose Confidential Information in confidence to any Person with whom such Purchaser has, or is proposing to enter into, a business relationship related to any of the Transferred Assets and to any Governmental Entity for purposes of obtaining approval to test or market a Product. For purposes of this </w:t>
      </w:r>
      <w:r>
        <w:rPr>
          <w:rFonts w:ascii="Arial" w:cs="Arial" w:eastAsia="Arial" w:hAnsi="Arial"/>
          <w:sz w:val="16"/>
          <w:szCs w:val="16"/>
          <w:u w:val="single" w:color="auto"/>
          <w:color w:val="000000"/>
        </w:rPr>
        <w:t>Section 9.1</w:t>
      </w:r>
      <w:r>
        <w:rPr>
          <w:rFonts w:ascii="Arial" w:cs="Arial" w:eastAsia="Arial" w:hAnsi="Arial"/>
          <w:sz w:val="16"/>
          <w:szCs w:val="16"/>
          <w:color w:val="000000"/>
        </w:rPr>
        <w:t>, “</w:t>
      </w:r>
      <w:r>
        <w:rPr>
          <w:rFonts w:ascii="Arial" w:cs="Arial" w:eastAsia="Arial" w:hAnsi="Arial"/>
          <w:sz w:val="16"/>
          <w:szCs w:val="16"/>
          <w:b w:val="1"/>
          <w:bCs w:val="1"/>
          <w:color w:val="000000"/>
        </w:rPr>
        <w:t>Confidential Information</w:t>
      </w:r>
      <w:r>
        <w:rPr>
          <w:rFonts w:ascii="Arial" w:cs="Arial" w:eastAsia="Arial" w:hAnsi="Arial"/>
          <w:sz w:val="16"/>
          <w:szCs w:val="16"/>
          <w:color w:val="000000"/>
        </w:rPr>
        <w:t>” means (1) any confidential or proprietary information of, or concerning, the Drug Substance, the Products, the Transferred Assets, or the Licensed IP, and (2) the terms and conditions of this Agreement and the Ancillary Agreements and the transactions contemplated hereby and thereby. The obligations of confidentiality set forth in this Agreement shall not apply to any such Confidential Information that:</w:t>
      </w:r>
    </w:p>
    <w:p>
      <w:pPr>
        <w:spacing w:after="0" w:line="5" w:lineRule="exact"/>
        <w:rPr>
          <w:sz w:val="20"/>
          <w:szCs w:val="20"/>
          <w:color w:val="auto"/>
        </w:rPr>
      </w:pPr>
    </w:p>
    <w:p>
      <w:pPr>
        <w:jc w:val="both"/>
        <w:ind w:firstLine="8"/>
        <w:spacing w:after="0" w:line="268" w:lineRule="auto"/>
        <w:tabs>
          <w:tab w:leader="none" w:pos="238"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is independently developed without access to or use of the Confidential Information; (ii) is or becomes (or has already become) publicly available without breach of this Agreement or any Ancillary Agreement; or (iii) is rightfully received from a Third Party without obligation of confidentiality having the right to disclose such Confidential Information. In addition, notwithstanding the confidentiality obligations set forth in this Agreement, each Party may disclose Confidential Information to the extent the disclosure of which is consented to by the other Party in writing or the disclosure of which is requested or required by a Governmental Entity or applicable Law, rule (including rule of a stock exchange, listing agency or automated quotation system) or legal process (whether by statute, rule, regulation, court order, requests for information in legal proceedings, subpoena, civil investigative demand, or other similar process). In maintaining the confidentiality of Confidential Information, each Party shall exercise the same degree of care that it exercises with its own confidential information, and in no event less than a reasonable degree of care. Effective as of the Closing,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supersede the Confidentiality Agreement in all respects and all confidential information shared pursuant to the Confidentiality Agreement prior to the Closing shall be deemed Confidential Information for purposes hereof.</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9.2 </w:t>
      </w:r>
      <w:r>
        <w:rPr>
          <w:rFonts w:ascii="Arial" w:cs="Arial" w:eastAsia="Arial" w:hAnsi="Arial"/>
          <w:sz w:val="16"/>
          <w:szCs w:val="16"/>
          <w:u w:val="single" w:color="auto"/>
          <w:color w:val="000000"/>
        </w:rPr>
        <w:t>Press Releases</w:t>
      </w:r>
      <w:r>
        <w:rPr>
          <w:rFonts w:ascii="Arial" w:cs="Arial" w:eastAsia="Arial" w:hAnsi="Arial"/>
          <w:sz w:val="16"/>
          <w:szCs w:val="16"/>
          <w:color w:val="000000"/>
        </w:rPr>
        <w:t>. Neither Party shall issue any press release, trade announcement, or make any other public announcement with regard to the</w:t>
      </w:r>
      <w:r>
        <w:rPr>
          <w:rFonts w:ascii="Arial" w:cs="Arial" w:eastAsia="Arial" w:hAnsi="Arial"/>
          <w:sz w:val="16"/>
          <w:szCs w:val="16"/>
          <w:color w:val="010000"/>
        </w:rPr>
        <w:t xml:space="preserve"> </w:t>
      </w:r>
      <w:r>
        <w:rPr>
          <w:rFonts w:ascii="Arial" w:cs="Arial" w:eastAsia="Arial" w:hAnsi="Arial"/>
          <w:sz w:val="16"/>
          <w:szCs w:val="16"/>
          <w:color w:val="000000"/>
        </w:rPr>
        <w:t xml:space="preserve">transactions contemplated by this Agreement without the other Party’s prior written consent, which shall not be unreasonably withheld, conditioned, or delayed. This restriction shall not apply to announcements required by any Laws applicable to the Parties or any of their respective Affiliates, by a request by a Governmental Entity, or by an obligation pursuant to the rules of any securities exchange (and only to the extent so required);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in such event the Parties shall, to the extent reasonably practicable, reasonably cooperate to agree upon the content and wording of any such announcements. Each Party acknowledges that the other Party shall have the right to (a) disclose a brief summary of the transactions contemplated by this Agreement, including the Purchase Price, in its official financial reports, and (b) communicate with its customers, suppliers, distributors, and other contractual counterparties, regarding this Agreement, the Ancillary Agreements, and the transactions contemplated hereby or thereby, including in order to obtain consents of or from any such Person necessary or desirable to effect the consummation of the transactions contemplated hereby or thereby. To the extent any Party is required to file a copy of this Agreement or any Ancillary Agreement as an exhibit to any filings with, or otherwise publicly disclose the terms hereof or thereof to, any securities exchange or any other Governmental Entity, the Parties shall use reasonable efforts to coordinate in advance on the form of redacted version of this Agreement or applicable Ancillary Agreement or the terms to be so filed or disclosed and permit the other Party to provide comments and take such comments into account in good faith prior to making such filing.</w:t>
      </w:r>
    </w:p>
    <w:p>
      <w:pPr>
        <w:spacing w:after="0" w:line="1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9.3 </w:t>
      </w:r>
      <w:r>
        <w:rPr>
          <w:rFonts w:ascii="Arial" w:cs="Arial" w:eastAsia="Arial" w:hAnsi="Arial"/>
          <w:sz w:val="17"/>
          <w:szCs w:val="17"/>
          <w:u w:val="single" w:color="auto"/>
          <w:color w:val="000000"/>
        </w:rPr>
        <w:t>Novartis Names and Marks</w:t>
      </w:r>
      <w:r>
        <w:rPr>
          <w:rFonts w:ascii="Arial" w:cs="Arial" w:eastAsia="Arial" w:hAnsi="Arial"/>
          <w:sz w:val="17"/>
          <w:szCs w:val="17"/>
          <w:color w:val="000000"/>
        </w:rPr>
        <w:t>. Purchaser hereby acknowledges that all right, title, and interest in and to the names “Novartis,” “Ciba-Geigy,” or</w:t>
      </w:r>
      <w:r>
        <w:rPr>
          <w:rFonts w:ascii="Arial" w:cs="Arial" w:eastAsia="Arial" w:hAnsi="Arial"/>
          <w:sz w:val="17"/>
          <w:szCs w:val="17"/>
          <w:color w:val="010000"/>
        </w:rPr>
        <w:t xml:space="preserve"> </w:t>
      </w:r>
      <w:r>
        <w:rPr>
          <w:rFonts w:ascii="Arial" w:cs="Arial" w:eastAsia="Arial" w:hAnsi="Arial"/>
          <w:sz w:val="17"/>
          <w:szCs w:val="17"/>
          <w:color w:val="000000"/>
        </w:rPr>
        <w:t>“Sandoz” and the “Novartis,” “Ciba-Geigy,” or “Sandoz” logos, together with all variations thereof and all trademarks, service marks, domain names, trade names, trade dress, corporate names, and other identifiers of source containing, incorporating or associated with any of the foregoing (the “</w:t>
      </w:r>
      <w:r>
        <w:rPr>
          <w:rFonts w:ascii="Arial" w:cs="Arial" w:eastAsia="Arial" w:hAnsi="Arial"/>
          <w:sz w:val="17"/>
          <w:szCs w:val="17"/>
          <w:b w:val="1"/>
          <w:bCs w:val="1"/>
          <w:color w:val="000000"/>
        </w:rPr>
        <w:t>Novartis</w:t>
      </w:r>
      <w:r>
        <w:rPr>
          <w:rFonts w:ascii="Arial" w:cs="Arial" w:eastAsia="Arial" w:hAnsi="Arial"/>
          <w:sz w:val="17"/>
          <w:szCs w:val="17"/>
          <w:color w:val="000000"/>
        </w:rPr>
        <w:t xml:space="preserve"> </w:t>
      </w:r>
      <w:r>
        <w:rPr>
          <w:rFonts w:ascii="Arial" w:cs="Arial" w:eastAsia="Arial" w:hAnsi="Arial"/>
          <w:sz w:val="17"/>
          <w:szCs w:val="17"/>
          <w:b w:val="1"/>
          <w:bCs w:val="1"/>
          <w:color w:val="000000"/>
        </w:rPr>
        <w:t>Names and Marks</w:t>
      </w:r>
      <w:r>
        <w:rPr>
          <w:rFonts w:ascii="Arial" w:cs="Arial" w:eastAsia="Arial" w:hAnsi="Arial"/>
          <w:sz w:val="17"/>
          <w:szCs w:val="17"/>
          <w:color w:val="000000"/>
        </w:rPr>
        <w:t>”) are owned exclusively by Novartis and/or its Affiliates. Purchaser further acknowledges that it has no rights, and is not acquiring any</w:t>
      </w:r>
      <w:r>
        <w:rPr>
          <w:rFonts w:ascii="Arial" w:cs="Arial" w:eastAsia="Arial" w:hAnsi="Arial"/>
          <w:sz w:val="17"/>
          <w:szCs w:val="17"/>
          <w:b w:val="1"/>
          <w:bCs w:val="1"/>
          <w:color w:val="000000"/>
        </w:rPr>
        <w:t xml:space="preserve"> </w:t>
      </w:r>
      <w:r>
        <w:rPr>
          <w:rFonts w:ascii="Arial" w:cs="Arial" w:eastAsia="Arial" w:hAnsi="Arial"/>
          <w:sz w:val="17"/>
          <w:szCs w:val="17"/>
          <w:color w:val="000000"/>
        </w:rPr>
        <w:t>rights, to use the Novartis Names and Marks, except as expressly provided in the Supply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9" w:name="page150"/>
    <w:bookmarkEnd w:id="149"/>
    <w:p>
      <w:pPr>
        <w:ind w:left="780"/>
        <w:spacing w:after="0"/>
        <w:rPr>
          <w:sz w:val="20"/>
          <w:szCs w:val="20"/>
          <w:color w:val="auto"/>
        </w:rPr>
      </w:pPr>
      <w:r>
        <w:rPr>
          <w:rFonts w:ascii="Arial" w:cs="Arial" w:eastAsia="Arial" w:hAnsi="Arial"/>
          <w:sz w:val="18"/>
          <w:szCs w:val="18"/>
          <w:color w:val="010000"/>
        </w:rPr>
        <w:t xml:space="preserve">9.4 </w:t>
      </w:r>
      <w:r>
        <w:rPr>
          <w:rFonts w:ascii="Arial" w:cs="Arial" w:eastAsia="Arial" w:hAnsi="Arial"/>
          <w:sz w:val="18"/>
          <w:szCs w:val="18"/>
          <w:u w:val="single" w:color="auto"/>
          <w:color w:val="000000"/>
        </w:rPr>
        <w:t>Pharmacovigilance Agreement; Other Obligations</w:t>
      </w:r>
      <w:r>
        <w:rPr>
          <w:rFonts w:ascii="Arial" w:cs="Arial" w:eastAsia="Arial" w:hAnsi="Arial"/>
          <w:sz w:val="18"/>
          <w:szCs w:val="18"/>
          <w:color w:val="000000"/>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81"/>
        </w:numPr>
        <w:rPr>
          <w:rFonts w:ascii="Arial" w:cs="Arial" w:eastAsia="Arial" w:hAnsi="Arial"/>
          <w:sz w:val="18"/>
          <w:szCs w:val="18"/>
          <w:color w:val="010000"/>
        </w:rPr>
      </w:pPr>
      <w:r>
        <w:rPr>
          <w:rFonts w:ascii="Arial" w:cs="Arial" w:eastAsia="Arial" w:hAnsi="Arial"/>
          <w:sz w:val="18"/>
          <w:szCs w:val="18"/>
          <w:i w:val="1"/>
          <w:iCs w:val="1"/>
          <w:color w:val="auto"/>
        </w:rPr>
        <w:t>Negotiation of Pharmacovigilance Agreement</w:t>
      </w:r>
      <w:r>
        <w:rPr>
          <w:rFonts w:ascii="Arial" w:cs="Arial" w:eastAsia="Arial" w:hAnsi="Arial"/>
          <w:sz w:val="18"/>
          <w:szCs w:val="18"/>
          <w:color w:val="auto"/>
        </w:rPr>
        <w:t>. Following the Closing, the Parties shall negotiate in good faith and use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best efforts to negotiate and finalize the Pharmacovigilance Agreement as promptly as practicable, and in any event, before it is required by any jurisdiction in the Territory. Between the Closing Date and the execution of the Pharmacovigilance Agreement, each Party shall (i) notify the other Party in writing within two (2) calendar days of becoming aware of any Adverse Events, complaints, or other safety-related issues with respect to the Products (or Ex-Territory Products, as applicable), and (ii) cooperate with the other Party in investigating any such Adverse Events, complaints, or other safety-related issues.</w:t>
      </w:r>
    </w:p>
    <w:p>
      <w:pPr>
        <w:spacing w:after="0" w:line="192" w:lineRule="exact"/>
        <w:rPr>
          <w:rFonts w:ascii="Arial" w:cs="Arial" w:eastAsia="Arial" w:hAnsi="Arial"/>
          <w:sz w:val="18"/>
          <w:szCs w:val="18"/>
          <w:color w:val="010000"/>
        </w:rPr>
      </w:pPr>
    </w:p>
    <w:p>
      <w:pPr>
        <w:jc w:val="both"/>
        <w:ind w:firstLine="1304"/>
        <w:spacing w:after="0" w:line="259" w:lineRule="auto"/>
        <w:tabs>
          <w:tab w:leader="none" w:pos="1551" w:val="left"/>
        </w:tabs>
        <w:numPr>
          <w:ilvl w:val="0"/>
          <w:numId w:val="81"/>
        </w:numPr>
        <w:rPr>
          <w:rFonts w:ascii="Arial" w:cs="Arial" w:eastAsia="Arial" w:hAnsi="Arial"/>
          <w:sz w:val="18"/>
          <w:szCs w:val="18"/>
          <w:color w:val="010000"/>
        </w:rPr>
      </w:pPr>
      <w:r>
        <w:rPr>
          <w:rFonts w:ascii="Arial" w:cs="Arial" w:eastAsia="Arial" w:hAnsi="Arial"/>
          <w:sz w:val="18"/>
          <w:szCs w:val="18"/>
          <w:i w:val="1"/>
          <w:iCs w:val="1"/>
          <w:color w:val="auto"/>
        </w:rPr>
        <w:t>Medical and Other Inquiries</w:t>
      </w:r>
      <w:r>
        <w:rPr>
          <w:rFonts w:ascii="Arial" w:cs="Arial" w:eastAsia="Arial" w:hAnsi="Arial"/>
          <w:sz w:val="18"/>
          <w:szCs w:val="18"/>
          <w:color w:val="auto"/>
        </w:rPr>
        <w:t>. Except to the extent otherwise provided in this Agreement or any Ancillary Agreement, from and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NDA Transfer Date, Purchaser (i) shall be responsible for handling and responding to all customer complaints and inquiries (including medical and non-medical inquiries) related to the Products, and (ii) shall be responsible for all correspondence and communication with physicians and other health care professionals relating to the Products.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010000"/>
        </w:rPr>
        <w:t xml:space="preserve">9.5 </w:t>
      </w:r>
      <w:r>
        <w:rPr>
          <w:rFonts w:ascii="Arial" w:cs="Arial" w:eastAsia="Arial" w:hAnsi="Arial"/>
          <w:sz w:val="17"/>
          <w:szCs w:val="17"/>
          <w:u w:val="single" w:color="auto"/>
          <w:color w:val="000000"/>
        </w:rPr>
        <w:t>Transferring of Product NDAs.</w:t>
      </w:r>
      <w:r>
        <w:rPr>
          <w:rFonts w:ascii="Arial" w:cs="Arial" w:eastAsia="Arial" w:hAnsi="Arial"/>
          <w:sz w:val="17"/>
          <w:szCs w:val="17"/>
          <w:color w:val="010000"/>
        </w:rPr>
        <w:t xml:space="preserve"> </w:t>
      </w:r>
      <w:r>
        <w:rPr>
          <w:rFonts w:ascii="Arial" w:cs="Arial" w:eastAsia="Arial" w:hAnsi="Arial"/>
          <w:sz w:val="17"/>
          <w:szCs w:val="17"/>
          <w:color w:val="000000"/>
        </w:rPr>
        <w:t>The Parties shall provide written notice to the FDA before the end of the Phase 1 Period, of the transfer of the</w:t>
      </w:r>
      <w:r>
        <w:rPr>
          <w:rFonts w:ascii="Arial" w:cs="Arial" w:eastAsia="Arial" w:hAnsi="Arial"/>
          <w:sz w:val="17"/>
          <w:szCs w:val="17"/>
          <w:color w:val="010000"/>
        </w:rPr>
        <w:t xml:space="preserve"> </w:t>
      </w:r>
      <w:r>
        <w:rPr>
          <w:rFonts w:ascii="Arial" w:cs="Arial" w:eastAsia="Arial" w:hAnsi="Arial"/>
          <w:sz w:val="17"/>
          <w:szCs w:val="17"/>
          <w:color w:val="000000"/>
        </w:rPr>
        <w:t>Product NDAs from Novartis to the Purchaser. Purchaser shall bear (either directly when feasible or by way of reimbursement to Novartis) the Third-Party fees levied by FDA or any other Governmental Entities in the Territory and any other relevant costs for such transfer to Purchaser.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9.6 </w:t>
      </w:r>
      <w:r>
        <w:rPr>
          <w:rFonts w:ascii="Arial" w:cs="Arial" w:eastAsia="Arial" w:hAnsi="Arial"/>
          <w:sz w:val="18"/>
          <w:szCs w:val="18"/>
          <w:u w:val="single" w:color="auto"/>
          <w:color w:val="000000"/>
        </w:rPr>
        <w:t>Maintenance of Product NDAs Pending Notification of Transfer to the FDA</w:t>
      </w:r>
      <w:r>
        <w:rPr>
          <w:rFonts w:ascii="Arial" w:cs="Arial" w:eastAsia="Arial" w:hAnsi="Arial"/>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Until notification of transfer of the Product NDAs to the FDA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Novartis shall use its commercially reasonable efforts to maintain the Product NDAs;</w:t>
      </w:r>
    </w:p>
    <w:p>
      <w:pPr>
        <w:spacing w:after="0" w:line="225" w:lineRule="exact"/>
        <w:rPr>
          <w:rFonts w:ascii="Arial" w:cs="Arial" w:eastAsia="Arial" w:hAnsi="Arial"/>
          <w:sz w:val="18"/>
          <w:szCs w:val="18"/>
          <w:color w:val="010000"/>
        </w:rPr>
      </w:pPr>
    </w:p>
    <w:p>
      <w:pPr>
        <w:ind w:firstLine="1304"/>
        <w:spacing w:after="0" w:line="277" w:lineRule="auto"/>
        <w:tabs>
          <w:tab w:leader="none" w:pos="1564"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Novartis shall be free to continue to pursue those ongoing variations, amendments, and renewals of the Product NDAs which are pending at the Closing Date or withdraw them, at its own discretion; and</w:t>
      </w:r>
    </w:p>
    <w:p>
      <w:pPr>
        <w:spacing w:after="0" w:line="170" w:lineRule="exact"/>
        <w:rPr>
          <w:rFonts w:ascii="Arial" w:cs="Arial" w:eastAsia="Arial" w:hAnsi="Arial"/>
          <w:sz w:val="18"/>
          <w:szCs w:val="18"/>
          <w:color w:val="010000"/>
        </w:rPr>
      </w:pPr>
    </w:p>
    <w:p>
      <w:pPr>
        <w:ind w:firstLine="1304"/>
        <w:spacing w:after="0" w:line="308" w:lineRule="auto"/>
        <w:tabs>
          <w:tab w:leader="none" w:pos="1540"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Novartis shall not initiate any additional variations or amendments of the Product NDAs, except in the event they are indispensable for the manufacture, sale, marketing, distribution, or other commercialization of the Product and upon Purchaser’s written request.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010000"/>
        </w:rPr>
        <w:t xml:space="preserve">9.7 </w:t>
      </w:r>
      <w:r>
        <w:rPr>
          <w:rFonts w:ascii="Arial" w:cs="Arial" w:eastAsia="Arial" w:hAnsi="Arial"/>
          <w:sz w:val="18"/>
          <w:szCs w:val="18"/>
          <w:u w:val="single" w:color="auto"/>
          <w:color w:val="000000"/>
        </w:rPr>
        <w:t>Recordations and Filings</w:t>
      </w:r>
      <w:r>
        <w:rPr>
          <w:rFonts w:ascii="Arial" w:cs="Arial" w:eastAsia="Arial" w:hAnsi="Arial"/>
          <w:sz w:val="18"/>
          <w:szCs w:val="18"/>
          <w:color w:val="000000"/>
        </w:rPr>
        <w:t>. Following the Closing Date, Purchaser shall be responsible for and bear, and reimburse Novartis for, any and all</w:t>
      </w:r>
      <w:r>
        <w:rPr>
          <w:rFonts w:ascii="Arial" w:cs="Arial" w:eastAsia="Arial" w:hAnsi="Arial"/>
          <w:sz w:val="18"/>
          <w:szCs w:val="18"/>
          <w:color w:val="010000"/>
        </w:rPr>
        <w:t xml:space="preserve"> </w:t>
      </w:r>
      <w:r>
        <w:rPr>
          <w:rFonts w:ascii="Arial" w:cs="Arial" w:eastAsia="Arial" w:hAnsi="Arial"/>
          <w:sz w:val="18"/>
          <w:szCs w:val="18"/>
          <w:color w:val="000000"/>
        </w:rPr>
        <w:t>costs associated with any recordation of the Patent Assignment Agreement, the Trademark Assignment Agreement, and the Domain Name Assignment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0" w:name="page151"/>
    <w:bookmarkEnd w:id="150"/>
    <w:p>
      <w:pPr>
        <w:jc w:val="both"/>
        <w:ind w:firstLine="648"/>
        <w:spacing w:after="0" w:line="257" w:lineRule="auto"/>
        <w:rPr>
          <w:sz w:val="20"/>
          <w:szCs w:val="20"/>
          <w:color w:val="auto"/>
        </w:rPr>
      </w:pPr>
      <w:r>
        <w:rPr>
          <w:rFonts w:ascii="Arial" w:cs="Arial" w:eastAsia="Arial" w:hAnsi="Arial"/>
          <w:sz w:val="18"/>
          <w:szCs w:val="18"/>
          <w:color w:val="010000"/>
        </w:rPr>
        <w:t xml:space="preserve">9.8 </w:t>
      </w:r>
      <w:r>
        <w:rPr>
          <w:rFonts w:ascii="Arial" w:cs="Arial" w:eastAsia="Arial" w:hAnsi="Arial"/>
          <w:sz w:val="18"/>
          <w:szCs w:val="18"/>
          <w:u w:val="single" w:color="auto"/>
          <w:color w:val="000000"/>
        </w:rPr>
        <w:t>Authorized generic agreement.</w:t>
      </w:r>
      <w:r>
        <w:rPr>
          <w:rFonts w:ascii="Arial" w:cs="Arial" w:eastAsia="Arial" w:hAnsi="Arial"/>
          <w:sz w:val="18"/>
          <w:szCs w:val="18"/>
          <w:color w:val="010000"/>
        </w:rPr>
        <w:t xml:space="preserve"> </w:t>
      </w:r>
      <w:r>
        <w:rPr>
          <w:rFonts w:ascii="Arial" w:cs="Arial" w:eastAsia="Arial" w:hAnsi="Arial"/>
          <w:sz w:val="18"/>
          <w:szCs w:val="18"/>
          <w:color w:val="000000"/>
        </w:rPr>
        <w:t>Following the Closing Date, Purchaser shall negotiate in good faith with Sandoz to agree an authorized</w:t>
      </w:r>
      <w:r>
        <w:rPr>
          <w:rFonts w:ascii="Arial" w:cs="Arial" w:eastAsia="Arial" w:hAnsi="Arial"/>
          <w:sz w:val="18"/>
          <w:szCs w:val="18"/>
          <w:color w:val="010000"/>
        </w:rPr>
        <w:t xml:space="preserve"> </w:t>
      </w:r>
      <w:r>
        <w:rPr>
          <w:rFonts w:ascii="Arial" w:cs="Arial" w:eastAsia="Arial" w:hAnsi="Arial"/>
          <w:sz w:val="18"/>
          <w:szCs w:val="18"/>
          <w:color w:val="000000"/>
        </w:rPr>
        <w:t>generics agreement which shall entitle Sandoz to continue to commercialize the 0.5% apraclonidine hydrochloride product sold by it in the Territory as an authorized generic product as at the date of this Agreement. For the avoidance of doubt, from the Closing Date until an authorized generics agreement is signed between Sandoz and Purchaser, Sandoz shall remain entitled to continue to commercialize the 0.5% apraclonidine hydrochloride product sold by it in the Territory.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9.9 </w:t>
      </w:r>
      <w:r>
        <w:rPr>
          <w:rFonts w:ascii="Arial" w:cs="Arial" w:eastAsia="Arial" w:hAnsi="Arial"/>
          <w:sz w:val="18"/>
          <w:szCs w:val="18"/>
          <w:u w:val="single" w:color="auto"/>
          <w:color w:val="000000"/>
        </w:rPr>
        <w:t>Accounts Receivable and Payable</w:t>
      </w:r>
      <w:r>
        <w:rPr>
          <w:rFonts w:ascii="Arial" w:cs="Arial" w:eastAsia="Arial" w:hAnsi="Arial"/>
          <w:sz w:val="18"/>
          <w:szCs w:val="18"/>
          <w:color w:val="000000"/>
        </w:rPr>
        <w:t>.</w:t>
      </w:r>
    </w:p>
    <w:p>
      <w:pPr>
        <w:spacing w:after="0" w:line="225" w:lineRule="exact"/>
        <w:rPr>
          <w:sz w:val="20"/>
          <w:szCs w:val="20"/>
          <w:color w:val="auto"/>
        </w:rPr>
      </w:pPr>
    </w:p>
    <w:p>
      <w:pPr>
        <w:jc w:val="both"/>
        <w:ind w:firstLine="1304"/>
        <w:spacing w:after="0" w:line="288" w:lineRule="auto"/>
        <w:tabs>
          <w:tab w:leader="none" w:pos="1540" w:val="left"/>
        </w:tabs>
        <w:numPr>
          <w:ilvl w:val="0"/>
          <w:numId w:val="83"/>
        </w:numPr>
        <w:rPr>
          <w:rFonts w:ascii="Arial" w:cs="Arial" w:eastAsia="Arial" w:hAnsi="Arial"/>
          <w:sz w:val="16"/>
          <w:szCs w:val="16"/>
          <w:color w:val="010000"/>
        </w:rPr>
      </w:pPr>
      <w:r>
        <w:rPr>
          <w:rFonts w:ascii="Arial" w:cs="Arial" w:eastAsia="Arial" w:hAnsi="Arial"/>
          <w:sz w:val="16"/>
          <w:szCs w:val="16"/>
          <w:i w:val="1"/>
          <w:iCs w:val="1"/>
          <w:color w:val="auto"/>
        </w:rPr>
        <w:t>Accounts Receivable</w:t>
      </w:r>
      <w:r>
        <w:rPr>
          <w:rFonts w:ascii="Arial" w:cs="Arial" w:eastAsia="Arial" w:hAnsi="Arial"/>
          <w:sz w:val="16"/>
          <w:szCs w:val="16"/>
          <w:color w:val="auto"/>
        </w:rPr>
        <w:t>. The Parties acknowledge and agree that all accounts receivable outstanding on the Closing Date shall remain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of Novartis or its Affiliates and shall be collected by Novartis or its Affiliates subsequent to the Closing. In the event that, subsequent to the Closing, Purchaser or an Affiliate of Purchaser receives any payments from any obligor with respect to an account receivable or other payment belonging to Novartis, then Purchaser shall, within thirty (30) calendar days after receipt of such payment, remit the full amount of such payment to Novartis. In the case of the receipt by Purchaser of any payment from any obligor of both Novartis and Purchaser then, unless otherwise specified by such obligor, such payment shall be applied first to amounts owed to Purchaser with the excess, if any, remitted to Novartis. In the event that, subsequent to the Closing, Novartis or any of its Affiliates receives any payments from any obligor with respect to an account receivable of Purchaser for any period after the Closing Date or other payment belonging to Purchaser, then Novartis shall, within thirty (30) calendar days after receipt of such payment, remit the full amount of such payment to Purchaser. In the case of the receipt by Novartis of any payment from any obligor of both Novartis and Purchaser then, unless otherwise specified by such obligor, such payment shall be applied first to amounts owed to Novartis with the excess, if any, remitted to Purchaser.</w:t>
      </w:r>
    </w:p>
    <w:p>
      <w:pPr>
        <w:spacing w:after="0" w:line="168" w:lineRule="exact"/>
        <w:rPr>
          <w:rFonts w:ascii="Arial" w:cs="Arial" w:eastAsia="Arial" w:hAnsi="Arial"/>
          <w:sz w:val="16"/>
          <w:szCs w:val="16"/>
          <w:color w:val="010000"/>
        </w:rPr>
      </w:pPr>
    </w:p>
    <w:p>
      <w:pPr>
        <w:jc w:val="both"/>
        <w:ind w:firstLine="1304"/>
        <w:spacing w:after="0" w:line="275" w:lineRule="auto"/>
        <w:tabs>
          <w:tab w:leader="none" w:pos="1551" w:val="left"/>
        </w:tabs>
        <w:numPr>
          <w:ilvl w:val="0"/>
          <w:numId w:val="83"/>
        </w:numPr>
        <w:rPr>
          <w:rFonts w:ascii="Arial" w:cs="Arial" w:eastAsia="Arial" w:hAnsi="Arial"/>
          <w:sz w:val="17"/>
          <w:szCs w:val="17"/>
          <w:color w:val="010000"/>
        </w:rPr>
      </w:pPr>
      <w:r>
        <w:rPr>
          <w:rFonts w:ascii="Arial" w:cs="Arial" w:eastAsia="Arial" w:hAnsi="Arial"/>
          <w:sz w:val="17"/>
          <w:szCs w:val="17"/>
          <w:i w:val="1"/>
          <w:iCs w:val="1"/>
          <w:color w:val="auto"/>
        </w:rPr>
        <w:t>Accounts Payable</w:t>
      </w:r>
      <w:r>
        <w:rPr>
          <w:rFonts w:ascii="Arial" w:cs="Arial" w:eastAsia="Arial" w:hAnsi="Arial"/>
          <w:sz w:val="17"/>
          <w:szCs w:val="17"/>
          <w:color w:val="auto"/>
        </w:rPr>
        <w:t>. In the event that, subsequent to the Closing, Purchaser or an Affiliate of Purchaser receives any invoices from any</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Party with respect to any account payable of the Transferred Assets outstanding prior to the Closing, then Purchaser shall, within thirty (30) days after receipt of such invoice, provide such invoice to Novartis. In the event that, subsequent to the Closing, Novartis or any of its Affiliates receives any invoices from any Third Party with respect to any account payable of Purchaser or any of its Affiliates for any period after the Closing, then Novartis shall, within thirty (30) calendar days after receipt of such invoice, provide such invoice to Purchaser.</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9.10 </w:t>
      </w:r>
      <w:r>
        <w:rPr>
          <w:rFonts w:ascii="Arial" w:cs="Arial" w:eastAsia="Arial" w:hAnsi="Arial"/>
          <w:sz w:val="17"/>
          <w:szCs w:val="17"/>
          <w:u w:val="single" w:color="auto"/>
          <w:color w:val="000000"/>
        </w:rPr>
        <w:t>Wrong Pockets</w:t>
      </w:r>
      <w:r>
        <w:rPr>
          <w:rFonts w:ascii="Arial" w:cs="Arial" w:eastAsia="Arial" w:hAnsi="Arial"/>
          <w:sz w:val="17"/>
          <w:szCs w:val="17"/>
          <w:color w:val="000000"/>
        </w:rPr>
        <w:t>. For a period of up to twelve (12) months after the Closing Date, if either Purchaser or Novartis becomes aware that any of</w:t>
      </w:r>
      <w:r>
        <w:rPr>
          <w:rFonts w:ascii="Arial" w:cs="Arial" w:eastAsia="Arial" w:hAnsi="Arial"/>
          <w:sz w:val="17"/>
          <w:szCs w:val="17"/>
          <w:color w:val="010000"/>
        </w:rPr>
        <w:t xml:space="preserve"> </w:t>
      </w:r>
      <w:r>
        <w:rPr>
          <w:rFonts w:ascii="Arial" w:cs="Arial" w:eastAsia="Arial" w:hAnsi="Arial"/>
          <w:sz w:val="17"/>
          <w:szCs w:val="17"/>
          <w:color w:val="000000"/>
        </w:rPr>
        <w:t>the Transferred Assets have not been transferred to Purchaser or that any of the Excluded Assets have been transferred to Purchaser, it shall promptly notify the other Party in writing and the Parties shall, as soon as reasonably practicable, ensure that such property is transferred, and with any necessary prior Third Party consent or approval, to (a) Purchaser, in the case of any Transferred Asset which was not transferred to Purchaser at the Closing; or (b) Novartis, in the case of any Excluded Asset which was transferred to Purchaser at the Closing.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1" w:name="page152"/>
    <w:bookmarkEnd w:id="151"/>
    <w:p>
      <w:pPr>
        <w:jc w:val="both"/>
        <w:ind w:firstLine="648"/>
        <w:spacing w:after="0" w:line="296" w:lineRule="auto"/>
        <w:rPr>
          <w:sz w:val="20"/>
          <w:szCs w:val="20"/>
          <w:color w:val="auto"/>
        </w:rPr>
      </w:pPr>
      <w:r>
        <w:rPr>
          <w:rFonts w:ascii="Arial" w:cs="Arial" w:eastAsia="Arial" w:hAnsi="Arial"/>
          <w:sz w:val="16"/>
          <w:szCs w:val="16"/>
          <w:color w:val="010000"/>
        </w:rPr>
        <w:t xml:space="preserve">9.11 </w:t>
      </w:r>
      <w:r>
        <w:rPr>
          <w:rFonts w:ascii="Arial" w:cs="Arial" w:eastAsia="Arial" w:hAnsi="Arial"/>
          <w:sz w:val="16"/>
          <w:szCs w:val="16"/>
          <w:u w:val="single" w:color="auto"/>
          <w:color w:val="000000"/>
        </w:rPr>
        <w:t>Transfer of Books and Records</w:t>
      </w:r>
      <w:r>
        <w:rPr>
          <w:rFonts w:ascii="Arial" w:cs="Arial" w:eastAsia="Arial" w:hAnsi="Arial"/>
          <w:sz w:val="16"/>
          <w:szCs w:val="16"/>
          <w:color w:val="000000"/>
        </w:rPr>
        <w:t>. Novartis and its Affiliates, as applicable, (a) shall provide copies (redacted to the extent necessary to remove</w:t>
      </w:r>
      <w:r>
        <w:rPr>
          <w:rFonts w:ascii="Arial" w:cs="Arial" w:eastAsia="Arial" w:hAnsi="Arial"/>
          <w:sz w:val="16"/>
          <w:szCs w:val="16"/>
          <w:color w:val="010000"/>
        </w:rPr>
        <w:t xml:space="preserve"> </w:t>
      </w:r>
      <w:r>
        <w:rPr>
          <w:rFonts w:ascii="Arial" w:cs="Arial" w:eastAsia="Arial" w:hAnsi="Arial"/>
          <w:sz w:val="16"/>
          <w:szCs w:val="16"/>
          <w:color w:val="000000"/>
        </w:rPr>
        <w:t xml:space="preserve">any confidential information not related to the Drug Substance of the Products) of books and records that Novartis and its Affiliates are required to retain pursuant to any Law to the extent relating to the Drug Substance of the Products upon Purchaser’s reasonable request, and (b) may destroy such books and records in accordance with their prevailing records retention procedures to the extent such books and records are no longer required to maintain by Law so long as Novartis and its Affiliates have previously provided copies of such books and records pursuant to clause (a) of this </w:t>
      </w:r>
      <w:r>
        <w:rPr>
          <w:rFonts w:ascii="Arial" w:cs="Arial" w:eastAsia="Arial" w:hAnsi="Arial"/>
          <w:sz w:val="16"/>
          <w:szCs w:val="16"/>
          <w:u w:val="single" w:color="auto"/>
          <w:color w:val="000000"/>
        </w:rPr>
        <w:t>Section 9.11</w:t>
      </w:r>
      <w:r>
        <w:rPr>
          <w:rFonts w:ascii="Arial" w:cs="Arial" w:eastAsia="Arial" w:hAnsi="Arial"/>
          <w:sz w:val="16"/>
          <w:szCs w:val="16"/>
          <w:color w:val="000000"/>
        </w:rPr>
        <w:t>.</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9.12 </w:t>
      </w:r>
      <w:r>
        <w:rPr>
          <w:rFonts w:ascii="Arial" w:cs="Arial" w:eastAsia="Arial" w:hAnsi="Arial"/>
          <w:sz w:val="16"/>
          <w:szCs w:val="16"/>
          <w:u w:val="single" w:color="auto"/>
          <w:color w:val="000000"/>
        </w:rPr>
        <w:t>Preservation of Records; Novartis’ Access</w:t>
      </w:r>
      <w:r>
        <w:rPr>
          <w:rFonts w:ascii="Arial" w:cs="Arial" w:eastAsia="Arial" w:hAnsi="Arial"/>
          <w:sz w:val="16"/>
          <w:szCs w:val="16"/>
          <w:color w:val="000000"/>
        </w:rPr>
        <w:t>. For a period of six (6) years after the Closing Date, (a) Purchaser agrees to retain (and to cause its</w:t>
      </w:r>
      <w:r>
        <w:rPr>
          <w:rFonts w:ascii="Arial" w:cs="Arial" w:eastAsia="Arial" w:hAnsi="Arial"/>
          <w:sz w:val="16"/>
          <w:szCs w:val="16"/>
          <w:color w:val="010000"/>
        </w:rPr>
        <w:t xml:space="preserve"> </w:t>
      </w:r>
      <w:r>
        <w:rPr>
          <w:rFonts w:ascii="Arial" w:cs="Arial" w:eastAsia="Arial" w:hAnsi="Arial"/>
          <w:sz w:val="16"/>
          <w:szCs w:val="16"/>
          <w:color w:val="000000"/>
        </w:rPr>
        <w:t xml:space="preserve">Affiliates to retain) and make available all Records included in the Transferred Assets received from Novartis and its Affiliates for inspection and copying by Novartis, its Affiliates, or any of their respective Representatives, at Novartis’ expense, upon reasonable request and upon reasonable notice;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Records shall be made available only to the extent such availability is required for Novartis or an Affiliate for Tax and accounting purposes, to comply with any requirement of Law, legal, judicial, or administrative process, this Agreement or the Ancillary Agreements, or to enable Novartis or an Affiliate to defend against, respond to, or otherwise participate in any litigation, investigation, audit process, subpoena, or other proceeding related to the Drug Substance and/or the Products, and (b) no such Records shall be destroyed by Purchaser without first advising Novartis in writing and giving Novartis a reasonable opportunity, at Novartis’ sole cost, to obtain possession thereof. Any such access by Novartis shall not unreasonably interfere with the conduct of the business of Purchaser and its Affiliates. Novartis shall hold, and shall cause its Representatives to hold, in confidence, unless required by legal, judicial, or administrative process or by other requirements of applicable Law, all confidential documents and information concerning Purchaser or the Drug Substance, Products, Transferred Assets, and Assumed Liabilities provided to it pursuant to this </w:t>
      </w:r>
      <w:r>
        <w:rPr>
          <w:rFonts w:ascii="Arial" w:cs="Arial" w:eastAsia="Arial" w:hAnsi="Arial"/>
          <w:sz w:val="16"/>
          <w:szCs w:val="16"/>
          <w:u w:val="single" w:color="auto"/>
          <w:color w:val="000000"/>
        </w:rPr>
        <w:t>Section 9.12</w:t>
      </w:r>
      <w:r>
        <w:rPr>
          <w:rFonts w:ascii="Arial" w:cs="Arial" w:eastAsia="Arial" w:hAnsi="Arial"/>
          <w:sz w:val="16"/>
          <w:szCs w:val="16"/>
          <w:color w:val="000000"/>
        </w:rPr>
        <w:t xml:space="preserve">. The Parties acknowledge and agree that Novartis may retain a copy of any Records related to the Drug Substance, Products, Transferred Assets, and Assumed Liabilities for its own corporate records,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retention shall be subject to the terms of </w:t>
      </w:r>
      <w:r>
        <w:rPr>
          <w:rFonts w:ascii="Arial" w:cs="Arial" w:eastAsia="Arial" w:hAnsi="Arial"/>
          <w:sz w:val="16"/>
          <w:szCs w:val="16"/>
          <w:u w:val="single" w:color="auto"/>
          <w:color w:val="000000"/>
        </w:rPr>
        <w:t>Section 9.1</w:t>
      </w:r>
      <w:r>
        <w:rPr>
          <w:rFonts w:ascii="Arial" w:cs="Arial" w:eastAsia="Arial" w:hAnsi="Arial"/>
          <w:sz w:val="16"/>
          <w:szCs w:val="16"/>
          <w:color w:val="000000"/>
        </w:rPr>
        <w:t xml:space="preserve"> and this </w:t>
      </w:r>
      <w:r>
        <w:rPr>
          <w:rFonts w:ascii="Arial" w:cs="Arial" w:eastAsia="Arial" w:hAnsi="Arial"/>
          <w:sz w:val="16"/>
          <w:szCs w:val="16"/>
          <w:u w:val="single" w:color="auto"/>
          <w:color w:val="000000"/>
        </w:rPr>
        <w:t>Section 9.12</w:t>
      </w:r>
      <w:r>
        <w:rPr>
          <w:rFonts w:ascii="Arial" w:cs="Arial" w:eastAsia="Arial" w:hAnsi="Arial"/>
          <w:sz w:val="16"/>
          <w:szCs w:val="16"/>
          <w:color w:val="000000"/>
        </w:rPr>
        <w:t>.</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9.13 </w:t>
      </w:r>
      <w:r>
        <w:rPr>
          <w:rFonts w:ascii="Arial" w:cs="Arial" w:eastAsia="Arial" w:hAnsi="Arial"/>
          <w:sz w:val="16"/>
          <w:szCs w:val="16"/>
          <w:u w:val="single" w:color="auto"/>
          <w:color w:val="000000"/>
        </w:rPr>
        <w:t>Cooperation in Litigation and Investigations</w:t>
      </w:r>
      <w:r>
        <w:rPr>
          <w:rFonts w:ascii="Arial" w:cs="Arial" w:eastAsia="Arial" w:hAnsi="Arial"/>
          <w:sz w:val="16"/>
          <w:szCs w:val="16"/>
          <w:color w:val="000000"/>
        </w:rPr>
        <w:t>. Except as set forth in any Ancillary Agreement, from the Closing Date and until three (3) years</w:t>
      </w:r>
      <w:r>
        <w:rPr>
          <w:rFonts w:ascii="Arial" w:cs="Arial" w:eastAsia="Arial" w:hAnsi="Arial"/>
          <w:sz w:val="16"/>
          <w:szCs w:val="16"/>
          <w:color w:val="010000"/>
        </w:rPr>
        <w:t xml:space="preserve"> </w:t>
      </w:r>
      <w:r>
        <w:rPr>
          <w:rFonts w:ascii="Arial" w:cs="Arial" w:eastAsia="Arial" w:hAnsi="Arial"/>
          <w:sz w:val="16"/>
          <w:szCs w:val="16"/>
          <w:color w:val="000000"/>
        </w:rPr>
        <w:t xml:space="preserve">from the Closing Date, Purchaser and Novartis shall reasonably cooperate with each other in the defense or prosecution of any claim, action, proceeding, examination, or audit against or by either Party relating to or arising out of the Products (other than any claim, action, proceeding, examination, or audit between Purchaser and Novartis or their respective Affiliates arising out of the transactions contemplated hereby or by the Ancillary Agreements). In connection therewith, and except as set forth in any Ancillary Agreement, from and after the Closing Date, each of Novartis and Purchaser shall make available to the other during normal business hours and upon reasonable prior written notice, but without unreasonably disrupting its business, all records relating exclusively to the Drug Substance, the Products, the Transferred Assets, the Assumed Liabilities, or the Licensed IP held by it and reasonably necessary to permit the defense or investigation of any such any claim, action, proceeding, examination, or audit (other than any claim, action, proceeding, examination, or audit between Purchaser and Novartis or their respective Affiliates arising out of the transactions contemplated hereby or by the Ancillary Agreements, with respect to which applicable rules of discovery shall apply), and shall preserve and retain all such records pursuant to </w:t>
      </w:r>
      <w:r>
        <w:rPr>
          <w:rFonts w:ascii="Arial" w:cs="Arial" w:eastAsia="Arial" w:hAnsi="Arial"/>
          <w:sz w:val="16"/>
          <w:szCs w:val="16"/>
          <w:u w:val="single" w:color="auto"/>
          <w:color w:val="000000"/>
        </w:rPr>
        <w:t>Section 9.11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neither Party shall be required to make available such documents if such disclosure could, in such Party’s reasonable discretion, (a) violate applicable Law or any binding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that such Party uses reasonable best efforts to obtain waivers thereof, (b) jeopardize any attorney/client privilege or other established legal privilege, or (c) disclose any trade secrets. The Party requesting such cooperation shall pay the reasonable out-of-pocket costs and expenses of providing such cooperation (including legal fees and disbursements) incurred by the Party providing such cooperation and by its Representatives, and any applicable Taxes in connection therewith.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jc w:val="both"/>
        <w:ind w:firstLine="648"/>
        <w:spacing w:after="0" w:line="272" w:lineRule="auto"/>
        <w:rPr>
          <w:sz w:val="20"/>
          <w:szCs w:val="20"/>
          <w:color w:val="auto"/>
        </w:rPr>
      </w:pPr>
      <w:r>
        <w:rPr>
          <w:rFonts w:ascii="Arial" w:cs="Arial" w:eastAsia="Arial" w:hAnsi="Arial"/>
          <w:sz w:val="17"/>
          <w:szCs w:val="17"/>
          <w:color w:val="010000"/>
        </w:rPr>
        <w:t xml:space="preserve">9.14 </w:t>
      </w:r>
      <w:r>
        <w:rPr>
          <w:rFonts w:ascii="Arial" w:cs="Arial" w:eastAsia="Arial" w:hAnsi="Arial"/>
          <w:sz w:val="17"/>
          <w:szCs w:val="17"/>
          <w:u w:val="single" w:color="auto"/>
          <w:color w:val="000000"/>
        </w:rPr>
        <w:t>Further Assurances</w:t>
      </w:r>
      <w:r>
        <w:rPr>
          <w:rFonts w:ascii="Arial" w:cs="Arial" w:eastAsia="Arial" w:hAnsi="Arial"/>
          <w:sz w:val="17"/>
          <w:szCs w:val="17"/>
          <w:color w:val="000000"/>
        </w:rPr>
        <w:t>. Subject to the terms and conditions of this Agreement and the Ancillary Agreements, Purchaser and Novartis shall use</w:t>
      </w:r>
      <w:r>
        <w:rPr>
          <w:rFonts w:ascii="Arial" w:cs="Arial" w:eastAsia="Arial" w:hAnsi="Arial"/>
          <w:sz w:val="17"/>
          <w:szCs w:val="17"/>
          <w:color w:val="010000"/>
        </w:rPr>
        <w:t xml:space="preserve"> </w:t>
      </w:r>
      <w:r>
        <w:rPr>
          <w:rFonts w:ascii="Arial" w:cs="Arial" w:eastAsia="Arial" w:hAnsi="Arial"/>
          <w:sz w:val="17"/>
          <w:szCs w:val="17"/>
          <w:color w:val="000000"/>
        </w:rPr>
        <w:t>commercially reasonable efforts to take, or cause to be taken, all actions and to do, or cause to be done, all things necessary or desirable under applicable Law to consummate the transactions contemplated by this Agreement and the Ancillary Agreements. Novartis and Purchaser agree to execute and deliver such other documents, certificates, agreements, and other writings and to take such other actions as may be reasonably necessary or desirable in order to consummate or implement expeditiously the transactions contemplated by this Agreement. In furtherance of the foregoing, Purchaser agrees to provide such assurances as to financial capability, resources, and creditworthiness as may be reasonably requested by any Governmental Entity or Third Party whose consent or approval is sought hereunder.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SURVIVAL</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10.1 </w:t>
      </w:r>
      <w:r>
        <w:rPr>
          <w:rFonts w:ascii="Arial" w:cs="Arial" w:eastAsia="Arial" w:hAnsi="Arial"/>
          <w:sz w:val="17"/>
          <w:szCs w:val="17"/>
          <w:u w:val="single" w:color="auto"/>
          <w:color w:val="000000"/>
        </w:rPr>
        <w:t>Survival</w:t>
      </w:r>
      <w:r>
        <w:rPr>
          <w:rFonts w:ascii="Arial" w:cs="Arial" w:eastAsia="Arial" w:hAnsi="Arial"/>
          <w:sz w:val="17"/>
          <w:szCs w:val="17"/>
          <w:color w:val="000000"/>
        </w:rPr>
        <w:t>. The agreements and covenants to be performed prior to Closing by Novartis and representations and warranties made by Novartis</w:t>
      </w:r>
      <w:r>
        <w:rPr>
          <w:rFonts w:ascii="Arial" w:cs="Arial" w:eastAsia="Arial" w:hAnsi="Arial"/>
          <w:sz w:val="17"/>
          <w:szCs w:val="17"/>
          <w:color w:val="010000"/>
        </w:rPr>
        <w:t xml:space="preserve"> </w:t>
      </w:r>
      <w:r>
        <w:rPr>
          <w:rFonts w:ascii="Arial" w:cs="Arial" w:eastAsia="Arial" w:hAnsi="Arial"/>
          <w:sz w:val="17"/>
          <w:szCs w:val="17"/>
          <w:color w:val="000000"/>
        </w:rPr>
        <w:t>contained in this Agreement, other than the Novartis Fundamental Representations, each shall survive the Closing until the date that is eighteen (18) months after the Closing Date. The agreements and covenants to be performed prior to Closing by Purchaser and representations and warranties made by Purchaser contained in this Agreement, other than the Purchaser Fundamental Representations, shall survive the Closing until the date that is eighteen (18) months after the Closing Date. The Novartis Fundamental Representations and Purchaser Fundamental Representations shall survive the Closing until the expiration of the applicable statute of limitations. The covenants and agreements of the Parties contained in this Agreement that are to be performed at or following the Closing shall survive the Closing until fully performed. Upon expiration of the applicable survival period, no indemnification of other claim may be brought by a Party alleging misrepresentation or breach of the applicable representation, warranty, covenant, or agreement, unless prior to the expiration of such applicable survival period the claiming Party shall have provided a written notice to the other Party describing such alleged breach or misrepresentation with reasonable specificity.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3" w:name="page154"/>
    <w:bookmarkEnd w:id="153"/>
    <w:p>
      <w:pPr>
        <w:jc w:val="both"/>
        <w:ind w:firstLine="648"/>
        <w:spacing w:after="0" w:line="259" w:lineRule="auto"/>
        <w:rPr>
          <w:sz w:val="20"/>
          <w:szCs w:val="20"/>
          <w:color w:val="auto"/>
        </w:rPr>
      </w:pPr>
      <w:r>
        <w:rPr>
          <w:rFonts w:ascii="Arial" w:cs="Arial" w:eastAsia="Arial" w:hAnsi="Arial"/>
          <w:sz w:val="18"/>
          <w:szCs w:val="18"/>
          <w:color w:val="010000"/>
        </w:rPr>
        <w:t xml:space="preserve">10.2 </w:t>
      </w:r>
      <w:r>
        <w:rPr>
          <w:rFonts w:ascii="Arial" w:cs="Arial" w:eastAsia="Arial" w:hAnsi="Arial"/>
          <w:sz w:val="18"/>
          <w:szCs w:val="18"/>
          <w:u w:val="single" w:color="auto"/>
          <w:color w:val="000000"/>
        </w:rPr>
        <w:t>Indemnification by Novartis</w:t>
      </w:r>
      <w:r>
        <w:rPr>
          <w:rFonts w:ascii="Arial" w:cs="Arial" w:eastAsia="Arial" w:hAnsi="Arial"/>
          <w:sz w:val="18"/>
          <w:szCs w:val="18"/>
          <w:color w:val="000000"/>
        </w:rPr>
        <w:t>. Subject to the limitations set forth elsewhere in this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ARTICLE 10</w:t>
      </w:r>
      <w:r>
        <w:rPr>
          <w:rFonts w:ascii="Arial" w:cs="Arial" w:eastAsia="Arial" w:hAnsi="Arial"/>
          <w:sz w:val="18"/>
          <w:szCs w:val="18"/>
          <w:color w:val="000000"/>
        </w:rPr>
        <w:t>, from and after the Closing, Novartis shall</w:t>
      </w:r>
      <w:r>
        <w:rPr>
          <w:rFonts w:ascii="Arial" w:cs="Arial" w:eastAsia="Arial" w:hAnsi="Arial"/>
          <w:sz w:val="18"/>
          <w:szCs w:val="18"/>
          <w:color w:val="010000"/>
        </w:rPr>
        <w:t xml:space="preserve"> </w:t>
      </w:r>
      <w:r>
        <w:rPr>
          <w:rFonts w:ascii="Arial" w:cs="Arial" w:eastAsia="Arial" w:hAnsi="Arial"/>
          <w:sz w:val="18"/>
          <w:szCs w:val="18"/>
          <w:color w:val="000000"/>
        </w:rPr>
        <w:t>indemnify, defend, and hold harmless Purchaser and its Affiliates and their respective officers, directors, and employees (collectively, the “</w:t>
      </w:r>
      <w:r>
        <w:rPr>
          <w:rFonts w:ascii="Arial" w:cs="Arial" w:eastAsia="Arial" w:hAnsi="Arial"/>
          <w:sz w:val="18"/>
          <w:szCs w:val="18"/>
          <w:b w:val="1"/>
          <w:bCs w:val="1"/>
          <w:color w:val="000000"/>
        </w:rPr>
        <w:t>Purchaser</w:t>
      </w:r>
      <w:r>
        <w:rPr>
          <w:rFonts w:ascii="Arial" w:cs="Arial" w:eastAsia="Arial" w:hAnsi="Arial"/>
          <w:sz w:val="18"/>
          <w:szCs w:val="18"/>
          <w:color w:val="000000"/>
        </w:rPr>
        <w:t xml:space="preserve"> </w:t>
      </w:r>
      <w:r>
        <w:rPr>
          <w:rFonts w:ascii="Arial" w:cs="Arial" w:eastAsia="Arial" w:hAnsi="Arial"/>
          <w:sz w:val="18"/>
          <w:szCs w:val="18"/>
          <w:b w:val="1"/>
          <w:bCs w:val="1"/>
          <w:color w:val="000000"/>
        </w:rPr>
        <w:t>Indemnified Parties</w:t>
      </w:r>
      <w:r>
        <w:rPr>
          <w:rFonts w:ascii="Arial" w:cs="Arial" w:eastAsia="Arial" w:hAnsi="Arial"/>
          <w:sz w:val="18"/>
          <w:szCs w:val="18"/>
          <w:color w:val="000000"/>
        </w:rPr>
        <w:t>”) from and against any Losses suffered or incurred by the Purchaser Indemnified Parties to the extent that such Losses are arising out</w:t>
      </w:r>
      <w:r>
        <w:rPr>
          <w:rFonts w:ascii="Arial" w:cs="Arial" w:eastAsia="Arial" w:hAnsi="Arial"/>
          <w:sz w:val="18"/>
          <w:szCs w:val="18"/>
          <w:b w:val="1"/>
          <w:bCs w:val="1"/>
          <w:color w:val="000000"/>
        </w:rPr>
        <w:t xml:space="preserve"> </w:t>
      </w:r>
      <w:r>
        <w:rPr>
          <w:rFonts w:ascii="Arial" w:cs="Arial" w:eastAsia="Arial" w:hAnsi="Arial"/>
          <w:sz w:val="18"/>
          <w:szCs w:val="18"/>
          <w:color w:val="000000"/>
        </w:rPr>
        <w:t>of or resulting from the following:</w:t>
      </w:r>
    </w:p>
    <w:p>
      <w:pPr>
        <w:spacing w:after="0" w:line="187" w:lineRule="exact"/>
        <w:rPr>
          <w:sz w:val="20"/>
          <w:szCs w:val="20"/>
          <w:color w:val="auto"/>
        </w:rPr>
      </w:pPr>
    </w:p>
    <w:p>
      <w:pPr>
        <w:ind w:right="20" w:firstLine="1304"/>
        <w:spacing w:after="0" w:line="342" w:lineRule="auto"/>
        <w:tabs>
          <w:tab w:leader="none" w:pos="1567" w:val="left"/>
        </w:tabs>
        <w:numPr>
          <w:ilvl w:val="0"/>
          <w:numId w:val="84"/>
        </w:numPr>
        <w:rPr>
          <w:rFonts w:ascii="Arial" w:cs="Arial" w:eastAsia="Arial" w:hAnsi="Arial"/>
          <w:sz w:val="16"/>
          <w:szCs w:val="16"/>
          <w:color w:val="010000"/>
        </w:rPr>
      </w:pPr>
      <w:r>
        <w:rPr>
          <w:rFonts w:ascii="Arial" w:cs="Arial" w:eastAsia="Arial" w:hAnsi="Arial"/>
          <w:sz w:val="16"/>
          <w:szCs w:val="16"/>
          <w:color w:val="auto"/>
        </w:rPr>
        <w:t>the inaccuracy or breach of any representation or warranty made by Novartis contained in this Agreement or in any Ancillary Agreement or in any certificate or other instrument delivered by Novartis or any of its Affiliates pursuant to this Agreement or any Ancillary Agreement;</w:t>
      </w:r>
    </w:p>
    <w:p>
      <w:pPr>
        <w:spacing w:after="0" w:line="123" w:lineRule="exact"/>
        <w:rPr>
          <w:rFonts w:ascii="Arial" w:cs="Arial" w:eastAsia="Arial" w:hAnsi="Arial"/>
          <w:sz w:val="16"/>
          <w:szCs w:val="16"/>
          <w:color w:val="010000"/>
        </w:rPr>
      </w:pPr>
    </w:p>
    <w:p>
      <w:pPr>
        <w:ind w:firstLine="1304"/>
        <w:spacing w:after="0" w:line="277" w:lineRule="auto"/>
        <w:tabs>
          <w:tab w:leader="none" w:pos="1551"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the breach of or failure to perform any covenant or agreement by Novartis or any of its Affiliates contained in this Agreement or in any Ancillary Agreement; or</w:t>
      </w:r>
    </w:p>
    <w:p>
      <w:pPr>
        <w:spacing w:after="0" w:line="170" w:lineRule="exact"/>
        <w:rPr>
          <w:rFonts w:ascii="Arial" w:cs="Arial" w:eastAsia="Arial" w:hAnsi="Arial"/>
          <w:sz w:val="18"/>
          <w:szCs w:val="18"/>
          <w:color w:val="010000"/>
        </w:rPr>
      </w:pPr>
    </w:p>
    <w:p>
      <w:pPr>
        <w:ind w:left="1540" w:hanging="236"/>
        <w:spacing w:after="0"/>
        <w:tabs>
          <w:tab w:leader="none" w:pos="1540"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any Excluded Asset or any Excluded Liabilities.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10.3 </w:t>
      </w:r>
      <w:r>
        <w:rPr>
          <w:rFonts w:ascii="Arial" w:cs="Arial" w:eastAsia="Arial" w:hAnsi="Arial"/>
          <w:sz w:val="18"/>
          <w:szCs w:val="18"/>
          <w:u w:val="single" w:color="auto"/>
          <w:color w:val="000000"/>
        </w:rPr>
        <w:t>Indemnification by Purchaser</w:t>
      </w:r>
      <w:r>
        <w:rPr>
          <w:rFonts w:ascii="Arial" w:cs="Arial" w:eastAsia="Arial" w:hAnsi="Arial"/>
          <w:sz w:val="18"/>
          <w:szCs w:val="18"/>
          <w:color w:val="000000"/>
        </w:rPr>
        <w:t>. Subject to the limitations set forth elsewhere in this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ARTICLE 10</w:t>
      </w:r>
      <w:r>
        <w:rPr>
          <w:rFonts w:ascii="Arial" w:cs="Arial" w:eastAsia="Arial" w:hAnsi="Arial"/>
          <w:sz w:val="18"/>
          <w:szCs w:val="18"/>
          <w:color w:val="000000"/>
        </w:rPr>
        <w:t>, from and after the Closing, Purchaser shall</w:t>
      </w:r>
      <w:r>
        <w:rPr>
          <w:rFonts w:ascii="Arial" w:cs="Arial" w:eastAsia="Arial" w:hAnsi="Arial"/>
          <w:sz w:val="18"/>
          <w:szCs w:val="18"/>
          <w:color w:val="010000"/>
        </w:rPr>
        <w:t xml:space="preserve"> </w:t>
      </w:r>
      <w:r>
        <w:rPr>
          <w:rFonts w:ascii="Arial" w:cs="Arial" w:eastAsia="Arial" w:hAnsi="Arial"/>
          <w:sz w:val="18"/>
          <w:szCs w:val="18"/>
          <w:color w:val="000000"/>
        </w:rPr>
        <w:t>indemnify, defend, and hold harmless Novartis and its Affiliates and their respective officers, directors, and employees (collectively, the “</w:t>
      </w:r>
      <w:r>
        <w:rPr>
          <w:rFonts w:ascii="Arial" w:cs="Arial" w:eastAsia="Arial" w:hAnsi="Arial"/>
          <w:sz w:val="18"/>
          <w:szCs w:val="18"/>
          <w:b w:val="1"/>
          <w:bCs w:val="1"/>
          <w:color w:val="000000"/>
        </w:rPr>
        <w:t>Novartis</w:t>
      </w:r>
      <w:r>
        <w:rPr>
          <w:rFonts w:ascii="Arial" w:cs="Arial" w:eastAsia="Arial" w:hAnsi="Arial"/>
          <w:sz w:val="18"/>
          <w:szCs w:val="18"/>
          <w:color w:val="000000"/>
        </w:rPr>
        <w:t xml:space="preserve"> </w:t>
      </w:r>
      <w:r>
        <w:rPr>
          <w:rFonts w:ascii="Arial" w:cs="Arial" w:eastAsia="Arial" w:hAnsi="Arial"/>
          <w:sz w:val="18"/>
          <w:szCs w:val="18"/>
          <w:b w:val="1"/>
          <w:bCs w:val="1"/>
          <w:color w:val="000000"/>
        </w:rPr>
        <w:t>Indemnified Parties</w:t>
      </w:r>
      <w:r>
        <w:rPr>
          <w:rFonts w:ascii="Arial" w:cs="Arial" w:eastAsia="Arial" w:hAnsi="Arial"/>
          <w:sz w:val="18"/>
          <w:szCs w:val="18"/>
          <w:color w:val="000000"/>
        </w:rPr>
        <w:t>”) from and against any Losses suffered or incurred by the Novartis Indemnified Parties to the extent that such Losses are arising out</w:t>
      </w:r>
      <w:r>
        <w:rPr>
          <w:rFonts w:ascii="Arial" w:cs="Arial" w:eastAsia="Arial" w:hAnsi="Arial"/>
          <w:sz w:val="18"/>
          <w:szCs w:val="18"/>
          <w:b w:val="1"/>
          <w:bCs w:val="1"/>
          <w:color w:val="000000"/>
        </w:rPr>
        <w:t xml:space="preserve"> </w:t>
      </w:r>
      <w:r>
        <w:rPr>
          <w:rFonts w:ascii="Arial" w:cs="Arial" w:eastAsia="Arial" w:hAnsi="Arial"/>
          <w:sz w:val="18"/>
          <w:szCs w:val="18"/>
          <w:color w:val="000000"/>
        </w:rPr>
        <w:t>of or resulting from the following:</w:t>
      </w:r>
    </w:p>
    <w:p>
      <w:pPr>
        <w:spacing w:after="0" w:line="187" w:lineRule="exact"/>
        <w:rPr>
          <w:sz w:val="20"/>
          <w:szCs w:val="20"/>
          <w:color w:val="auto"/>
        </w:rPr>
      </w:pPr>
    </w:p>
    <w:p>
      <w:pPr>
        <w:ind w:firstLine="1304"/>
        <w:spacing w:after="0" w:line="342" w:lineRule="auto"/>
        <w:tabs>
          <w:tab w:leader="none" w:pos="1567"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the inaccuracy or breach of any representation or warranty made by Purchaser contained in this Agreement or in any Ancillary Agreement or in any certificate or other instrument delivered by Purchaser or any of its Affiliates pursuant to this Agreement or any Ancillary Agreement;</w:t>
      </w:r>
    </w:p>
    <w:p>
      <w:pPr>
        <w:spacing w:after="0" w:line="123" w:lineRule="exact"/>
        <w:rPr>
          <w:rFonts w:ascii="Arial" w:cs="Arial" w:eastAsia="Arial" w:hAnsi="Arial"/>
          <w:sz w:val="16"/>
          <w:szCs w:val="16"/>
          <w:color w:val="010000"/>
        </w:rPr>
      </w:pPr>
    </w:p>
    <w:p>
      <w:pPr>
        <w:ind w:firstLine="1304"/>
        <w:spacing w:after="0" w:line="277" w:lineRule="auto"/>
        <w:tabs>
          <w:tab w:leader="none" w:pos="1551"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the breach of or failure to perform any covenant or agreement by Purchaser or any of its Affiliates contained in this Agreement or in any Ancillary Agreement;</w:t>
      </w:r>
    </w:p>
    <w:p>
      <w:pPr>
        <w:spacing w:after="0" w:line="170" w:lineRule="exact"/>
        <w:rPr>
          <w:rFonts w:ascii="Arial" w:cs="Arial" w:eastAsia="Arial" w:hAnsi="Arial"/>
          <w:sz w:val="18"/>
          <w:szCs w:val="18"/>
          <w:color w:val="010000"/>
        </w:rPr>
      </w:pPr>
    </w:p>
    <w:p>
      <w:pPr>
        <w:ind w:left="1540" w:hanging="236"/>
        <w:spacing w:after="0"/>
        <w:tabs>
          <w:tab w:leader="none" w:pos="154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any and all Assumed Liabilities; or</w:t>
      </w:r>
    </w:p>
    <w:p>
      <w:pPr>
        <w:spacing w:after="0" w:line="225" w:lineRule="exact"/>
        <w:rPr>
          <w:rFonts w:ascii="Arial" w:cs="Arial" w:eastAsia="Arial" w:hAnsi="Arial"/>
          <w:sz w:val="18"/>
          <w:szCs w:val="18"/>
          <w:color w:val="010000"/>
        </w:rPr>
      </w:pPr>
    </w:p>
    <w:p>
      <w:pPr>
        <w:ind w:left="1560" w:hanging="256"/>
        <w:spacing w:after="0"/>
        <w:tabs>
          <w:tab w:leader="none" w:pos="156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any Transfer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u w:val="single" w:color="auto"/>
          <w:color w:val="000000"/>
        </w:rPr>
        <w:t>Limitations on Amounts of Losses</w:t>
      </w:r>
      <w:r>
        <w:rPr>
          <w:rFonts w:ascii="Arial" w:cs="Arial" w:eastAsia="Arial" w:hAnsi="Arial"/>
          <w:sz w:val="18"/>
          <w:szCs w:val="18"/>
          <w:color w:val="000000"/>
        </w:rPr>
        <w:t>. Notwithstanding anything herein to the contrary:</w:t>
      </w:r>
    </w:p>
    <w:p>
      <w:pPr>
        <w:spacing w:after="0" w:line="225" w:lineRule="exact"/>
        <w:rPr>
          <w:sz w:val="20"/>
          <w:szCs w:val="20"/>
          <w:color w:val="auto"/>
        </w:rPr>
      </w:pPr>
    </w:p>
    <w:p>
      <w:pPr>
        <w:jc w:val="both"/>
        <w:ind w:firstLine="1304"/>
        <w:spacing w:after="0" w:line="259" w:lineRule="auto"/>
        <w:tabs>
          <w:tab w:leader="none" w:pos="1581"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 xml:space="preserve">The maximum aggregate liability of Novartis for Losses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shall be limited to $1,000,000 (one million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limitation on liability shall not apply to Losses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in respect of Novartis Fundamental Representations, for which the maximum aggregate liability of Novartis for Losses shall not exceed the sum of the Purchase Price.</w:t>
      </w:r>
    </w:p>
    <w:p>
      <w:pPr>
        <w:spacing w:after="0" w:line="186" w:lineRule="exact"/>
        <w:rPr>
          <w:rFonts w:ascii="Arial" w:cs="Arial" w:eastAsia="Arial" w:hAnsi="Arial"/>
          <w:sz w:val="18"/>
          <w:szCs w:val="18"/>
          <w:color w:val="010000"/>
        </w:rPr>
      </w:pPr>
    </w:p>
    <w:p>
      <w:pPr>
        <w:ind w:left="1560" w:hanging="256"/>
        <w:spacing w:after="0"/>
        <w:tabs>
          <w:tab w:leader="none" w:pos="1560" w:val="left"/>
        </w:tabs>
        <w:numPr>
          <w:ilvl w:val="0"/>
          <w:numId w:val="86"/>
        </w:numPr>
        <w:rPr>
          <w:rFonts w:ascii="Arial" w:cs="Arial" w:eastAsia="Arial" w:hAnsi="Arial"/>
          <w:sz w:val="16"/>
          <w:szCs w:val="16"/>
          <w:color w:val="010000"/>
        </w:rPr>
      </w:pPr>
      <w:r>
        <w:rPr>
          <w:rFonts w:ascii="Arial" w:cs="Arial" w:eastAsia="Arial" w:hAnsi="Arial"/>
          <w:sz w:val="16"/>
          <w:szCs w:val="16"/>
          <w:color w:val="auto"/>
        </w:rPr>
        <w:t xml:space="preserve">The maximum aggregate liability of Purchaser for Losses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shall not exceed the sum of</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the Purchase Price.</w:t>
      </w:r>
    </w:p>
    <w:p>
      <w:pPr>
        <w:spacing w:after="0" w:line="210" w:lineRule="exact"/>
        <w:rPr>
          <w:rFonts w:ascii="Arial" w:cs="Arial" w:eastAsia="Arial" w:hAnsi="Arial"/>
          <w:sz w:val="16"/>
          <w:szCs w:val="16"/>
          <w:color w:val="010000"/>
        </w:rPr>
      </w:pPr>
    </w:p>
    <w:p>
      <w:pPr>
        <w:jc w:val="both"/>
        <w:ind w:firstLine="1304"/>
        <w:spacing w:after="0" w:line="255" w:lineRule="auto"/>
        <w:tabs>
          <w:tab w:leader="none" w:pos="154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Novartis shall not be liable for Losses resulting from any individual misrepresentation or breach of representation or warranty (each, a “</w:t>
      </w:r>
      <w:r>
        <w:rPr>
          <w:rFonts w:ascii="Arial" w:cs="Arial" w:eastAsia="Arial" w:hAnsi="Arial"/>
          <w:sz w:val="18"/>
          <w:szCs w:val="18"/>
          <w:b w:val="1"/>
          <w:bCs w:val="1"/>
          <w:color w:val="auto"/>
        </w:rPr>
        <w:t>Warranty Breach</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unless the aggregate amount of Losses with respect to any such individual Warranty Breach exceeds $150,000 (one hundred and fifty thousand Dollars) (each, a “</w:t>
      </w:r>
      <w:r>
        <w:rPr>
          <w:rFonts w:ascii="Arial" w:cs="Arial" w:eastAsia="Arial" w:hAnsi="Arial"/>
          <w:sz w:val="18"/>
          <w:szCs w:val="18"/>
          <w:b w:val="1"/>
          <w:bCs w:val="1"/>
          <w:color w:val="auto"/>
        </w:rPr>
        <w:t>Qualifying Loss</w:t>
      </w:r>
      <w:r>
        <w:rPr>
          <w:rFonts w:ascii="Arial" w:cs="Arial" w:eastAsia="Arial" w:hAnsi="Arial"/>
          <w:sz w:val="18"/>
          <w:szCs w:val="18"/>
          <w:color w:val="auto"/>
        </w:rPr>
        <w:t xml:space="preserve">”); and for any Qualifying Loss unless the aggregate amount of all Qualifying Losses exceeds $500,000 (five hundred thousand Dollars), in which case the liable Party shall be liable only to the extent of that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limitations on liability in this </w:t>
      </w:r>
      <w:r>
        <w:rPr>
          <w:rFonts w:ascii="Arial" w:cs="Arial" w:eastAsia="Arial" w:hAnsi="Arial"/>
          <w:sz w:val="18"/>
          <w:szCs w:val="18"/>
          <w:u w:val="single" w:color="auto"/>
          <w:color w:val="auto"/>
        </w:rPr>
        <w:t>Section 10.4(c)</w:t>
      </w:r>
      <w:r>
        <w:rPr>
          <w:rFonts w:ascii="Arial" w:cs="Arial" w:eastAsia="Arial" w:hAnsi="Arial"/>
          <w:sz w:val="18"/>
          <w:szCs w:val="18"/>
          <w:color w:val="auto"/>
        </w:rPr>
        <w:t xml:space="preserve"> shall not apply to Losses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in respect of Novartis Fundamental Representations.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4" w:name="page155"/>
    <w:bookmarkEnd w:id="154"/>
    <w:p>
      <w:pPr>
        <w:ind w:firstLine="1304"/>
        <w:spacing w:after="0" w:line="342" w:lineRule="auto"/>
        <w:tabs>
          <w:tab w:leader="none" w:pos="1551" w:val="left"/>
        </w:tabs>
        <w:numPr>
          <w:ilvl w:val="0"/>
          <w:numId w:val="87"/>
        </w:numPr>
        <w:rPr>
          <w:rFonts w:ascii="Arial" w:cs="Arial" w:eastAsia="Arial" w:hAnsi="Arial"/>
          <w:sz w:val="16"/>
          <w:szCs w:val="16"/>
          <w:color w:val="010000"/>
        </w:rPr>
      </w:pPr>
      <w:r>
        <w:rPr>
          <w:rFonts w:ascii="Arial" w:cs="Arial" w:eastAsia="Arial" w:hAnsi="Arial"/>
          <w:sz w:val="16"/>
          <w:szCs w:val="16"/>
          <w:color w:val="auto"/>
        </w:rPr>
        <w:t>Notwithstanding anything in this Agreement to the contrary, with respect to any indemnification obligation hereunder arising under any Ancillary Agreement, such indemnification obligation shall be subject to any applicable limitation on liability set forth in such Ancillary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10.5 </w:t>
      </w:r>
      <w:r>
        <w:rPr>
          <w:rFonts w:ascii="Arial" w:cs="Arial" w:eastAsia="Arial" w:hAnsi="Arial"/>
          <w:sz w:val="18"/>
          <w:szCs w:val="18"/>
          <w:u w:val="single" w:color="auto"/>
          <w:color w:val="000000"/>
        </w:rPr>
        <w:t>Other Limitations on Indemnification</w:t>
      </w:r>
      <w:r>
        <w:rPr>
          <w:rFonts w:ascii="Arial" w:cs="Arial" w:eastAsia="Arial" w:hAnsi="Arial"/>
          <w:sz w:val="18"/>
          <w:szCs w:val="18"/>
          <w:color w:val="000000"/>
        </w:rPr>
        <w:t>. Notwithstanding anything herein to the contrary:</w:t>
      </w:r>
    </w:p>
    <w:p>
      <w:pPr>
        <w:spacing w:after="0" w:line="225" w:lineRule="exact"/>
        <w:rPr>
          <w:sz w:val="20"/>
          <w:szCs w:val="20"/>
          <w:color w:val="auto"/>
        </w:rPr>
      </w:pPr>
    </w:p>
    <w:p>
      <w:pPr>
        <w:jc w:val="both"/>
        <w:ind w:firstLine="1304"/>
        <w:spacing w:after="0" w:line="269" w:lineRule="auto"/>
        <w:tabs>
          <w:tab w:leader="none" w:pos="1540" w:val="left"/>
        </w:tabs>
        <w:numPr>
          <w:ilvl w:val="0"/>
          <w:numId w:val="88"/>
        </w:numPr>
        <w:rPr>
          <w:rFonts w:ascii="Arial" w:cs="Arial" w:eastAsia="Arial" w:hAnsi="Arial"/>
          <w:sz w:val="17"/>
          <w:szCs w:val="17"/>
          <w:color w:val="010000"/>
        </w:rPr>
      </w:pPr>
      <w:r>
        <w:rPr>
          <w:rFonts w:ascii="Arial" w:cs="Arial" w:eastAsia="Arial" w:hAnsi="Arial"/>
          <w:sz w:val="17"/>
          <w:szCs w:val="17"/>
          <w:color w:val="auto"/>
        </w:rPr>
        <w:t xml:space="preserve">All Losses for which any Indemnified Party would otherwise be entitled to indemnification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shall be reduced by the amount of insurance proceeds, indemnification payments, and other Third-Party recoveries to which such Indemnified Party actually receives (less any reasonable costs and expenses, including the aggregate cost of pursuing any related insurance claims in obtaining such amounts) in respect of any Losses incurred by such Indemnified Party. In the event any Indemnified Party is entitled to any insurance proceeds, indemnity payments, or any Third-Party recoveries in respect of any Losses for which such Indemnified Party is entitled to indemnification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such Indemnified Party shall use commercially reasonable efforts to obtain, receive, or realize such proceeds, payments, or recoveries. In the event that any such insurance proceeds, indemnity payments, or other Third-Party recoveries are realized by an Indemnified Party subsequent to receipt by such Indemnified Party of any indemnification payment hereunder in respect of the claims to which such insurance proceeds, indemnity payments, or other Third-Party recoveries relate, appropriate refunds shall be made promptly by the relevant Indemnified Parties for such reduction in Losses for which the Indemnified Party was indemnified prior to the realization of reduction of such Losses.</w:t>
      </w:r>
    </w:p>
    <w:p>
      <w:pPr>
        <w:spacing w:after="0" w:line="185" w:lineRule="exact"/>
        <w:rPr>
          <w:rFonts w:ascii="Arial" w:cs="Arial" w:eastAsia="Arial" w:hAnsi="Arial"/>
          <w:sz w:val="17"/>
          <w:szCs w:val="17"/>
          <w:color w:val="010000"/>
        </w:rPr>
      </w:pPr>
    </w:p>
    <w:p>
      <w:pPr>
        <w:ind w:firstLine="1304"/>
        <w:spacing w:after="0" w:line="308" w:lineRule="auto"/>
        <w:tabs>
          <w:tab w:leader="none" w:pos="1551" w:val="left"/>
        </w:tabs>
        <w:numPr>
          <w:ilvl w:val="0"/>
          <w:numId w:val="88"/>
        </w:numPr>
        <w:rPr>
          <w:rFonts w:ascii="Arial" w:cs="Arial" w:eastAsia="Arial" w:hAnsi="Arial"/>
          <w:sz w:val="17"/>
          <w:szCs w:val="17"/>
          <w:color w:val="010000"/>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ARTICLE 10</w:t>
      </w:r>
      <w:r>
        <w:rPr>
          <w:rFonts w:ascii="Arial" w:cs="Arial" w:eastAsia="Arial" w:hAnsi="Arial"/>
          <w:sz w:val="17"/>
          <w:szCs w:val="17"/>
          <w:color w:val="auto"/>
        </w:rPr>
        <w:t>,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 xml:space="preserve">10.6 </w:t>
      </w:r>
      <w:r>
        <w:rPr>
          <w:rFonts w:ascii="Arial" w:cs="Arial" w:eastAsia="Arial" w:hAnsi="Arial"/>
          <w:sz w:val="18"/>
          <w:szCs w:val="18"/>
          <w:u w:val="single" w:color="auto"/>
          <w:color w:val="000000"/>
        </w:rPr>
        <w:t>Procedures.</w:t>
      </w:r>
    </w:p>
    <w:p>
      <w:pPr>
        <w:spacing w:after="0" w:line="225" w:lineRule="exact"/>
        <w:rPr>
          <w:sz w:val="20"/>
          <w:szCs w:val="20"/>
          <w:color w:val="auto"/>
        </w:rPr>
      </w:pPr>
    </w:p>
    <w:p>
      <w:pPr>
        <w:ind w:firstLine="1304"/>
        <w:spacing w:after="0" w:line="277" w:lineRule="auto"/>
        <w:tabs>
          <w:tab w:leader="none" w:pos="1554"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A claim for indemnification for any matter not involving a Third-Party Claim may be asserted by written notice to the Party from whom indemnification is sought.</w:t>
      </w:r>
    </w:p>
    <w:p>
      <w:pPr>
        <w:spacing w:after="0" w:line="166" w:lineRule="exact"/>
        <w:rPr>
          <w:rFonts w:ascii="Arial" w:cs="Arial" w:eastAsia="Arial" w:hAnsi="Arial"/>
          <w:sz w:val="18"/>
          <w:szCs w:val="18"/>
          <w:color w:val="010000"/>
        </w:rPr>
      </w:pPr>
    </w:p>
    <w:p>
      <w:pPr>
        <w:jc w:val="both"/>
        <w:ind w:firstLine="1304"/>
        <w:spacing w:after="0" w:line="254" w:lineRule="auto"/>
        <w:tabs>
          <w:tab w:leader="none" w:pos="1551"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Promptly after a Person entitled to indemnification hereunder (the “</w:t>
      </w:r>
      <w:r>
        <w:rPr>
          <w:rFonts w:ascii="Arial" w:cs="Arial" w:eastAsia="Arial" w:hAnsi="Arial"/>
          <w:sz w:val="18"/>
          <w:szCs w:val="18"/>
          <w:b w:val="1"/>
          <w:bCs w:val="1"/>
          <w:color w:val="auto"/>
        </w:rPr>
        <w:t>Indemnified Party</w:t>
      </w:r>
      <w:r>
        <w:rPr>
          <w:rFonts w:ascii="Arial" w:cs="Arial" w:eastAsia="Arial" w:hAnsi="Arial"/>
          <w:sz w:val="18"/>
          <w:szCs w:val="18"/>
          <w:color w:val="auto"/>
        </w:rPr>
        <w:t>”) has received notice or has knowledge of any Third-Party claim, demand, action or proceeding, or threatened claim, demand, action or proceeding (a “</w:t>
      </w:r>
      <w:r>
        <w:rPr>
          <w:rFonts w:ascii="Arial" w:cs="Arial" w:eastAsia="Arial" w:hAnsi="Arial"/>
          <w:sz w:val="18"/>
          <w:szCs w:val="18"/>
          <w:b w:val="1"/>
          <w:bCs w:val="1"/>
          <w:color w:val="auto"/>
        </w:rPr>
        <w:t>Third-Party Claim</w:t>
      </w:r>
      <w:r>
        <w:rPr>
          <w:rFonts w:ascii="Arial" w:cs="Arial" w:eastAsia="Arial" w:hAnsi="Arial"/>
          <w:sz w:val="18"/>
          <w:szCs w:val="18"/>
          <w:color w:val="auto"/>
        </w:rPr>
        <w:t xml:space="preserve">”) which could result in a Loss for which such Party may be entitled to indemnification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the Indemnified Party shall promptly deliver to the Party against whom indemnification is sought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(the “</w:t>
      </w:r>
      <w:r>
        <w:rPr>
          <w:rFonts w:ascii="Arial" w:cs="Arial" w:eastAsia="Arial" w:hAnsi="Arial"/>
          <w:sz w:val="18"/>
          <w:szCs w:val="18"/>
          <w:b w:val="1"/>
          <w:bCs w:val="1"/>
          <w:color w:val="auto"/>
        </w:rPr>
        <w:t>Indemnifying Party</w:t>
      </w:r>
      <w:r>
        <w:rPr>
          <w:rFonts w:ascii="Arial" w:cs="Arial" w:eastAsia="Arial" w:hAnsi="Arial"/>
          <w:sz w:val="18"/>
          <w:szCs w:val="18"/>
          <w:color w:val="auto"/>
        </w:rPr>
        <w:t>”) written notice of such Third-Party Claim (the “</w:t>
      </w:r>
      <w:r>
        <w:rPr>
          <w:rFonts w:ascii="Arial" w:cs="Arial" w:eastAsia="Arial" w:hAnsi="Arial"/>
          <w:sz w:val="18"/>
          <w:szCs w:val="18"/>
          <w:b w:val="1"/>
          <w:bCs w:val="1"/>
          <w:color w:val="auto"/>
        </w:rPr>
        <w:t>Claim Notice</w:t>
      </w:r>
      <w:r>
        <w:rPr>
          <w:rFonts w:ascii="Arial" w:cs="Arial" w:eastAsia="Arial" w:hAnsi="Arial"/>
          <w:sz w:val="18"/>
          <w:szCs w:val="18"/>
          <w:color w:val="auto"/>
        </w:rPr>
        <w:t xml:space="preserve">”), which Claim Notice shall include, to the extent known, the nature and basis of such Third-Party Claim, the basis for indemnification hereunder, and the amount in dispute under such Third-Party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of the Indemnified Party to provide the Claim Notice shall not release or waive the Indemnifying Party from its obligations to the Indemnified Party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except to the extent that the Indemnifying Party is actually prejudiced as a result of such failure.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5" w:name="page156"/>
    <w:bookmarkEnd w:id="155"/>
    <w:p>
      <w:pPr>
        <w:jc w:val="both"/>
        <w:ind w:firstLine="1304"/>
        <w:spacing w:after="0" w:line="269" w:lineRule="auto"/>
        <w:tabs>
          <w:tab w:leader="none" w:pos="1540" w:val="left"/>
        </w:tabs>
        <w:numPr>
          <w:ilvl w:val="0"/>
          <w:numId w:val="90"/>
        </w:numPr>
        <w:rPr>
          <w:rFonts w:ascii="Arial" w:cs="Arial" w:eastAsia="Arial" w:hAnsi="Arial"/>
          <w:sz w:val="17"/>
          <w:szCs w:val="17"/>
          <w:color w:val="010000"/>
        </w:rPr>
      </w:pPr>
      <w:r>
        <w:rPr>
          <w:rFonts w:ascii="Arial" w:cs="Arial" w:eastAsia="Arial" w:hAnsi="Arial"/>
          <w:sz w:val="17"/>
          <w:szCs w:val="17"/>
          <w:color w:val="auto"/>
        </w:rPr>
        <w:t xml:space="preserve">Following receipt of the Claim Notice, the Indemnifying Party may elect at any time to assume and thereafter conduct the defense and settlement, of any Third-Party Claim subject to any such indemnification claim with counsel of the Indemnifying Party’s choice and to settle or compromise any such Third-Party Claim, and the Indemnified Party shall cooperate in all respects with the conduct of such defense by the Indemnifying Party and/or the settlement of such Third-Party Claim by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Indemnifying Party will not approve of the entry of any judgment or enter into any settlement or compromise with respect to the Third-Party Claim without the Indemnified Party’s prior written approval (which shall not be unreasonably withheld, conditioned, or delayed), unless the terms of such settlement provide for a complete release of the claims that are the subject of such action, claim, or proceeding in favor of the Indemnified Party. Notwithstanding the foregoing, the Indemnified Party shall have the right to control the defense of, and the Indemnifying Party shall not be entitled to assume the defense of, any Third-Party Claim that seeks relief other than monetary damages against the Indemnified Party and that the Indemnified Party reasonably determines, after conferring with its outside counsel, cannot be separated from any related claim for money damages.</w:t>
      </w:r>
    </w:p>
    <w:p>
      <w:pPr>
        <w:spacing w:after="0" w:line="185" w:lineRule="exact"/>
        <w:rPr>
          <w:rFonts w:ascii="Arial" w:cs="Arial" w:eastAsia="Arial" w:hAnsi="Arial"/>
          <w:sz w:val="17"/>
          <w:szCs w:val="17"/>
          <w:color w:val="010000"/>
        </w:rPr>
      </w:pPr>
    </w:p>
    <w:p>
      <w:pPr>
        <w:jc w:val="both"/>
        <w:ind w:firstLine="1304"/>
        <w:spacing w:after="0" w:line="257" w:lineRule="auto"/>
        <w:tabs>
          <w:tab w:leader="none" w:pos="1551"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The Parties agree to cooperate fully in connection with the defense, negotiation, or settlement of any claim for indemnification arising from a Third-Party Claim. Such cooperation will include the retention and, upon the request of the party defending, negotiating or settling the claim, the provision to such party of records and information which are reasonably relevant to such Third-Party Claim, and making employees and other Representatives reasonably available on a mutually convenient basis to provide additional information and explanation of any materials provided hereunder.</w:t>
      </w:r>
    </w:p>
    <w:p>
      <w:pPr>
        <w:spacing w:after="0" w:line="187" w:lineRule="exact"/>
        <w:rPr>
          <w:rFonts w:ascii="Arial" w:cs="Arial" w:eastAsia="Arial" w:hAnsi="Arial"/>
          <w:sz w:val="18"/>
          <w:szCs w:val="18"/>
          <w:color w:val="010000"/>
        </w:rPr>
      </w:pPr>
    </w:p>
    <w:p>
      <w:pPr>
        <w:jc w:val="both"/>
        <w:ind w:firstLine="1304"/>
        <w:spacing w:after="0" w:line="271" w:lineRule="auto"/>
        <w:tabs>
          <w:tab w:leader="none" w:pos="1540" w:val="left"/>
        </w:tabs>
        <w:numPr>
          <w:ilvl w:val="0"/>
          <w:numId w:val="90"/>
        </w:numPr>
        <w:rPr>
          <w:rFonts w:ascii="Arial" w:cs="Arial" w:eastAsia="Arial" w:hAnsi="Arial"/>
          <w:sz w:val="17"/>
          <w:szCs w:val="17"/>
          <w:color w:val="010000"/>
        </w:rPr>
      </w:pPr>
      <w:r>
        <w:rPr>
          <w:rFonts w:ascii="Arial" w:cs="Arial" w:eastAsia="Arial" w:hAnsi="Arial"/>
          <w:sz w:val="17"/>
          <w:szCs w:val="17"/>
          <w:color w:val="auto"/>
        </w:rPr>
        <w:t xml:space="preserve">If the Indemnifying Party fails or refuses to undertake the defense of such Third-Party Claim within sixty (60) calendar days after the claim for indemnification has been tendered to the Indemnifying Party by the Indemnified Party, pursuant to and in accordance with </w:t>
      </w:r>
      <w:r>
        <w:rPr>
          <w:rFonts w:ascii="Arial" w:cs="Arial" w:eastAsia="Arial" w:hAnsi="Arial"/>
          <w:sz w:val="17"/>
          <w:szCs w:val="17"/>
          <w:u w:val="single" w:color="auto"/>
          <w:color w:val="auto"/>
        </w:rPr>
        <w:t>Section 10.6(c)</w:t>
      </w:r>
      <w:r>
        <w:rPr>
          <w:rFonts w:ascii="Arial" w:cs="Arial" w:eastAsia="Arial" w:hAnsi="Arial"/>
          <w:sz w:val="17"/>
          <w:szCs w:val="17"/>
          <w:color w:val="auto"/>
        </w:rPr>
        <w:t xml:space="preserve">, or if the Indemnifying Party later fails to conduct in good faith the defense or withdraws from such defense, the Indemnified Party shall have the right to (i) undertake the defense of such claim with counsel of its own choosing, with the Indemnifying Party being responsible for the reasonable costs and expenses of such defense as Losses hereunder if and to the extent that such claim is determined to be a claim for which such Indemnified Party is entitled to be defended, indemnified, held harmless or reimbursed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(ii) settle or compromise, or attempt to settle or compromise, the Third-Party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Indemnified Party shall not settle or compromise such Third-Party Claim without the Indemnifying Party’s prior written consent (which shall not be unreasonably withheld, conditioned, or delayed).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6" w:name="page157"/>
    <w:bookmarkEnd w:id="156"/>
    <w:p>
      <w:pPr>
        <w:jc w:val="both"/>
        <w:ind w:right="20" w:firstLine="648"/>
        <w:spacing w:after="0" w:line="277" w:lineRule="auto"/>
        <w:rPr>
          <w:sz w:val="20"/>
          <w:szCs w:val="20"/>
          <w:color w:val="auto"/>
        </w:rPr>
      </w:pPr>
      <w:r>
        <w:rPr>
          <w:rFonts w:ascii="Arial" w:cs="Arial" w:eastAsia="Arial" w:hAnsi="Arial"/>
          <w:sz w:val="18"/>
          <w:szCs w:val="18"/>
          <w:color w:val="010000"/>
        </w:rPr>
        <w:t xml:space="preserve">10.7 </w:t>
      </w:r>
      <w:r>
        <w:rPr>
          <w:rFonts w:ascii="Arial" w:cs="Arial" w:eastAsia="Arial" w:hAnsi="Arial"/>
          <w:sz w:val="18"/>
          <w:szCs w:val="18"/>
          <w:u w:val="single" w:color="auto"/>
          <w:color w:val="000000"/>
        </w:rPr>
        <w:t>Tax Treatment</w:t>
      </w:r>
      <w:r>
        <w:rPr>
          <w:rFonts w:ascii="Arial" w:cs="Arial" w:eastAsia="Arial" w:hAnsi="Arial"/>
          <w:sz w:val="18"/>
          <w:szCs w:val="18"/>
          <w:color w:val="000000"/>
        </w:rPr>
        <w:t>. To the extent permitted by applicable Law, Purchaser and Novartis agree to treat any payments made pursuant to the</w:t>
      </w:r>
      <w:r>
        <w:rPr>
          <w:rFonts w:ascii="Arial" w:cs="Arial" w:eastAsia="Arial" w:hAnsi="Arial"/>
          <w:sz w:val="18"/>
          <w:szCs w:val="18"/>
          <w:color w:val="010000"/>
        </w:rPr>
        <w:t xml:space="preserve"> </w:t>
      </w:r>
      <w:r>
        <w:rPr>
          <w:rFonts w:ascii="Arial" w:cs="Arial" w:eastAsia="Arial" w:hAnsi="Arial"/>
          <w:sz w:val="18"/>
          <w:szCs w:val="18"/>
          <w:color w:val="000000"/>
        </w:rPr>
        <w:t>indemnification provisions of this Agreement as an adjustment to the Purchase Price for Tax purposes.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10.8 </w:t>
      </w:r>
      <w:r>
        <w:rPr>
          <w:rFonts w:ascii="Arial" w:cs="Arial" w:eastAsia="Arial" w:hAnsi="Arial"/>
          <w:sz w:val="17"/>
          <w:szCs w:val="17"/>
          <w:u w:val="single" w:color="auto"/>
          <w:color w:val="000000"/>
        </w:rPr>
        <w:t>Exclusive Remedy</w:t>
      </w:r>
      <w:r>
        <w:rPr>
          <w:rFonts w:ascii="Arial" w:cs="Arial" w:eastAsia="Arial" w:hAnsi="Arial"/>
          <w:sz w:val="17"/>
          <w:szCs w:val="17"/>
          <w:color w:val="000000"/>
        </w:rPr>
        <w:t>. Except in respect of Fraud, from and after the Closing, the indemnification provisions contained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10</w:t>
      </w:r>
      <w:r>
        <w:rPr>
          <w:rFonts w:ascii="Arial" w:cs="Arial" w:eastAsia="Arial" w:hAnsi="Arial"/>
          <w:sz w:val="17"/>
          <w:szCs w:val="17"/>
          <w:color w:val="010000"/>
        </w:rPr>
        <w:t xml:space="preserve"> </w:t>
      </w:r>
      <w:r>
        <w:rPr>
          <w:rFonts w:ascii="Arial" w:cs="Arial" w:eastAsia="Arial" w:hAnsi="Arial"/>
          <w:sz w:val="17"/>
          <w:szCs w:val="17"/>
          <w:color w:val="000000"/>
        </w:rPr>
        <w:t>will</w:t>
      </w:r>
      <w:r>
        <w:rPr>
          <w:rFonts w:ascii="Arial" w:cs="Arial" w:eastAsia="Arial" w:hAnsi="Arial"/>
          <w:sz w:val="17"/>
          <w:szCs w:val="17"/>
          <w:color w:val="010000"/>
        </w:rPr>
        <w:t xml:space="preserve"> </w:t>
      </w:r>
      <w:r>
        <w:rPr>
          <w:rFonts w:ascii="Arial" w:cs="Arial" w:eastAsia="Arial" w:hAnsi="Arial"/>
          <w:sz w:val="17"/>
          <w:szCs w:val="17"/>
          <w:color w:val="000000"/>
        </w:rPr>
        <w:t xml:space="preserve">constitute the sole and exclusive recourse and remedy of the Parties with respect to any claim arising from this Agreement or the transactions contemplated hereby, whether by contract, tort or otherwise. Notwithstanding the foregoing, the provisions of this </w:t>
      </w:r>
      <w:r>
        <w:rPr>
          <w:rFonts w:ascii="Arial" w:cs="Arial" w:eastAsia="Arial" w:hAnsi="Arial"/>
          <w:sz w:val="17"/>
          <w:szCs w:val="17"/>
          <w:u w:val="single" w:color="auto"/>
          <w:color w:val="000000"/>
        </w:rPr>
        <w:t>ARTICLE 10</w:t>
      </w:r>
      <w:r>
        <w:rPr>
          <w:rFonts w:ascii="Arial" w:cs="Arial" w:eastAsia="Arial" w:hAnsi="Arial"/>
          <w:sz w:val="17"/>
          <w:szCs w:val="17"/>
          <w:color w:val="000000"/>
        </w:rPr>
        <w:t xml:space="preserve"> will not restrict the right of any Party to seek specific performance or other equitable remedies in connections with any breach of any of the covenants contained in this Agreement. The Parties agree that the provisions in this Agreement relating to indemnification, and the limits imposed on the Indemnified Parties’ remedies with respect to this Agreement and the transactions contemplated hereby were specifically bargained for between sophisticated parties and were specifically taken into account in the determination of the amounts to be paid hereunder.</w:t>
      </w:r>
    </w:p>
    <w:p>
      <w:pPr>
        <w:spacing w:after="0" w:line="17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010000"/>
        </w:rPr>
        <w:t xml:space="preserve">10.9 </w:t>
      </w:r>
      <w:r>
        <w:rPr>
          <w:rFonts w:ascii="Arial" w:cs="Arial" w:eastAsia="Arial" w:hAnsi="Arial"/>
          <w:sz w:val="17"/>
          <w:szCs w:val="17"/>
          <w:u w:val="single" w:color="auto"/>
          <w:color w:val="000000"/>
        </w:rPr>
        <w:t>No Setoff Rights</w:t>
      </w:r>
      <w:r>
        <w:rPr>
          <w:rFonts w:ascii="Arial" w:cs="Arial" w:eastAsia="Arial" w:hAnsi="Arial"/>
          <w:sz w:val="17"/>
          <w:szCs w:val="17"/>
          <w:color w:val="000000"/>
        </w:rPr>
        <w:t>. Neither Party shall have any right of setoff of any amounts due and payable, or any Liabilities arising, under this</w:t>
      </w:r>
      <w:r>
        <w:rPr>
          <w:rFonts w:ascii="Arial" w:cs="Arial" w:eastAsia="Arial" w:hAnsi="Arial"/>
          <w:sz w:val="17"/>
          <w:szCs w:val="17"/>
          <w:color w:val="010000"/>
        </w:rPr>
        <w:t xml:space="preserve"> </w:t>
      </w:r>
      <w:r>
        <w:rPr>
          <w:rFonts w:ascii="Arial" w:cs="Arial" w:eastAsia="Arial" w:hAnsi="Arial"/>
          <w:sz w:val="17"/>
          <w:szCs w:val="17"/>
          <w:color w:val="000000"/>
        </w:rPr>
        <w:t>Agreement against any other amounts due and payable under this Agreement or any amounts due and payable, or any Liabilities arising, under any Ancillary Agreement. The payment obligations under each of this Agreement and the Ancillary Agreements remain independent obligations of each Party, irrespective of any amounts owed to any other Party under this Agreement or the respective Ancillary Agreements.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10000"/>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010000"/>
        </w:rPr>
        <w:t xml:space="preserve">11.1 </w:t>
      </w:r>
      <w:r>
        <w:rPr>
          <w:rFonts w:ascii="Arial" w:cs="Arial" w:eastAsia="Arial" w:hAnsi="Arial"/>
          <w:sz w:val="16"/>
          <w:szCs w:val="16"/>
          <w:u w:val="single" w:color="auto"/>
          <w:color w:val="000000"/>
        </w:rPr>
        <w:t>Expenses</w:t>
      </w:r>
      <w:r>
        <w:rPr>
          <w:rFonts w:ascii="Arial" w:cs="Arial" w:eastAsia="Arial" w:hAnsi="Arial"/>
          <w:sz w:val="16"/>
          <w:szCs w:val="16"/>
          <w:color w:val="000000"/>
        </w:rPr>
        <w:t>. Except as expressly provided herein or in any Ancillary Agreement, all costs and expenses incurred in connection with this</w:t>
      </w:r>
      <w:r>
        <w:rPr>
          <w:rFonts w:ascii="Arial" w:cs="Arial" w:eastAsia="Arial" w:hAnsi="Arial"/>
          <w:sz w:val="16"/>
          <w:szCs w:val="16"/>
          <w:color w:val="010000"/>
        </w:rPr>
        <w:t xml:space="preserve"> </w:t>
      </w:r>
      <w:r>
        <w:rPr>
          <w:rFonts w:ascii="Arial" w:cs="Arial" w:eastAsia="Arial" w:hAnsi="Arial"/>
          <w:sz w:val="16"/>
          <w:szCs w:val="16"/>
          <w:color w:val="000000"/>
        </w:rPr>
        <w:t>Agreement, the Ancillary Agreements, and the transactions contemplated hereby and thereby shall be paid by the Party incurring such costs and expenses.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u w:val="single" w:color="auto"/>
          <w:color w:val="000000"/>
        </w:rPr>
        <w:t>Waiver and Amendment</w:t>
      </w:r>
      <w:r>
        <w:rPr>
          <w:rFonts w:ascii="Arial" w:cs="Arial" w:eastAsia="Arial" w:hAnsi="Arial"/>
          <w:sz w:val="18"/>
          <w:szCs w:val="18"/>
          <w:color w:val="000000"/>
        </w:rPr>
        <w:t>. The failure of any Party to assert a right hereunder or to insist upon compliance with any term or condition of this</w:t>
      </w:r>
      <w:r>
        <w:rPr>
          <w:rFonts w:ascii="Arial" w:cs="Arial" w:eastAsia="Arial" w:hAnsi="Arial"/>
          <w:sz w:val="18"/>
          <w:szCs w:val="18"/>
          <w:color w:val="010000"/>
        </w:rPr>
        <w:t xml:space="preserve"> </w:t>
      </w:r>
      <w:r>
        <w:rPr>
          <w:rFonts w:ascii="Arial" w:cs="Arial" w:eastAsia="Arial" w:hAnsi="Arial"/>
          <w:sz w:val="18"/>
          <w:szCs w:val="18"/>
          <w:color w:val="000000"/>
        </w:rPr>
        <w:t>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except by an instrument in writing signed by each of the Parties.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11.3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including the annexes, schedules, and exhibits attached hereto which are deemed for all purposes to be</w:t>
      </w:r>
      <w:r>
        <w:rPr>
          <w:rFonts w:ascii="Arial" w:cs="Arial" w:eastAsia="Arial" w:hAnsi="Arial"/>
          <w:sz w:val="18"/>
          <w:szCs w:val="18"/>
          <w:color w:val="010000"/>
        </w:rPr>
        <w:t xml:space="preserve"> </w:t>
      </w:r>
      <w:r>
        <w:rPr>
          <w:rFonts w:ascii="Arial" w:cs="Arial" w:eastAsia="Arial" w:hAnsi="Arial"/>
          <w:sz w:val="18"/>
          <w:szCs w:val="18"/>
          <w:color w:val="000000"/>
        </w:rPr>
        <w:t>part of this Agreement, the Ancillary Agreements, and any other documents delivered pursuant to this Agreement and the Ancillary Agreements, constitute the entire agreement among the Parties with respect to the subject matter hereof and thereof and supersedes all prior communications, representations, agreements, and understandings, both oral and written, among the Parties with respect to the subject matter hereof and thereof. There are no contracts, agreements, representations, warranties, promises, covenants, or arrangements among the Parties hereto with respect to the transactions contemplated hereby, other than those expressly set forth in this Agreement, the Ancillary Agreements, and any other documents delivered pursuant to this Agreement and the Ancillary Agreements.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17"/>
          <w:szCs w:val="17"/>
          <w:color w:val="010000"/>
        </w:rPr>
        <w:t xml:space="preserve">11.4 </w:t>
      </w:r>
      <w:r>
        <w:rPr>
          <w:rFonts w:ascii="Arial" w:cs="Arial" w:eastAsia="Arial" w:hAnsi="Arial"/>
          <w:sz w:val="17"/>
          <w:szCs w:val="17"/>
          <w:u w:val="single" w:color="auto"/>
          <w:color w:val="000000"/>
        </w:rPr>
        <w:t>Headings</w:t>
      </w:r>
      <w:r>
        <w:rPr>
          <w:rFonts w:ascii="Arial" w:cs="Arial" w:eastAsia="Arial" w:hAnsi="Arial"/>
          <w:sz w:val="17"/>
          <w:szCs w:val="17"/>
          <w:color w:val="000000"/>
        </w:rPr>
        <w:t>. The headings contained in this Agreement are intended solely for convenience and shall not affect the rights of the Parties.</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11.5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consents, waivers and other communications given or made pursuant to this Agreement shall be in writing and shall be</w:t>
      </w:r>
      <w:r>
        <w:rPr>
          <w:rFonts w:ascii="Arial" w:cs="Arial" w:eastAsia="Arial" w:hAnsi="Arial"/>
          <w:sz w:val="18"/>
          <w:szCs w:val="18"/>
          <w:color w:val="010000"/>
        </w:rPr>
        <w:t xml:space="preserve"> </w:t>
      </w:r>
      <w:r>
        <w:rPr>
          <w:rFonts w:ascii="Arial" w:cs="Arial" w:eastAsia="Arial" w:hAnsi="Arial"/>
          <w:sz w:val="18"/>
          <w:szCs w:val="18"/>
          <w:color w:val="000000"/>
        </w:rPr>
        <w:t>deemed effectively given upon the earlier of actual receipt, or (a) personal delivery to the Party to be notified, (b) upon receipt of delivery confirmation, if sent by electronic mail, or (c) one (1) Business Day (if recipient is located in the country in which sender is located) or two (2) Business Days (if recipient is located in a country other than the country in which send sender is located) after deposit with an internationally recognized overnight courier, freight prepaid, specifying next Business Day delivery, providing proof of delivery. The recipient shall promptly confirm its receipt of any such electronic mail. All communications shall be sent to the respective Parties as set forth below or to such other Person or address as any Party shall specify by notice in writing to the other Party.</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Novartis: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Novartis Technology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Health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East Hanover, NJ 07936</w:t>
      </w:r>
    </w:p>
    <w:p>
      <w:pPr>
        <w:spacing w:after="0" w:line="9" w:lineRule="exact"/>
        <w:rPr>
          <w:sz w:val="20"/>
          <w:szCs w:val="20"/>
          <w:color w:val="auto"/>
        </w:rPr>
      </w:pPr>
    </w:p>
    <w:p>
      <w:pPr>
        <w:ind w:left="1960"/>
        <w:spacing w:after="0"/>
        <w:tabs>
          <w:tab w:leader="none" w:pos="2880" w:val="left"/>
        </w:tabs>
        <w:rPr>
          <w:sz w:val="20"/>
          <w:szCs w:val="20"/>
          <w:color w:val="auto"/>
        </w:rPr>
      </w:pPr>
      <w:r>
        <w:rPr>
          <w:rFonts w:ascii="Arial" w:cs="Arial" w:eastAsia="Arial" w:hAnsi="Arial"/>
          <w:sz w:val="18"/>
          <w:szCs w:val="18"/>
          <w:color w:val="auto"/>
        </w:rPr>
        <w:t>Attention:</w:t>
        <w:tab/>
        <w:t>Head of BD&amp;L, Novartis Pharma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Purchaser: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102 Woodmont Blvd.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610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Andrew Boll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11452 El Camino Real, Suite 300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Diego, CA 92130-2080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Matthew Ferry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8" w:name="page159"/>
    <w:bookmarkEnd w:id="158"/>
    <w:p>
      <w:pPr>
        <w:jc w:val="both"/>
        <w:ind w:firstLine="648"/>
        <w:spacing w:after="0" w:line="269" w:lineRule="auto"/>
        <w:rPr>
          <w:sz w:val="20"/>
          <w:szCs w:val="20"/>
          <w:color w:val="auto"/>
        </w:rPr>
      </w:pPr>
      <w:r>
        <w:rPr>
          <w:rFonts w:ascii="Arial" w:cs="Arial" w:eastAsia="Arial" w:hAnsi="Arial"/>
          <w:sz w:val="17"/>
          <w:szCs w:val="17"/>
          <w:color w:val="010000"/>
        </w:rPr>
        <w:t xml:space="preserve">11.6 </w:t>
      </w:r>
      <w:r>
        <w:rPr>
          <w:rFonts w:ascii="Arial" w:cs="Arial" w:eastAsia="Arial" w:hAnsi="Arial"/>
          <w:sz w:val="17"/>
          <w:szCs w:val="17"/>
          <w:u w:val="single" w:color="auto"/>
          <w:color w:val="000000"/>
        </w:rPr>
        <w:t>Binding Effect; Assignment</w:t>
      </w:r>
      <w:r>
        <w:rPr>
          <w:rFonts w:ascii="Arial" w:cs="Arial" w:eastAsia="Arial" w:hAnsi="Arial"/>
          <w:sz w:val="17"/>
          <w:szCs w:val="17"/>
          <w:color w:val="000000"/>
        </w:rPr>
        <w:t>. This Agreement shall be binding upon and shall inure to the benefit of the Parties and their permitted successors</w:t>
      </w:r>
      <w:r>
        <w:rPr>
          <w:rFonts w:ascii="Arial" w:cs="Arial" w:eastAsia="Arial" w:hAnsi="Arial"/>
          <w:sz w:val="17"/>
          <w:szCs w:val="17"/>
          <w:color w:val="010000"/>
        </w:rPr>
        <w:t xml:space="preserve"> </w:t>
      </w:r>
      <w:r>
        <w:rPr>
          <w:rFonts w:ascii="Arial" w:cs="Arial" w:eastAsia="Arial" w:hAnsi="Arial"/>
          <w:sz w:val="17"/>
          <w:szCs w:val="17"/>
          <w:color w:val="000000"/>
        </w:rPr>
        <w:t xml:space="preserve">and assigns. No Party may assign or delegate, by operation of law or otherwise, all or any portion of its rights, obligations, or liabilities under this Agreement without the prior written consent of the other Party;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(a) Purchaser may assign its rights and obligations under this Agreement or any part hereof to one or more of its Affiliates without the consent of Novartis; and (b) Novartis may (i) assign its rights and obligations under this Agreement or any part hereof to one or more of its Affiliates without the consent of Purchaser; and (ii) assign this Agreement in its entirety to a successor to all or substantially all of its business or assets to which this Agreement relates. Notwithstanding the foregoing, at any time after the end of the Phase 1 Period, Purchaser may assign its rights and obligations under ARTICLE 9 of this Agreement to one or more of its Affiliates or to a Third Party successor in interest to all or substantially all of Purchaser’s business or assets related to one or more of Maxitrol, Iopidine and Moxeza, in each case, without the consent of Novartis. Any permitted assignee shall assume all obligations of its assignor under this Agreement (or related to the assigned portion in the case of a partial assignment), and no permitted assignment shall relieve the assignor of liability hereunder. Any purported assignment without such prior written consent shall be void and of no force or effect.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010000"/>
        </w:rPr>
        <w:t xml:space="preserve">11.7 </w:t>
      </w:r>
      <w:r>
        <w:rPr>
          <w:rFonts w:ascii="Arial" w:cs="Arial" w:eastAsia="Arial" w:hAnsi="Arial"/>
          <w:sz w:val="16"/>
          <w:szCs w:val="16"/>
          <w:u w:val="single" w:color="auto"/>
          <w:color w:val="000000"/>
        </w:rPr>
        <w:t>No Third Party Beneficiary</w:t>
      </w:r>
      <w:r>
        <w:rPr>
          <w:rFonts w:ascii="Arial" w:cs="Arial" w:eastAsia="Arial" w:hAnsi="Arial"/>
          <w:sz w:val="16"/>
          <w:szCs w:val="16"/>
          <w:color w:val="000000"/>
        </w:rPr>
        <w:t>. Except for the rights of the Novartis Indemnified Parties and the Purchaser Indemnified Parties under</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ARTICLE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10</w:t>
      </w:r>
      <w:r>
        <w:rPr>
          <w:rFonts w:ascii="Arial" w:cs="Arial" w:eastAsia="Arial" w:hAnsi="Arial"/>
          <w:sz w:val="17"/>
          <w:szCs w:val="17"/>
          <w:color w:val="auto"/>
        </w:rPr>
        <w:t>, nothing in this Agreement shall confer any rights, remedies or claims upon any Person or entity not a Party or a permitted assignee of a Party.</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11.8 </w:t>
      </w:r>
      <w:r>
        <w:rPr>
          <w:rFonts w:ascii="Arial" w:cs="Arial" w:eastAsia="Arial" w:hAnsi="Arial"/>
          <w:sz w:val="18"/>
          <w:szCs w:val="18"/>
          <w:u w:val="single" w:color="auto"/>
          <w:color w:val="000000"/>
        </w:rPr>
        <w:t>Counterparts</w:t>
      </w:r>
      <w:r>
        <w:rPr>
          <w:rFonts w:ascii="Arial" w:cs="Arial" w:eastAsia="Arial" w:hAnsi="Arial"/>
          <w:sz w:val="18"/>
          <w:szCs w:val="18"/>
          <w:color w:val="000000"/>
        </w:rPr>
        <w:t>. This Agreement may be signed in any number of counterparts with the same effect as if the signatures to each counterpart were</w:t>
      </w:r>
      <w:r>
        <w:rPr>
          <w:rFonts w:ascii="Arial" w:cs="Arial" w:eastAsia="Arial" w:hAnsi="Arial"/>
          <w:sz w:val="18"/>
          <w:szCs w:val="18"/>
          <w:color w:val="010000"/>
        </w:rPr>
        <w:t xml:space="preserve"> </w:t>
      </w:r>
      <w:r>
        <w:rPr>
          <w:rFonts w:ascii="Arial" w:cs="Arial" w:eastAsia="Arial" w:hAnsi="Arial"/>
          <w:sz w:val="18"/>
          <w:szCs w:val="18"/>
          <w:color w:val="000000"/>
        </w:rPr>
        <w:t>upon a single instrument, and all such counterparts together shall be deemed an original of this Agreement. Delivery of an executed counterpart of this Agreement by facsimile transmission or by electronic mail in portable document format (.pdf) shall be as effective as delivery of a manually executed counterpart hereof.</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11.9 </w:t>
      </w:r>
      <w:r>
        <w:rPr>
          <w:rFonts w:ascii="Arial" w:cs="Arial" w:eastAsia="Arial" w:hAnsi="Arial"/>
          <w:sz w:val="17"/>
          <w:szCs w:val="17"/>
          <w:u w:val="single" w:color="auto"/>
          <w:color w:val="000000"/>
        </w:rPr>
        <w:t>Force Majeure</w:t>
      </w:r>
      <w:r>
        <w:rPr>
          <w:rFonts w:ascii="Arial" w:cs="Arial" w:eastAsia="Arial" w:hAnsi="Arial"/>
          <w:sz w:val="17"/>
          <w:szCs w:val="17"/>
          <w:color w:val="000000"/>
        </w:rPr>
        <w:t>. If and to the extent that either Party is prevented or delayed by Force Majeure from performing any of its obligations under</w:t>
      </w:r>
      <w:r>
        <w:rPr>
          <w:rFonts w:ascii="Arial" w:cs="Arial" w:eastAsia="Arial" w:hAnsi="Arial"/>
          <w:sz w:val="17"/>
          <w:szCs w:val="17"/>
          <w:color w:val="010000"/>
        </w:rPr>
        <w:t xml:space="preserve"> </w:t>
      </w:r>
      <w:r>
        <w:rPr>
          <w:rFonts w:ascii="Arial" w:cs="Arial" w:eastAsia="Arial" w:hAnsi="Arial"/>
          <w:sz w:val="17"/>
          <w:szCs w:val="17"/>
          <w:color w:val="000000"/>
        </w:rPr>
        <w:t>this Agreement and promptly so notifies in writing the other Party, specifying the matters constituting Force Majeure together with such evidence in verification thereof as it can reasonably provide and specifying the period for which it is estimated that the prevention or delay will continue, then the Party so affected shall be relieved of liability to the other for failure to perform or for delay in performing such obligations (as the case may be), but shall nevertheless use its commercially reasonable efforts to resume full performance thereof.</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11.10 </w:t>
      </w:r>
      <w:r>
        <w:rPr>
          <w:rFonts w:ascii="Arial" w:cs="Arial" w:eastAsia="Arial" w:hAnsi="Arial"/>
          <w:sz w:val="18"/>
          <w:szCs w:val="18"/>
          <w:u w:val="single" w:color="auto"/>
          <w:color w:val="000000"/>
        </w:rPr>
        <w:t>Governing Law and Jurisdiction</w:t>
      </w:r>
      <w:r>
        <w:rPr>
          <w:rFonts w:ascii="Arial" w:cs="Arial" w:eastAsia="Arial" w:hAnsi="Arial"/>
          <w:sz w:val="18"/>
          <w:szCs w:val="18"/>
          <w:color w:val="000000"/>
        </w:rPr>
        <w:t>. This Agreement and any claim or controversy hereunder shall be governed by and construed under the</w:t>
      </w:r>
      <w:r>
        <w:rPr>
          <w:rFonts w:ascii="Arial" w:cs="Arial" w:eastAsia="Arial" w:hAnsi="Arial"/>
          <w:sz w:val="18"/>
          <w:szCs w:val="18"/>
          <w:color w:val="010000"/>
        </w:rPr>
        <w:t xml:space="preserve"> </w:t>
      </w:r>
      <w:r>
        <w:rPr>
          <w:rFonts w:ascii="Arial" w:cs="Arial" w:eastAsia="Arial" w:hAnsi="Arial"/>
          <w:sz w:val="18"/>
          <w:szCs w:val="18"/>
          <w:color w:val="000000"/>
        </w:rPr>
        <w:t xml:space="preserve">Laws of the State of New York, without giving effect to the conflict of laws provision thereof. Any claim or dispute arising out of or relating to this Agreement shall be subject to the exclusive jurisdiction of the United States District Court for the Southern District of New York, so long as it shall have subject matter jurisdiction over such claim or dispute and otherwise the state courts located in the State of New York. Each Party irrevocably agrees and consents to the jurisdiction of the courts set forth in this </w:t>
      </w:r>
      <w:r>
        <w:rPr>
          <w:rFonts w:ascii="Arial" w:cs="Arial" w:eastAsia="Arial" w:hAnsi="Arial"/>
          <w:sz w:val="18"/>
          <w:szCs w:val="18"/>
          <w:u w:val="single" w:color="auto"/>
          <w:color w:val="000000"/>
        </w:rPr>
        <w:t>Section 11.10</w:t>
      </w:r>
      <w:r>
        <w:rPr>
          <w:rFonts w:ascii="Arial" w:cs="Arial" w:eastAsia="Arial" w:hAnsi="Arial"/>
          <w:sz w:val="18"/>
          <w:szCs w:val="18"/>
          <w:color w:val="000000"/>
        </w:rPr>
        <w:t xml:space="preserve"> and waives any objection it may have to the venue of such courts, including with respect to the convenience of the forum and jurisdiction.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9" w:name="page160"/>
    <w:bookmarkEnd w:id="159"/>
    <w:p>
      <w:pPr>
        <w:jc w:val="both"/>
        <w:ind w:firstLine="648"/>
        <w:spacing w:after="0" w:line="253" w:lineRule="auto"/>
        <w:rPr>
          <w:sz w:val="20"/>
          <w:szCs w:val="20"/>
          <w:color w:val="auto"/>
        </w:rPr>
      </w:pPr>
      <w:r>
        <w:rPr>
          <w:rFonts w:ascii="Arial" w:cs="Arial" w:eastAsia="Arial" w:hAnsi="Arial"/>
          <w:sz w:val="18"/>
          <w:szCs w:val="18"/>
          <w:color w:val="010000"/>
        </w:rPr>
        <w:t xml:space="preserve">11.11 </w:t>
      </w:r>
      <w:r>
        <w:rPr>
          <w:rFonts w:ascii="Arial" w:cs="Arial" w:eastAsia="Arial" w:hAnsi="Arial"/>
          <w:sz w:val="18"/>
          <w:szCs w:val="18"/>
          <w:u w:val="single" w:color="auto"/>
          <w:color w:val="000000"/>
        </w:rPr>
        <w:t>WAIVER OF JURY TRIAL</w:t>
      </w:r>
      <w:r>
        <w:rPr>
          <w:rFonts w:ascii="Arial" w:cs="Arial" w:eastAsia="Arial" w:hAnsi="Arial"/>
          <w:sz w:val="18"/>
          <w:szCs w:val="18"/>
          <w:color w:val="000000"/>
        </w:rPr>
        <w:t>. EACH OF THE PARTIES HEREBY IRREVOCABLY AND UNCONDITIONALLY WAIVES, TO THE</w:t>
      </w:r>
      <w:r>
        <w:rPr>
          <w:rFonts w:ascii="Arial" w:cs="Arial" w:eastAsia="Arial" w:hAnsi="Arial"/>
          <w:sz w:val="18"/>
          <w:szCs w:val="18"/>
          <w:color w:val="010000"/>
        </w:rPr>
        <w:t xml:space="preserve"> </w:t>
      </w:r>
      <w:r>
        <w:rPr>
          <w:rFonts w:ascii="Arial" w:cs="Arial" w:eastAsia="Arial" w:hAnsi="Arial"/>
          <w:sz w:val="18"/>
          <w:szCs w:val="18"/>
          <w:color w:val="000000"/>
        </w:rPr>
        <w:t>FULLEST EXTENT PERMITTED BY APPLICABLE LAW, ANY RIGHT IT MAY HAVE TO A TRIAL BY JURY IN ANY LEGAL PROCEEDING (WHETHER BASED ON CONTRACT, TORT, OR ANY OTHER THEORY) DIRECTLY OR INDIRECTLY ARISING OUT OF OR RELATING TO THIS AGREEMENT, ANY ANCILLARY AGREEMENT, THE TRANSACTIONS CONTEMPLATED HEREBY AND THEREBY, OR THE NEGOTIATION, ADMINISTRATION, PERFORMANCE, OR ENFORCEMENT HEREOF OR THEREOF.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SECTION.</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11.12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agreement, covenant, or restriction of this Agreement is held by a court of competent jurisdiction to be</w:t>
      </w:r>
      <w:r>
        <w:rPr>
          <w:rFonts w:ascii="Arial" w:cs="Arial" w:eastAsia="Arial" w:hAnsi="Arial"/>
          <w:sz w:val="17"/>
          <w:szCs w:val="17"/>
          <w:color w:val="010000"/>
        </w:rPr>
        <w:t xml:space="preserve"> </w:t>
      </w:r>
      <w:r>
        <w:rPr>
          <w:rFonts w:ascii="Arial" w:cs="Arial" w:eastAsia="Arial" w:hAnsi="Arial"/>
          <w:sz w:val="17"/>
          <w:szCs w:val="17"/>
          <w:color w:val="000000"/>
        </w:rPr>
        <w:t>invalid, void, or unenforceable, the remainder of the terms, provisions, agreements, covenants, and restrictions of this Agreement shall remain in full force and effect and shall in no way be affected, impaired, or invalidated. Upon such a determination, the Parties shall negotiate in good faith to modify this Agreement so as to affect the original intent of the Parties as closely as possible in a reasonably acceptable manner so that the transactions contemplated hereby may be consummated as originally contemplated to the fullest extent possible.</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010000"/>
        </w:rPr>
        <w:t xml:space="preserve">11.13 </w:t>
      </w:r>
      <w:r>
        <w:rPr>
          <w:rFonts w:ascii="Arial" w:cs="Arial" w:eastAsia="Arial" w:hAnsi="Arial"/>
          <w:sz w:val="17"/>
          <w:szCs w:val="17"/>
          <w:u w:val="single" w:color="auto"/>
          <w:color w:val="000000"/>
        </w:rPr>
        <w:t>Specific Performance</w:t>
      </w:r>
      <w:r>
        <w:rPr>
          <w:rFonts w:ascii="Arial" w:cs="Arial" w:eastAsia="Arial" w:hAnsi="Arial"/>
          <w:sz w:val="17"/>
          <w:szCs w:val="17"/>
          <w:color w:val="000000"/>
        </w:rPr>
        <w:t>. The Parties agree that irreparable damage would occur if any provision of this Agreement were not performed in</w:t>
      </w:r>
      <w:r>
        <w:rPr>
          <w:rFonts w:ascii="Arial" w:cs="Arial" w:eastAsia="Arial" w:hAnsi="Arial"/>
          <w:sz w:val="17"/>
          <w:szCs w:val="17"/>
          <w:color w:val="010000"/>
        </w:rPr>
        <w:t xml:space="preserve"> </w:t>
      </w:r>
      <w:r>
        <w:rPr>
          <w:rFonts w:ascii="Arial" w:cs="Arial" w:eastAsia="Arial" w:hAnsi="Arial"/>
          <w:sz w:val="17"/>
          <w:szCs w:val="17"/>
          <w:color w:val="000000"/>
        </w:rPr>
        <w:t>accordance with the terms hereof and that the Parties shall be entitled to specific performance of the terms hereof, in addition to any other remedy to which they are entitled at law or in equity. It is therefore agreed that the Parties shall be entitled to seek a temporary, preliminary, and/or permanent injunction or injunctions to prevent breaches of this Agreement and to enforce specifically the performance of the terms of this Agreement, without posting any bond or other undertaking, in addition to any other remedy to which they are entitled at law or in equity.</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010000"/>
        </w:rPr>
        <w:t xml:space="preserve">11.14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Nothing contained in this Agreement shall be deemed to constitute a partnership, joint venture, or legal entity of</w:t>
      </w:r>
      <w:r>
        <w:rPr>
          <w:rFonts w:ascii="Arial" w:cs="Arial" w:eastAsia="Arial" w:hAnsi="Arial"/>
          <w:sz w:val="17"/>
          <w:szCs w:val="17"/>
          <w:color w:val="010000"/>
        </w:rPr>
        <w:t xml:space="preserve"> </w:t>
      </w:r>
      <w:r>
        <w:rPr>
          <w:rFonts w:ascii="Arial" w:cs="Arial" w:eastAsia="Arial" w:hAnsi="Arial"/>
          <w:sz w:val="17"/>
          <w:szCs w:val="17"/>
          <w:color w:val="000000"/>
        </w:rPr>
        <w:t>any type between Novartis and Purchaser, or to constitute one as the agent of the other. Moreover, each Party agrees not to construe this Agreement, or any of the transactions contemplated hereby, as a partnership for any Tax purposes. Each Party shall act solely as an independent contractor, and nothing in this Agreement shall be construed to give any Party the power or authority to act for, bind or commit the other.</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010000"/>
        </w:rPr>
        <w:t xml:space="preserve">11.15 </w:t>
      </w:r>
      <w:r>
        <w:rPr>
          <w:rFonts w:ascii="Arial" w:cs="Arial" w:eastAsia="Arial" w:hAnsi="Arial"/>
          <w:sz w:val="16"/>
          <w:szCs w:val="16"/>
          <w:u w:val="single" w:color="auto"/>
          <w:color w:val="000000"/>
        </w:rPr>
        <w:t>Extension to Affiliates</w:t>
      </w:r>
      <w:r>
        <w:rPr>
          <w:rFonts w:ascii="Arial" w:cs="Arial" w:eastAsia="Arial" w:hAnsi="Arial"/>
          <w:sz w:val="16"/>
          <w:szCs w:val="16"/>
          <w:color w:val="000000"/>
        </w:rPr>
        <w:t>. Novartis shall have the right to extend the rights, immunities, and obligations granted in this Agreement to one or</w:t>
      </w:r>
      <w:r>
        <w:rPr>
          <w:rFonts w:ascii="Arial" w:cs="Arial" w:eastAsia="Arial" w:hAnsi="Arial"/>
          <w:sz w:val="16"/>
          <w:szCs w:val="16"/>
          <w:color w:val="010000"/>
        </w:rPr>
        <w:t xml:space="preserve"> </w:t>
      </w:r>
      <w:r>
        <w:rPr>
          <w:rFonts w:ascii="Arial" w:cs="Arial" w:eastAsia="Arial" w:hAnsi="Arial"/>
          <w:sz w:val="16"/>
          <w:szCs w:val="16"/>
          <w:color w:val="000000"/>
        </w:rPr>
        <w:t>more of its Affiliates. All applicable terms and provisions of this Agreement shall apply to any such Affiliate to which this Agreement has been extended to the same extent as such terms and provisions apply to Novartis. Novartis shall remain primarily liable for any acts or omissions of its Affiliates.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0" w:name="page161"/>
    <w:bookmarkEnd w:id="160"/>
    <w:p>
      <w:pPr>
        <w:jc w:val="both"/>
        <w:ind w:firstLine="648"/>
        <w:spacing w:after="0" w:line="263" w:lineRule="auto"/>
        <w:rPr>
          <w:sz w:val="20"/>
          <w:szCs w:val="20"/>
          <w:color w:val="auto"/>
        </w:rPr>
      </w:pPr>
      <w:r>
        <w:rPr>
          <w:rFonts w:ascii="Arial" w:cs="Arial" w:eastAsia="Arial" w:hAnsi="Arial"/>
          <w:sz w:val="18"/>
          <w:szCs w:val="18"/>
          <w:color w:val="010000"/>
        </w:rPr>
        <w:t xml:space="preserve">11.16 </w:t>
      </w:r>
      <w:r>
        <w:rPr>
          <w:rFonts w:ascii="Arial" w:cs="Arial" w:eastAsia="Arial" w:hAnsi="Arial"/>
          <w:sz w:val="18"/>
          <w:szCs w:val="18"/>
          <w:u w:val="single" w:color="auto"/>
          <w:color w:val="000000"/>
        </w:rPr>
        <w:t>English Language</w:t>
      </w:r>
      <w:r>
        <w:rPr>
          <w:rFonts w:ascii="Arial" w:cs="Arial" w:eastAsia="Arial" w:hAnsi="Arial"/>
          <w:sz w:val="18"/>
          <w:szCs w:val="18"/>
          <w:color w:val="000000"/>
        </w:rPr>
        <w:t>. This Agreement is written and executed in the English language. Any translation into any other language shall not be an</w:t>
      </w:r>
      <w:r>
        <w:rPr>
          <w:rFonts w:ascii="Arial" w:cs="Arial" w:eastAsia="Arial" w:hAnsi="Arial"/>
          <w:sz w:val="18"/>
          <w:szCs w:val="18"/>
          <w:color w:val="010000"/>
        </w:rPr>
        <w:t xml:space="preserve"> </w:t>
      </w:r>
      <w:r>
        <w:rPr>
          <w:rFonts w:ascii="Arial" w:cs="Arial" w:eastAsia="Arial" w:hAnsi="Arial"/>
          <w:sz w:val="18"/>
          <w:szCs w:val="18"/>
          <w:color w:val="000000"/>
        </w:rPr>
        <w:t>official version of this Agreement and in the event of any conflict in interpretation between the English version and such translation, the English version shall prevail.</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010000"/>
        </w:rPr>
        <w:t xml:space="preserve">11.17 </w:t>
      </w:r>
      <w:r>
        <w:rPr>
          <w:rFonts w:ascii="Arial" w:cs="Arial" w:eastAsia="Arial" w:hAnsi="Arial"/>
          <w:sz w:val="17"/>
          <w:szCs w:val="17"/>
          <w:u w:val="single" w:color="auto"/>
          <w:color w:val="000000"/>
        </w:rPr>
        <w:t>Construction</w:t>
      </w:r>
      <w:r>
        <w:rPr>
          <w:rFonts w:ascii="Arial" w:cs="Arial" w:eastAsia="Arial" w:hAnsi="Arial"/>
          <w:sz w:val="17"/>
          <w:szCs w:val="17"/>
          <w:color w:val="000000"/>
        </w:rPr>
        <w:t>. The Parties agree that the terms and conditions of this Agreement are the result of negotiations between the Parties and that</w:t>
      </w:r>
      <w:r>
        <w:rPr>
          <w:rFonts w:ascii="Arial" w:cs="Arial" w:eastAsia="Arial" w:hAnsi="Arial"/>
          <w:sz w:val="17"/>
          <w:szCs w:val="17"/>
          <w:color w:val="010000"/>
        </w:rPr>
        <w:t xml:space="preserve"> </w:t>
      </w:r>
      <w:r>
        <w:rPr>
          <w:rFonts w:ascii="Arial" w:cs="Arial" w:eastAsia="Arial" w:hAnsi="Arial"/>
          <w:sz w:val="17"/>
          <w:szCs w:val="17"/>
          <w:color w:val="000000"/>
        </w:rPr>
        <w:t>this Agreement shall not be construed in favor of or against any Party by reason of the extent to which any Party participated in its preparation.</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010000"/>
        </w:rPr>
        <w:t xml:space="preserve">11.18 </w:t>
      </w:r>
      <w:r>
        <w:rPr>
          <w:rFonts w:ascii="Arial" w:cs="Arial" w:eastAsia="Arial" w:hAnsi="Arial"/>
          <w:sz w:val="16"/>
          <w:szCs w:val="16"/>
          <w:u w:val="single" w:color="auto"/>
          <w:color w:val="000000"/>
        </w:rPr>
        <w:t>No Recourse Against Nonparty Affiliates</w:t>
      </w:r>
      <w:r>
        <w:rPr>
          <w:rFonts w:ascii="Arial" w:cs="Arial" w:eastAsia="Arial" w:hAnsi="Arial"/>
          <w:sz w:val="16"/>
          <w:szCs w:val="16"/>
          <w:color w:val="000000"/>
        </w:rPr>
        <w:t>. All claims, obligations, liabilities, or causes of action (whether in contract or in tort, in law or in</w:t>
      </w:r>
      <w:r>
        <w:rPr>
          <w:rFonts w:ascii="Arial" w:cs="Arial" w:eastAsia="Arial" w:hAnsi="Arial"/>
          <w:sz w:val="16"/>
          <w:szCs w:val="16"/>
          <w:color w:val="010000"/>
        </w:rPr>
        <w:t xml:space="preserve"> </w:t>
      </w:r>
      <w:r>
        <w:rPr>
          <w:rFonts w:ascii="Arial" w:cs="Arial" w:eastAsia="Arial" w:hAnsi="Arial"/>
          <w:sz w:val="16"/>
          <w:szCs w:val="16"/>
          <w:color w:val="000000"/>
        </w:rPr>
        <w:t>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those solely of) the entities that are expressly identified as Parties in the preamble to this Agreement (or their permitted assignees) (“</w:t>
      </w:r>
      <w:r>
        <w:rPr>
          <w:rFonts w:ascii="Arial" w:cs="Arial" w:eastAsia="Arial" w:hAnsi="Arial"/>
          <w:sz w:val="16"/>
          <w:szCs w:val="16"/>
          <w:b w:val="1"/>
          <w:bCs w:val="1"/>
          <w:color w:val="000000"/>
        </w:rPr>
        <w:t>Contracting Party</w:t>
      </w:r>
      <w:r>
        <w:rPr>
          <w:rFonts w:ascii="Arial" w:cs="Arial" w:eastAsia="Arial" w:hAnsi="Arial"/>
          <w:sz w:val="16"/>
          <w:szCs w:val="16"/>
          <w:color w:val="000000"/>
        </w:rPr>
        <w:t>”). No Person who is not a Contracting Party, including any director, officer, employee, incorporator, member, partner, manager, unitholder, stockholder, Affiliate, agent, attorney, or representative of, and any financial advisor or lender to, any Contracting Party, or any director, officer, employee, incorporator, member, partner, manager, unitholder, stockholder, Affiliate, agent, attorney, or representative of, and any financial advisor or lender to, any of the foregoing (“</w:t>
      </w:r>
      <w:r>
        <w:rPr>
          <w:rFonts w:ascii="Arial" w:cs="Arial" w:eastAsia="Arial" w:hAnsi="Arial"/>
          <w:sz w:val="16"/>
          <w:szCs w:val="16"/>
          <w:b w:val="1"/>
          <w:bCs w:val="1"/>
          <w:color w:val="000000"/>
        </w:rPr>
        <w:t>Nonparty Affiliates</w:t>
      </w:r>
      <w:r>
        <w:rPr>
          <w:rFonts w:ascii="Arial" w:cs="Arial" w:eastAsia="Arial" w:hAnsi="Arial"/>
          <w:sz w:val="16"/>
          <w:szCs w:val="16"/>
          <w:color w:val="000000"/>
        </w:rPr>
        <w:t>”),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 and, to the maximum extent permitted by Law, each Contracting Party hereby waives and releases all such liabilities, claims, causes of action, and obligations against any such Nonparty Affiliates. Without limiting the foregoing, to the maximum extent permitted by Law, (a) each Contracting Party hereby waives and releases any and all rights, claims, demands, or causes of action that may otherwise be available at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upon any Nonparty Affiliates with respect to the performance of this Agreement or any representation or warranty made in, in connection with, or as an inducement to this Agreement.</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010000"/>
        </w:rPr>
        <w:t xml:space="preserve">11.19 </w:t>
      </w:r>
      <w:r>
        <w:rPr>
          <w:rFonts w:ascii="Arial" w:cs="Arial" w:eastAsia="Arial" w:hAnsi="Arial"/>
          <w:sz w:val="17"/>
          <w:szCs w:val="17"/>
          <w:u w:val="single" w:color="auto"/>
          <w:color w:val="000000"/>
        </w:rPr>
        <w:t>Novartis Disclosure Schedule</w:t>
      </w:r>
      <w:r>
        <w:rPr>
          <w:rFonts w:ascii="Arial" w:cs="Arial" w:eastAsia="Arial" w:hAnsi="Arial"/>
          <w:sz w:val="17"/>
          <w:szCs w:val="17"/>
          <w:color w:val="000000"/>
        </w:rPr>
        <w:t>. All capitalized terms not defined in the Novartis Disclosure Schedule shall have the meanings ascribed to</w:t>
      </w:r>
      <w:r>
        <w:rPr>
          <w:rFonts w:ascii="Arial" w:cs="Arial" w:eastAsia="Arial" w:hAnsi="Arial"/>
          <w:sz w:val="17"/>
          <w:szCs w:val="17"/>
          <w:color w:val="010000"/>
        </w:rPr>
        <w:t xml:space="preserve"> </w:t>
      </w:r>
      <w:r>
        <w:rPr>
          <w:rFonts w:ascii="Arial" w:cs="Arial" w:eastAsia="Arial" w:hAnsi="Arial"/>
          <w:sz w:val="17"/>
          <w:szCs w:val="17"/>
          <w:color w:val="000000"/>
        </w:rPr>
        <w:t>them in this Agreement. The representations, warranties, covenants, and agreements of Novartis set forth in this Agreement are made and given subject to, and are qualified by, the Novartis Disclosure Schedule. Any disclosure set forth in one section or subsection of the Novartis Disclosure Schedule shall be deemed to apply to and qualify the section or subsection of this Agreement to which it corresponds in number and each other section or subsection of this Agreement to the extent that it is reasonably apparent on its face that such information is relevant to such other section or subsection. The Novartis Disclosure Schedule may include brief descriptions or summaries of certain agreements and instruments. The descriptions or summaries do not purport to be comprehensive and are qualified in their entirety by reference to the text of the documents described to the extent such text has been provided to Purchaser prior to the date hereof. No disclosure set forth in the Novartis Disclosure Schedule relating to any possible breach or violation of any contract or Law shall be construed as an admission or indication that any such breach or violation exists or has actually occurred. The inclusion of any information in the Novartis Disclosure Schedule shall not be deemed to be an admission or acknowledgment that such information (a) is required by the terms of this Agreement to be disclosed, (b) is material, (c) has resulted in or would result in a Material Adverse Effect, or (d) that such information creates a measure of materiality for purposes of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t>IN WITNESS WHEREOF, the Parties hereto have executed and delivered this Agreement as of the date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31"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298450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92" w:right="1440" w:bottom="1440" w:gutter="0" w:footer="0" w:header="0"/>
        </w:sectPr>
      </w:pPr>
    </w:p>
    <w:bookmarkStart w:id="162" w:name="page163"/>
    <w:bookmarkEnd w:id="162"/>
    <w:p>
      <w:pPr>
        <w:ind w:left="4520"/>
        <w:spacing w:after="0"/>
        <w:rPr>
          <w:sz w:val="20"/>
          <w:szCs w:val="20"/>
          <w:color w:val="auto"/>
        </w:rPr>
      </w:pPr>
      <w:r>
        <w:rPr>
          <w:rFonts w:ascii="Arial" w:cs="Arial" w:eastAsia="Arial" w:hAnsi="Arial"/>
          <w:sz w:val="18"/>
          <w:szCs w:val="18"/>
          <w:b w:val="1"/>
          <w:bCs w:val="1"/>
          <w:color w:val="auto"/>
        </w:rPr>
        <w:t>NOVARTIS: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NOVARTIS TECHNOLOGY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Michael Stewart</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Head Legal, Strategic Transactions</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NOVARTIS OPHTHALMICS AG</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Sven Werner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Sven 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Gl. BD&amp;L Head Divestment and Outlicensing</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Eric Careau</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Eric Careau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Gl. BDL Divestment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of Incorporation or Organization</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ImprimisRx, LLC</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Imprimis NJOF, LLC</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ImprimisRx NJ, LLC</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Imprimis Pharmaceuticals USA, LLC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Harrow IP, LLC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Visionology Equity, LLC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Stowe Pharmaceuticals, Inc.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Radley Pharmaceuticals, Inc.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Mayfield Pharmaceuticals, Inc.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Visionology, Inc.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Visionology MSO, Inc.</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Park Compounding, Inc.</w:t>
            </w: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333-159159, 333-183488, 333-198674 and 333-220186 and 333-257413 on Form S-8 and Registration Statement Nos. 333-215672, 333-239669 and 333-259326 on Form S-3 of our report dated March 10, 2022, relating to the consolidated financial statements of Harrow Health, Inc. and subsidiaries, appearing in this Annual Report on Form 10-K of Harrow Health, Inc.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2021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6" w:name="page167"/>
    <w:bookmarkEnd w:id="16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2021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 Mark L. Baum, Chief Executive Officer of Harrow Health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firstLine="449"/>
        <w:spacing w:after="0" w:line="277" w:lineRule="auto"/>
        <w:tabs>
          <w:tab w:leader="none" w:pos="7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420" w:firstLine="449"/>
        <w:spacing w:after="0" w:line="500" w:lineRule="auto"/>
        <w:tabs>
          <w:tab w:leader="none" w:pos="6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Date: March 10,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Andrew R. Boll, Chief Financial Officer of Harrow Health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firstLine="449"/>
        <w:spacing w:after="0" w:line="277" w:lineRule="auto"/>
        <w:tabs>
          <w:tab w:leader="none" w:pos="7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420" w:firstLine="449"/>
        <w:spacing w:after="0" w:line="500" w:lineRule="auto"/>
        <w:tabs>
          <w:tab w:leader="none" w:pos="6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Date: March 10,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lowerLetter"/>
      <w:start w:val="1"/>
    </w:lvl>
  </w:abstractNum>
  <w:abstractNum w:abstractNumId="5">
    <w:nsid w:val="749ABB43"/>
    <w:multiLevelType w:val="hybridMultilevel"/>
    <w:lvl w:ilvl="0">
      <w:lvlJc w:val="left"/>
      <w:lvlText w:val="(%1)"/>
      <w:numFmt w:val="lowerRoman"/>
      <w:start w:val="2"/>
    </w:lvl>
  </w:abstractNum>
  <w:abstractNum w:abstractNumId="6">
    <w:nsid w:val="3DC240FB"/>
    <w:multiLevelType w:val="hybridMultilevel"/>
    <w:lvl w:ilvl="0">
      <w:lvlJc w:val="left"/>
      <w:lvlText w:val="(%1)"/>
      <w:numFmt w:val="lowerRoman"/>
      <w:start w:val="4"/>
    </w:lvl>
  </w:abstractNum>
  <w:abstractNum w:abstractNumId="7">
    <w:nsid w:val="1BA026FA"/>
    <w:multiLevelType w:val="hybridMultilevel"/>
    <w:lvl w:ilvl="0">
      <w:lvlJc w:val="left"/>
      <w:lvlText w:val="%1."/>
      <w:numFmt w:val="decimal"/>
      <w:start w:val="483"/>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1."/>
      <w:numFmt w:val="decimal"/>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lowerLetter"/>
      <w:start w:val="1"/>
    </w:lvl>
    <w:lvl w:ilvl="1">
      <w:lvlJc w:val="left"/>
      <w:lvlText w:val="(%2)"/>
      <w:numFmt w:val="decimal"/>
      <w:start w:val="1"/>
    </w:lvl>
  </w:abstractNum>
  <w:abstractNum w:abstractNumId="23">
    <w:nsid w:val="354FE9F9"/>
    <w:multiLevelType w:val="hybridMultilevel"/>
    <w:lvl w:ilvl="0">
      <w:lvlJc w:val="left"/>
      <w:lvlText w:val="%1"/>
      <w:numFmt w:val="decimal"/>
      <w:start w:val="104"/>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1)"/>
      <w:numFmt w:val="decimal"/>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2"/>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amp;"/>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
    <w:nsid w:val="7BD3EE7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6">
    <w:nsid w:val="51D9C5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4"/>
    </w:lvl>
  </w:abstractNum>
  <w:abstractNum w:abstractNumId="60">
    <w:nsid w:val="42963E5A"/>
    <w:multiLevelType w:val="hybridMultilevel"/>
    <w:lvl w:ilvl="0">
      <w:lvlJc w:val="left"/>
      <w:lvlText w:val="(%1)"/>
      <w:numFmt w:val="lowerLetter"/>
      <w:start w:val="1"/>
    </w:lvl>
    <w:lvl w:ilvl="1">
      <w:lvlJc w:val="left"/>
      <w:lvlText w:val="(%2)"/>
      <w:numFmt w:val="lowerRoman"/>
      <w:start w:val="1"/>
    </w:lvl>
  </w:abstractNum>
  <w:abstractNum w:abstractNumId="61">
    <w:nsid w:val="A0382C5"/>
    <w:multiLevelType w:val="hybridMultilevel"/>
    <w:lvl w:ilvl="0">
      <w:lvlJc w:val="left"/>
      <w:lvlText w:val="(%1)"/>
      <w:numFmt w:val="lowerLetter"/>
      <w:start w:val="2"/>
    </w:lvl>
    <w:lvl w:ilvl="1">
      <w:lvlJc w:val="left"/>
      <w:lvlText w:val="(%2)"/>
      <w:numFmt w:val="lowerRoman"/>
      <w:start w:val="1"/>
    </w:lvl>
  </w:abstractNum>
  <w:abstractNum w:abstractNumId="62">
    <w:nsid w:val="8F2B15E"/>
    <w:multiLevelType w:val="hybridMultilevel"/>
    <w:lvl w:ilvl="0">
      <w:lvlJc w:val="left"/>
      <w:lvlText w:val="(%1)"/>
      <w:numFmt w:val="lowerRoman"/>
      <w:start w:val="11"/>
    </w:lvl>
  </w:abstractNum>
  <w:abstractNum w:abstractNumId="63">
    <w:nsid w:val="1A32234B"/>
    <w:multiLevelType w:val="hybridMultilevel"/>
    <w:lvl w:ilvl="0">
      <w:lvlJc w:val="left"/>
      <w:lvlText w:val="(%1)"/>
      <w:numFmt w:val="lowerRoman"/>
      <w:start w:val="15"/>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6"/>
    </w:lvl>
  </w:abstractNum>
  <w:abstractNum w:abstractNumId="67">
    <w:nsid w:val="60B6DF70"/>
    <w:multiLevelType w:val="hybridMultilevel"/>
    <w:lvl w:ilvl="0">
      <w:lvlJc w:val="left"/>
      <w:lvlText w:val="(%1)"/>
      <w:numFmt w:val="lowerLetter"/>
      <w:start w:val="1"/>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2"/>
    </w:lvl>
  </w:abstractNum>
  <w:abstractNum w:abstractNumId="70">
    <w:nsid w:val="7FFFCA11"/>
    <w:multiLevelType w:val="hybridMultilevel"/>
    <w:lvl w:ilvl="0">
      <w:lvlJc w:val="left"/>
      <w:lvlText w:val="(%1)"/>
      <w:numFmt w:val="lowerLetter"/>
      <w:start w:val="1"/>
    </w:lvl>
    <w:lvl w:ilvl="1">
      <w:lvlJc w:val="left"/>
      <w:lvlText w:val="(%2)"/>
      <w:numFmt w:val="lowerRoman"/>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lvl w:ilvl="1">
      <w:lvlJc w:val="left"/>
      <w:lvlText w:val="(%2)"/>
      <w:numFmt w:val="lowerRoman"/>
      <w:start w:val="1"/>
    </w:lvl>
  </w:abstractNum>
  <w:abstractNum w:abstractNumId="73">
    <w:nsid w:val="100F59DC"/>
    <w:multiLevelType w:val="hybridMultilevel"/>
    <w:lvl w:ilvl="0">
      <w:lvlJc w:val="left"/>
      <w:lvlText w:val="(%1)"/>
      <w:numFmt w:val="lowerLetter"/>
      <w:start w:val="2"/>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3"/>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lowerLetter"/>
      <w:start w:val="2"/>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Roman"/>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lowerLetter"/>
      <w:start w:val="4"/>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lowerLetter"/>
      <w:start w:val="3"/>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1" Type="http://schemas.openxmlformats.org/officeDocument/2006/relationships/image" Target="media/image60.png"/><Relationship Id="rId98" Type="http://schemas.openxmlformats.org/officeDocument/2006/relationships/image" Target="media/image61.png"/><Relationship Id="rId118" Type="http://schemas.openxmlformats.org/officeDocument/2006/relationships/image" Target="media/image62.png"/><Relationship Id="rId128" Type="http://schemas.openxmlformats.org/officeDocument/2006/relationships/image" Target="media/image63.png"/><Relationship Id="rId129" Type="http://schemas.openxmlformats.org/officeDocument/2006/relationships/image" Target="media/image64.png"/><Relationship Id="rId130" Type="http://schemas.openxmlformats.org/officeDocument/2006/relationships/image" Target="media/image65.png"/><Relationship Id="rId131" Type="http://schemas.openxmlformats.org/officeDocument/2006/relationships/image" Target="media/image66.png"/><Relationship Id="rId132" Type="http://schemas.openxmlformats.org/officeDocument/2006/relationships/image" Target="media/image67.png"/><Relationship Id="rId133" Type="http://schemas.openxmlformats.org/officeDocument/2006/relationships/image" Target="media/image68.png"/><Relationship Id="rId134" Type="http://schemas.openxmlformats.org/officeDocument/2006/relationships/image" Target="media/image69.png"/><Relationship Id="rId135" Type="http://schemas.openxmlformats.org/officeDocument/2006/relationships/image" Target="media/image70.png"/><Relationship Id="rId136" Type="http://schemas.openxmlformats.org/officeDocument/2006/relationships/image" Target="media/image71.png"/><Relationship Id="rId137" Type="http://schemas.openxmlformats.org/officeDocument/2006/relationships/image" Target="media/image72.png"/><Relationship Id="rId138" Type="http://schemas.openxmlformats.org/officeDocument/2006/relationships/image" Target="media/image73.png"/><Relationship Id="rId139" Type="http://schemas.openxmlformats.org/officeDocument/2006/relationships/image" Target="media/image74.png"/><Relationship Id="rId140" Type="http://schemas.openxmlformats.org/officeDocument/2006/relationships/image" Target="media/image75.png"/><Relationship Id="rId141" Type="http://schemas.openxmlformats.org/officeDocument/2006/relationships/image" Target="media/image76.png"/><Relationship Id="rId142" Type="http://schemas.openxmlformats.org/officeDocument/2006/relationships/image" Target="media/image77.png"/><Relationship Id="rId143" Type="http://schemas.openxmlformats.org/officeDocument/2006/relationships/image" Target="media/image78.png"/><Relationship Id="rId144" Type="http://schemas.openxmlformats.org/officeDocument/2006/relationships/image" Target="media/image79.png"/><Relationship Id="rId145" Type="http://schemas.openxmlformats.org/officeDocument/2006/relationships/image" Target="media/image80.png"/><Relationship Id="rId146" Type="http://schemas.openxmlformats.org/officeDocument/2006/relationships/image" Target="media/image81.png"/><Relationship Id="rId147" Type="http://schemas.openxmlformats.org/officeDocument/2006/relationships/image" Target="media/image82.png"/><Relationship Id="rId148" Type="http://schemas.openxmlformats.org/officeDocument/2006/relationships/image" Target="media/image83.png"/><Relationship Id="rId149" Type="http://schemas.openxmlformats.org/officeDocument/2006/relationships/image" Target="media/image84.png"/><Relationship Id="rId150" Type="http://schemas.openxmlformats.org/officeDocument/2006/relationships/image" Target="media/image85.png"/><Relationship Id="rId151" Type="http://schemas.openxmlformats.org/officeDocument/2006/relationships/image" Target="media/image86.png"/><Relationship Id="rId152" Type="http://schemas.openxmlformats.org/officeDocument/2006/relationships/image" Target="media/image87.png"/><Relationship Id="rId153" Type="http://schemas.openxmlformats.org/officeDocument/2006/relationships/image" Target="media/image88.png"/><Relationship Id="rId154" Type="http://schemas.openxmlformats.org/officeDocument/2006/relationships/image" Target="media/image89.png"/><Relationship Id="rId155" Type="http://schemas.openxmlformats.org/officeDocument/2006/relationships/image" Target="media/image90.png"/><Relationship Id="rId156" Type="http://schemas.openxmlformats.org/officeDocument/2006/relationships/image" Target="media/image91.png"/><Relationship Id="rId157" Type="http://schemas.openxmlformats.org/officeDocument/2006/relationships/image" Target="media/image92.png"/><Relationship Id="rId158" Type="http://schemas.openxmlformats.org/officeDocument/2006/relationships/image" Target="media/image93.png"/><Relationship Id="rId159" Type="http://schemas.openxmlformats.org/officeDocument/2006/relationships/image" Target="media/image94.png"/><Relationship Id="rId160" Type="http://schemas.openxmlformats.org/officeDocument/2006/relationships/image" Target="media/image95.png"/><Relationship Id="rId161" Type="http://schemas.openxmlformats.org/officeDocument/2006/relationships/image" Target="media/image96.png"/><Relationship Id="rId162" Type="http://schemas.openxmlformats.org/officeDocument/2006/relationships/image" Target="media/image97.png"/><Relationship Id="rId163" Type="http://schemas.openxmlformats.org/officeDocument/2006/relationships/image" Target="media/image98.png"/><Relationship Id="rId164" Type="http://schemas.openxmlformats.org/officeDocument/2006/relationships/image" Target="media/image99.png"/><Relationship Id="rId165" Type="http://schemas.openxmlformats.org/officeDocument/2006/relationships/image" Target="media/image100.png"/><Relationship Id="rId166" Type="http://schemas.openxmlformats.org/officeDocument/2006/relationships/image" Target="media/image101.png"/><Relationship Id="rId167" Type="http://schemas.openxmlformats.org/officeDocument/2006/relationships/image" Target="media/image102.png"/><Relationship Id="rId168" Type="http://schemas.openxmlformats.org/officeDocument/2006/relationships/image" Target="media/image103.png"/><Relationship Id="rId169" Type="http://schemas.openxmlformats.org/officeDocument/2006/relationships/image" Target="media/image104.png"/><Relationship Id="rId170" Type="http://schemas.openxmlformats.org/officeDocument/2006/relationships/image" Target="media/image105.png"/><Relationship Id="rId171" Type="http://schemas.openxmlformats.org/officeDocument/2006/relationships/image" Target="media/image106.png"/><Relationship Id="rId172" Type="http://schemas.openxmlformats.org/officeDocument/2006/relationships/image" Target="media/image107.png"/><Relationship Id="rId173" Type="http://schemas.openxmlformats.org/officeDocument/2006/relationships/image" Target="media/image108.png"/><Relationship Id="rId174" Type="http://schemas.openxmlformats.org/officeDocument/2006/relationships/image" Target="media/image109.pn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4" Type="http://schemas.openxmlformats.org/officeDocument/2006/relationships/image" Target="media/image119.png"/><Relationship Id="rId185" Type="http://schemas.openxmlformats.org/officeDocument/2006/relationships/image" Target="media/image120.png"/><Relationship Id="rId186" Type="http://schemas.openxmlformats.org/officeDocument/2006/relationships/image" Target="media/image121.png"/><Relationship Id="rId187" Type="http://schemas.openxmlformats.org/officeDocument/2006/relationships/image" Target="media/image122.png"/><Relationship Id="rId188" Type="http://schemas.openxmlformats.org/officeDocument/2006/relationships/image" Target="media/image123.png"/><Relationship Id="rId189"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245" Type="http://schemas.openxmlformats.org/officeDocument/2006/relationships/image" Target="media/image180.png"/><Relationship Id="rId246" Type="http://schemas.openxmlformats.org/officeDocument/2006/relationships/image" Target="media/image181.png"/><Relationship Id="rId247" Type="http://schemas.openxmlformats.org/officeDocument/2006/relationships/image" Target="media/image182.png"/><Relationship Id="rId248" Type="http://schemas.openxmlformats.org/officeDocument/2006/relationships/image" Target="media/image183.png"/><Relationship Id="rId67" Type="http://schemas.openxmlformats.org/officeDocument/2006/relationships/hyperlink" Target="https://www.sec.gov/Archives/edgar/data/1360214/000114420407050619/v088205_ex2-1.htm" TargetMode="External"/><Relationship Id="rId68" Type="http://schemas.openxmlformats.org/officeDocument/2006/relationships/hyperlink" Target="https://www.sec.gov/Archives/edgar/data/1360214/000149315215000811/ex3-1.htm" TargetMode="External"/><Relationship Id="rId69" Type="http://schemas.openxmlformats.org/officeDocument/2006/relationships/hyperlink" Target="https://www.sec.gov/Archives/edgar/data/1360214/000149315214000878/ex3-2.htm" TargetMode="External"/><Relationship Id="rId70" Type="http://schemas.openxmlformats.org/officeDocument/2006/relationships/hyperlink" Target="https://www.sec.gov/Archives/edgar/data/1360214/000107878211003672/f8k121911_ex3z1.htm" TargetMode="External"/><Relationship Id="rId71" Type="http://schemas.openxmlformats.org/officeDocument/2006/relationships/hyperlink" Target="https://www.sec.gov/Archives/edgar/data/1360214/000149315218009586/ex3-1.htm" TargetMode="External"/><Relationship Id="rId72" Type="http://schemas.openxmlformats.org/officeDocument/2006/relationships/hyperlink" Target="https://www.sec.gov/Archives/edgar/data/1360214/000149315218018103/ex3-1.htm" TargetMode="External"/><Relationship Id="rId73" Type="http://schemas.openxmlformats.org/officeDocument/2006/relationships/hyperlink" Target="https://www.sec.gov/Archives/edgar/data/1360214/000149315221010520/ex3-1.htm" TargetMode="External"/><Relationship Id="rId74" Type="http://schemas.openxmlformats.org/officeDocument/2006/relationships/hyperlink" Target="https://www.sec.gov/Archives/edgar/data/1360214/000149315221009249/ex4-1.htm" TargetMode="External"/><Relationship Id="rId75" Type="http://schemas.openxmlformats.org/officeDocument/2006/relationships/hyperlink" Target="https://www.sec.gov/Archives/edgar/data/1360214/000149315221009249/ex4-2.htm" TargetMode="External"/><Relationship Id="rId76" Type="http://schemas.openxmlformats.org/officeDocument/2006/relationships/hyperlink" Target="http://www.sec.gov/Archives/edgar/data/1360214/000114420407050619/v088205_ex10-8.htm" TargetMode="External"/><Relationship Id="rId77" Type="http://schemas.openxmlformats.org/officeDocument/2006/relationships/hyperlink" Target="http://www.sec.gov/Archives/edgar/data/1360214/000135448813002503/immy_ex103.htm" TargetMode="External"/><Relationship Id="rId78" Type="http://schemas.openxmlformats.org/officeDocument/2006/relationships/hyperlink" Target="https://www.sec.gov/Archives/edgar/data/1360214/000149315213002218/ex10-3.htm" TargetMode="External"/><Relationship Id="rId79" Type="http://schemas.openxmlformats.org/officeDocument/2006/relationships/hyperlink" Target="https://www.sec.gov/Archives/edgar/data/1360214/000114420407050619/v088205_ex10-12.htm" TargetMode="External"/><Relationship Id="rId80" Type="http://schemas.openxmlformats.org/officeDocument/2006/relationships/hyperlink" Target="https://www.sec.gov/Archives/edgar/data/1360214/000114420407050619/v088205_ex10-13.htm" TargetMode="External"/><Relationship Id="rId82" Type="http://schemas.openxmlformats.org/officeDocument/2006/relationships/hyperlink" Target="https://www.sec.gov/Archives/edgar/data/1360214/000135448813002503/immy_ex104.htm" TargetMode="External"/><Relationship Id="rId83" Type="http://schemas.openxmlformats.org/officeDocument/2006/relationships/hyperlink" Target="https://www.sec.gov/Archives/edgar/data/1360214/000149315216009186/ex10-1.htm" TargetMode="External"/><Relationship Id="rId84" Type="http://schemas.openxmlformats.org/officeDocument/2006/relationships/hyperlink" Target="https://www.sec.gov/Archives/edgar/data/1360214/000149315216009186/ex10-4.htm" TargetMode="External"/><Relationship Id="rId85" Type="http://schemas.openxmlformats.org/officeDocument/2006/relationships/hyperlink" Target="https://www.sec.gov/Archives/edgar/data/1360214/000149315216009186/ex10-7.htm" TargetMode="External"/><Relationship Id="rId86" Type="http://schemas.openxmlformats.org/officeDocument/2006/relationships/hyperlink" Target="https://www.sec.gov/Archives/edgar/data/1360214/000149315217003596/ex10-1.htm" TargetMode="External"/><Relationship Id="rId87" Type="http://schemas.openxmlformats.org/officeDocument/2006/relationships/hyperlink" Target="https://www.sec.gov/Archives/edgar/data/1360214/000149315217004007/ex10-1.htm" TargetMode="External"/><Relationship Id="rId88" Type="http://schemas.openxmlformats.org/officeDocument/2006/relationships/hyperlink" Target="https://www.sec.gov/Archives/edgar/data/1360214/000149315217004662/ex10-1.htm" TargetMode="External"/><Relationship Id="rId89" Type="http://schemas.openxmlformats.org/officeDocument/2006/relationships/hyperlink" Target="https://www.sec.gov/Archives/edgar/data/1360214/000149315217008881/ex10-8.htm" TargetMode="External"/><Relationship Id="rId90" Type="http://schemas.openxmlformats.org/officeDocument/2006/relationships/hyperlink" Target="https://www.sec.gov/Archives/edgar/data/1360214/000149315217008881/ex10-9.htm" TargetMode="External"/><Relationship Id="rId91" Type="http://schemas.openxmlformats.org/officeDocument/2006/relationships/hyperlink" Target="https://www.sec.gov/Archives/edgar/data/1360214/000149315217008881/ex10-10.htm" TargetMode="External"/><Relationship Id="rId92" Type="http://schemas.openxmlformats.org/officeDocument/2006/relationships/hyperlink" Target="https://www.sec.gov/Archives/edgar/data/1360214/000149315217006919/ex10-1.htm" TargetMode="External"/><Relationship Id="rId93" Type="http://schemas.openxmlformats.org/officeDocument/2006/relationships/hyperlink" Target="https://www.sec.gov/Archives/edgar/data/1360214/000149315217006919/ex10-2.htm" TargetMode="External"/><Relationship Id="rId94" Type="http://schemas.openxmlformats.org/officeDocument/2006/relationships/hyperlink" Target="https://www.sec.gov/Archives/edgar/data/1360214/000149315217006919/ex10-4.htm" TargetMode="External"/><Relationship Id="rId95" Type="http://schemas.openxmlformats.org/officeDocument/2006/relationships/hyperlink" Target="https://www.sec.gov/Archives/edgar/data/1360214/000149315218003095/ex10-53.htm" TargetMode="External"/><Relationship Id="rId96" Type="http://schemas.openxmlformats.org/officeDocument/2006/relationships/hyperlink" Target="https://www.sec.gov/Archives/edgar/data/1360214/000149315218003095/ex10-54.htm" TargetMode="External"/><Relationship Id="rId97" Type="http://schemas.openxmlformats.org/officeDocument/2006/relationships/hyperlink" Target="https://www.sec.gov/Archives/edgar/data/1360214/000149315218003095/ex10-55.htm" TargetMode="External"/><Relationship Id="rId99" Type="http://schemas.openxmlformats.org/officeDocument/2006/relationships/hyperlink" Target="https://www.sec.gov/Archives/edgar/data/1360214/000149315218006896/ex10-1.htm" TargetMode="External"/><Relationship Id="rId100" Type="http://schemas.openxmlformats.org/officeDocument/2006/relationships/hyperlink" Target="https://www.sec.gov/Archives/edgar/data/1360214/000149315218006896/ex10-2.htm" TargetMode="External"/><Relationship Id="rId101" Type="http://schemas.openxmlformats.org/officeDocument/2006/relationships/hyperlink" Target="https://www.sec.gov/Archives/edgar/data/1360214/000149315218011011/ex10-3.htm" TargetMode="External"/><Relationship Id="rId102" Type="http://schemas.openxmlformats.org/officeDocument/2006/relationships/hyperlink" Target="https://www.sec.gov/Archives/edgar/data/1360214/000149315218011011/ex10-4.htm" TargetMode="External"/><Relationship Id="rId103" Type="http://schemas.openxmlformats.org/officeDocument/2006/relationships/hyperlink" Target="https://www.sec.gov/Archives/edgar/data/1360214/000149315218015757/ex10-1.htm" TargetMode="External"/><Relationship Id="rId104" Type="http://schemas.openxmlformats.org/officeDocument/2006/relationships/hyperlink" Target="https://www.sec.gov/Archives/edgar/data/1360214/000149315218015757/ex10-2.htm" TargetMode="External"/><Relationship Id="rId105" Type="http://schemas.openxmlformats.org/officeDocument/2006/relationships/hyperlink" Target="https://www.sec.gov/Archives/edgar/data/1360214/000149315218015757/ex10-3.htm" TargetMode="External"/><Relationship Id="rId106" Type="http://schemas.openxmlformats.org/officeDocument/2006/relationships/hyperlink" Target="https://www.sec.gov/Archives/edgar/data/1360214/000149315219001358/ex10-1.htm" TargetMode="External"/><Relationship Id="rId107" Type="http://schemas.openxmlformats.org/officeDocument/2006/relationships/hyperlink" Target="https://www.sec.gov/Archives/edgar/data/1360214/000149315219006689/ex10-2.htm" TargetMode="External"/><Relationship Id="rId108" Type="http://schemas.openxmlformats.org/officeDocument/2006/relationships/hyperlink" Target="https://www.sec.gov/Archives/edgar/data/1360214/000149315219006689/ex10-3.htm" TargetMode="External"/><Relationship Id="rId109" Type="http://schemas.openxmlformats.org/officeDocument/2006/relationships/hyperlink" Target="https://www.sec.gov/Archives/edgar/data/1360214/000149315219008319/ex10-1.htm" TargetMode="External"/><Relationship Id="rId110" Type="http://schemas.openxmlformats.org/officeDocument/2006/relationships/hyperlink" Target="https://www.sec.gov/Archives/edgar/data/1360214/000149315219012535/ex10-3.htm" TargetMode="External"/><Relationship Id="rId111" Type="http://schemas.openxmlformats.org/officeDocument/2006/relationships/hyperlink" Target="https://www.sec.gov/Archives/edgar/data/1360214/000149315219012535/ex10-2.htm" TargetMode="External"/><Relationship Id="rId112" Type="http://schemas.openxmlformats.org/officeDocument/2006/relationships/hyperlink" Target="https://www.sec.gov/Archives/edgar/data/1360214/000149315219012535/ex10-4.htm" TargetMode="External"/><Relationship Id="rId113" Type="http://schemas.openxmlformats.org/officeDocument/2006/relationships/hyperlink" Target="https://www.sec.gov/Archives/edgar/data/1360214/000149315219017043/ex10-3.htm" TargetMode="External"/><Relationship Id="rId114" Type="http://schemas.openxmlformats.org/officeDocument/2006/relationships/hyperlink" Target="https://www.sec.gov/Archives/edgar/data/1360214/000149315219017043/ex10-4.htm" TargetMode="External"/><Relationship Id="rId115" Type="http://schemas.openxmlformats.org/officeDocument/2006/relationships/hyperlink" Target="https://www.sec.gov/Archives/edgar/data/1360214/000149315220003862/ex10-64.htm" TargetMode="External"/><Relationship Id="rId116" Type="http://schemas.openxmlformats.org/officeDocument/2006/relationships/hyperlink" Target="https://www.sec.gov/Archives/edgar/data/1360214/000149315220003862/ex10-65.htm" TargetMode="External"/><Relationship Id="rId117" Type="http://schemas.openxmlformats.org/officeDocument/2006/relationships/hyperlink" Target="https://www.sec.gov/Archives/edgar/data/1360214/000149315220003862/ex10-66.htm" TargetMode="External"/><Relationship Id="rId119" Type="http://schemas.openxmlformats.org/officeDocument/2006/relationships/hyperlink" Target="https://www.sec.gov/Archives/edgar/data/1360214/000149315220015093/ex10-1.htm" TargetMode="External"/><Relationship Id="rId120" Type="http://schemas.openxmlformats.org/officeDocument/2006/relationships/hyperlink" Target="https://www.sec.gov/Archives/edgar/data/1360214/000149315220005750/ex10.htm" TargetMode="External"/><Relationship Id="rId121" Type="http://schemas.openxmlformats.org/officeDocument/2006/relationships/hyperlink" Target="https://www.sec.gov/Archives/edgar/data/1360214/000149315220020827/ex10-1.htm" TargetMode="External"/><Relationship Id="rId122" Type="http://schemas.openxmlformats.org/officeDocument/2006/relationships/hyperlink" Target="https://www.sec.gov/Archives/edgar/data/1360214/000149315221010520/ex10-1.htm" TargetMode="External"/><Relationship Id="rId123" Type="http://schemas.openxmlformats.org/officeDocument/2006/relationships/hyperlink" Target="https://www.sec.gov/Archives/edgar/data/1360214/000149315221019181/ex10-2.htm" TargetMode="External"/><Relationship Id="rId124" Type="http://schemas.openxmlformats.org/officeDocument/2006/relationships/hyperlink" Target="https://www.sec.gov/Archives/edgar/data/1360214/000149315221009572/formdef14a.htm" TargetMode="External"/><Relationship Id="rId125" Type="http://schemas.openxmlformats.org/officeDocument/2006/relationships/hyperlink" Target="https://www.sec.gov/Archives/edgar/data/1360214/000149315221021876/ex10-1.htm" TargetMode="External"/><Relationship Id="rId126" Type="http://schemas.openxmlformats.org/officeDocument/2006/relationships/hyperlink" Target="https://www.sec.gov/Archives/edgar/data/1360214/000149315221027697/ex10-3.htm" TargetMode="External"/><Relationship Id="rId127" Type="http://schemas.openxmlformats.org/officeDocument/2006/relationships/hyperlink" Target="https://www.sec.gov/Archives/edgar/data/1360214/000149315221027697/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2022-03-10T15:50:59Z</dcterms:created>
  <dcterms:modified xsi:type="dcterms:W3CDTF">2022-03-10T15:50:59Z</dcterms:modified>
</cp:coreProperties>
</file>