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506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June 18,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5"/>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50618"/>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1A Burton Hills Blvd., </w:t>
            </w:r>
            <w:bookmarkStart w:id="9" w:name="xdx_908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Nashville, </w:t>
            </w:r>
            <w:bookmarkStart w:id="11" w:name="xdx_909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50618__20"/>
      <w:bookmarkEnd w:id="13"/>
      <w:r>
        <w:rPr>
          <w:rFonts w:ascii="Times New Roman;Times;Serif" w:hAnsi="Times New Roman;Times;Serif"/>
          <w:b/>
          <w:i w:val="false"/>
          <w:caps w:val="false"/>
          <w:smallCaps w:val="false"/>
          <w:sz w:val="20"/>
        </w:rPr>
        <w:t xml:space="preserve">(615) </w:t>
      </w:r>
      <w:bookmarkStart w:id="14" w:name="xdx_905_edei--LocalPhoneNumber_c20250618"/>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340" w:type="dxa"/>
        <w:jc w:val="left"/>
        <w:tblInd w:w="0" w:type="dxa"/>
        <w:tblLayout w:type="fixed"/>
        <w:tblCellMar>
          <w:top w:w="0" w:type="dxa"/>
          <w:left w:w="0" w:type="dxa"/>
          <w:bottom w:w="28" w:type="dxa"/>
          <w:right w:w="0" w:type="dxa"/>
        </w:tblCellMar>
      </w:tblPr>
      <w:tblGrid>
        <w:gridCol w:w="3515"/>
        <w:gridCol w:w="60"/>
        <w:gridCol w:w="1535"/>
        <w:gridCol w:w="60"/>
        <w:gridCol w:w="317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9_edei--Security12bTitle_c20250618"/>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3_edei--TradingSymbol_c20250618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B_edei--SecurityExchangeName_c2025"/>
            <w:bookmarkEnd w:id="17"/>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50618"/>
            <w:bookmarkEnd w:id="18"/>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50618__2"/>
            <w:bookmarkEnd w:id="19"/>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5"/>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12bTitle_c20250618"/>
            <w:bookmarkEnd w:id="21"/>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TradingSymbol_c20250618__2"/>
            <w:bookmarkEnd w:id="22"/>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SecurityExchangeName_c2025"/>
            <w:bookmarkEnd w:id="23"/>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4" w:name="xdx_909_edei--WrittenCommunications_c202"/>
            <w:bookmarkEnd w:id="2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5" w:name="xdx_90E_edei--SolicitingMaterial_c202506"/>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1_edei--PreCommencementTenderOffer"/>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9_edei--PreCommencementIssuerTende"/>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8" w:name="xdx_90A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held its 2025 Annual Meeting of Stockholders (the “Annual Meeting”). The number of shares of common stock entitled to vote at the Annual Meeting was 36,685,171. The number of shares of common stock present or represented by valid proxy at the Annual Meeting was 31,271,714.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voted to elect to the Board of Directors the four (4) director nominees named in the Company’s proxy statement to serve until the 2026 annual meeting of stockholders or until their successors are duly elected and qualified.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5990" w:type="dxa"/>
        <w:jc w:val="left"/>
        <w:tblInd w:w="0" w:type="dxa"/>
        <w:tblLayout w:type="fixed"/>
        <w:tblCellMar>
          <w:top w:w="0" w:type="dxa"/>
          <w:left w:w="0" w:type="dxa"/>
          <w:bottom w:w="28" w:type="dxa"/>
          <w:right w:w="0" w:type="dxa"/>
        </w:tblCellMar>
      </w:tblPr>
      <w:tblGrid>
        <w:gridCol w:w="1925"/>
        <w:gridCol w:w="60"/>
        <w:gridCol w:w="1100"/>
        <w:gridCol w:w="60"/>
        <w:gridCol w:w="965"/>
        <w:gridCol w:w="60"/>
        <w:gridCol w:w="1820"/>
      </w:tblGrid>
      <w:tr>
        <w:trPr/>
        <w:tc>
          <w:tcPr>
            <w:tcW w:w="1925" w:type="dxa"/>
            <w:tcBorders>
              <w:bottom w:val="single" w:sz="8" w:space="0" w:color="000000"/>
            </w:tcBorders>
            <w:vAlign w:val="center"/>
          </w:tcPr>
          <w:p>
            <w:pPr>
              <w:pStyle w:val="TableContents"/>
              <w:bidi w:val="0"/>
              <w:spacing w:before="0" w:after="283"/>
              <w:jc w:val="center"/>
              <w:rPr>
                <w:b/>
              </w:rPr>
            </w:pPr>
            <w:r>
              <w:rPr>
                <w:b/>
              </w:rPr>
              <w:t>Directors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8" w:space="0" w:color="000000"/>
            </w:tcBorders>
            <w:vAlign w:val="center"/>
          </w:tcPr>
          <w:p>
            <w:pPr>
              <w:pStyle w:val="TableContents"/>
              <w:bidi w:val="0"/>
              <w:spacing w:before="0" w:after="283"/>
              <w:jc w:val="center"/>
              <w:rPr>
                <w:b/>
              </w:rPr>
            </w:pPr>
            <w:r>
              <w:rPr>
                <w:b/>
              </w:rPr>
              <w:t>Withheld</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925" w:type="dxa"/>
            <w:tcBorders/>
            <w:shd w:fill="CCEEFF" w:val="clear"/>
            <w:tcMar>
              <w:bottom w:w="0" w:type="dxa"/>
            </w:tcMar>
            <w:vAlign w:val="center"/>
          </w:tcPr>
          <w:p>
            <w:pPr>
              <w:pStyle w:val="TableContents"/>
              <w:bidi w:val="0"/>
              <w:spacing w:before="0" w:after="283"/>
              <w:jc w:val="center"/>
              <w:rPr/>
            </w:pPr>
            <w:r>
              <w:rPr/>
              <w:t>Mark L. 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23,643,847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pPr>
            <w:r>
              <w:rPr/>
              <w:t>272,563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pPr>
            <w:r>
              <w:rPr/>
              <w:t>7,355,304</w:t>
            </w:r>
          </w:p>
        </w:tc>
      </w:tr>
      <w:tr>
        <w:trPr/>
        <w:tc>
          <w:tcPr>
            <w:tcW w:w="1925" w:type="dxa"/>
            <w:tcBorders/>
            <w:shd w:fill="FFFFFF" w:val="clear"/>
            <w:tcMar>
              <w:bottom w:w="0" w:type="dxa"/>
            </w:tcMar>
            <w:vAlign w:val="center"/>
          </w:tcPr>
          <w:p>
            <w:pPr>
              <w:pStyle w:val="TableContents"/>
              <w:bidi w:val="0"/>
              <w:spacing w:before="0" w:after="283"/>
              <w:jc w:val="center"/>
              <w:rPr/>
            </w:pPr>
            <w:r>
              <w:rPr/>
              <w:t>Adrienne L. Graves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pPr>
            <w:r>
              <w:rPr/>
              <w:t>23,200,214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pPr>
            <w:r>
              <w:rPr/>
              <w:t>716,196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20" w:type="dxa"/>
            <w:tcBorders/>
            <w:shd w:fill="FFFFFF" w:val="clear"/>
            <w:tcMar>
              <w:bottom w:w="0" w:type="dxa"/>
            </w:tcMar>
            <w:vAlign w:val="center"/>
          </w:tcPr>
          <w:p>
            <w:pPr>
              <w:pStyle w:val="TableContents"/>
              <w:bidi w:val="0"/>
              <w:spacing w:before="0" w:after="283"/>
              <w:jc w:val="center"/>
              <w:rPr/>
            </w:pPr>
            <w:r>
              <w:rPr/>
              <w:t>7,355,304</w:t>
            </w:r>
          </w:p>
        </w:tc>
      </w:tr>
      <w:tr>
        <w:trPr/>
        <w:tc>
          <w:tcPr>
            <w:tcW w:w="1925" w:type="dxa"/>
            <w:tcBorders/>
            <w:shd w:fill="CCEEFF" w:val="clear"/>
            <w:tcMar>
              <w:bottom w:w="0" w:type="dxa"/>
            </w:tcMar>
            <w:vAlign w:val="center"/>
          </w:tcPr>
          <w:p>
            <w:pPr>
              <w:pStyle w:val="TableContents"/>
              <w:bidi w:val="0"/>
              <w:spacing w:before="0" w:after="283"/>
              <w:jc w:val="center"/>
              <w:rPr/>
            </w:pPr>
            <w:r>
              <w:rPr/>
              <w:t>Lauren P. Silvernail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23,624,033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pPr>
            <w:r>
              <w:rPr/>
              <w:t>292,377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pPr>
            <w:r>
              <w:rPr/>
              <w:t>7,355,304</w:t>
            </w:r>
          </w:p>
        </w:tc>
      </w:tr>
      <w:tr>
        <w:trPr/>
        <w:tc>
          <w:tcPr>
            <w:tcW w:w="1925" w:type="dxa"/>
            <w:tcBorders/>
            <w:shd w:fill="FFFFFF" w:val="clear"/>
            <w:tcMar>
              <w:bottom w:w="0" w:type="dxa"/>
            </w:tcMar>
            <w:vAlign w:val="center"/>
          </w:tcPr>
          <w:p>
            <w:pPr>
              <w:pStyle w:val="TableContents"/>
              <w:bidi w:val="0"/>
              <w:spacing w:before="0" w:after="283"/>
              <w:jc w:val="center"/>
              <w:rPr/>
            </w:pPr>
            <w:r>
              <w:rPr/>
              <w:t>Perry J. Sternberg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pPr>
            <w:r>
              <w:rPr/>
              <w:t>23,616,257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pPr>
            <w:r>
              <w:rPr/>
              <w:t>300,153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20" w:type="dxa"/>
            <w:tcBorders/>
            <w:shd w:fill="FFFFFF" w:val="clear"/>
            <w:tcMar>
              <w:bottom w:w="0" w:type="dxa"/>
            </w:tcMar>
            <w:vAlign w:val="center"/>
          </w:tcPr>
          <w:p>
            <w:pPr>
              <w:pStyle w:val="TableContents"/>
              <w:bidi w:val="0"/>
              <w:spacing w:before="0" w:after="283"/>
              <w:jc w:val="center"/>
              <w:rPr/>
            </w:pPr>
            <w:r>
              <w:rPr/>
              <w:t>7,355,304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2: Approval of the Harrow, Inc. 2025 Incentive Stock and Awards Plan</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voted to approve the Harrow, Inc. 2025 Incentive Stock and Awards Plan. The results of the voting were:</w:t>
      </w:r>
    </w:p>
    <w:p>
      <w:pPr>
        <w:pStyle w:val="TextBody"/>
        <w:bidi w:val="0"/>
        <w:spacing w:before="0" w:after="0"/>
        <w:ind w:left="0" w:right="0" w:firstLine="720"/>
        <w:jc w:val="both"/>
        <w:rPr>
          <w:caps/>
        </w:rPr>
      </w:pPr>
      <w:r>
        <w:rPr>
          <w:caps/>
        </w:rPr>
        <w:t> </w:t>
      </w:r>
    </w:p>
    <w:tbl>
      <w:tblPr>
        <w:tblW w:w="4910" w:type="dxa"/>
        <w:jc w:val="left"/>
        <w:tblInd w:w="0" w:type="dxa"/>
        <w:tblLayout w:type="fixed"/>
        <w:tblCellMar>
          <w:top w:w="0" w:type="dxa"/>
          <w:left w:w="0" w:type="dxa"/>
          <w:bottom w:w="28" w:type="dxa"/>
          <w:right w:w="0" w:type="dxa"/>
        </w:tblCellMar>
      </w:tblPr>
      <w:tblGrid>
        <w:gridCol w:w="1115"/>
        <w:gridCol w:w="60"/>
        <w:gridCol w:w="980"/>
        <w:gridCol w:w="60"/>
        <w:gridCol w:w="815"/>
        <w:gridCol w:w="60"/>
        <w:gridCol w:w="182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115" w:type="dxa"/>
            <w:tcBorders/>
            <w:shd w:fill="CCEEFF" w:val="clear"/>
            <w:tcMar>
              <w:bottom w:w="0" w:type="dxa"/>
            </w:tcMar>
            <w:vAlign w:val="center"/>
          </w:tcPr>
          <w:p>
            <w:pPr>
              <w:pStyle w:val="TableContents"/>
              <w:bidi w:val="0"/>
              <w:spacing w:before="0" w:after="283"/>
              <w:jc w:val="center"/>
              <w:rPr/>
            </w:pPr>
            <w:r>
              <w:rPr/>
              <w:t>21,700,605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0" w:type="dxa"/>
            <w:tcBorders/>
            <w:shd w:fill="CCEEFF" w:val="clear"/>
            <w:tcMar>
              <w:bottom w:w="0" w:type="dxa"/>
            </w:tcMar>
            <w:vAlign w:val="center"/>
          </w:tcPr>
          <w:p>
            <w:pPr>
              <w:pStyle w:val="TableContents"/>
              <w:bidi w:val="0"/>
              <w:spacing w:before="0" w:after="283"/>
              <w:jc w:val="center"/>
              <w:rPr/>
            </w:pPr>
            <w:r>
              <w:rPr/>
              <w:t>1,773,539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442,266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pPr>
            <w:r>
              <w:rPr/>
              <w:t>7,355,304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3: Ratification of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ratified the selection of Crowe LLP as the Company’s independent registered public accounting firm for the fiscal year ending December 31, 2025.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4730" w:type="dxa"/>
        <w:jc w:val="left"/>
        <w:tblInd w:w="0" w:type="dxa"/>
        <w:tblLayout w:type="fixed"/>
        <w:tblCellMar>
          <w:top w:w="0" w:type="dxa"/>
          <w:left w:w="0" w:type="dxa"/>
          <w:bottom w:w="28" w:type="dxa"/>
          <w:right w:w="0" w:type="dxa"/>
        </w:tblCellMar>
      </w:tblPr>
      <w:tblGrid>
        <w:gridCol w:w="1115"/>
        <w:gridCol w:w="60"/>
        <w:gridCol w:w="800"/>
        <w:gridCol w:w="60"/>
        <w:gridCol w:w="815"/>
        <w:gridCol w:w="60"/>
        <w:gridCol w:w="182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115" w:type="dxa"/>
            <w:tcBorders/>
            <w:shd w:fill="CCEEFF" w:val="clear"/>
            <w:tcMar>
              <w:bottom w:w="0" w:type="dxa"/>
            </w:tcMar>
            <w:vAlign w:val="center"/>
          </w:tcPr>
          <w:p>
            <w:pPr>
              <w:pStyle w:val="TableContents"/>
              <w:bidi w:val="0"/>
              <w:spacing w:before="0" w:after="283"/>
              <w:jc w:val="center"/>
              <w:rPr/>
            </w:pPr>
            <w:r>
              <w:rPr/>
              <w:t>31,229,548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23,282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18,884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4: To approve on a non-binding, advisory basis, the compensation of the Company’s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on a non-binding, advisory basis, the compensation of the Company’s named executive officers.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4730" w:type="dxa"/>
        <w:jc w:val="left"/>
        <w:tblInd w:w="0" w:type="dxa"/>
        <w:tblLayout w:type="fixed"/>
        <w:tblCellMar>
          <w:top w:w="0" w:type="dxa"/>
          <w:left w:w="0" w:type="dxa"/>
          <w:bottom w:w="28" w:type="dxa"/>
          <w:right w:w="0" w:type="dxa"/>
        </w:tblCellMar>
      </w:tblPr>
      <w:tblGrid>
        <w:gridCol w:w="1115"/>
        <w:gridCol w:w="60"/>
        <w:gridCol w:w="800"/>
        <w:gridCol w:w="60"/>
        <w:gridCol w:w="815"/>
        <w:gridCol w:w="60"/>
        <w:gridCol w:w="182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115" w:type="dxa"/>
            <w:tcBorders/>
            <w:shd w:fill="CCEEFF" w:val="clear"/>
            <w:tcMar>
              <w:bottom w:w="0" w:type="dxa"/>
            </w:tcMar>
            <w:vAlign w:val="center"/>
          </w:tcPr>
          <w:p>
            <w:pPr>
              <w:pStyle w:val="TableContents"/>
              <w:bidi w:val="0"/>
              <w:spacing w:before="0" w:after="283"/>
              <w:jc w:val="center"/>
              <w:rPr/>
            </w:pPr>
            <w:r>
              <w:rPr/>
              <w:t>22,496,427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971,206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448,777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pPr>
            <w:r>
              <w:rPr/>
              <w:t>7,355,304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5: To approve on a non-binding, advisory basis, the frequency of a stockholder advisory vote on the compensation of the Company’s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on a non-binding, advisory basis, a frequency of one year for a stockholder advisory vote on the compensation of the Company’s named executive officers.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28" w:type="dxa"/>
          <w:right w:w="0" w:type="dxa"/>
        </w:tblCellMar>
      </w:tblPr>
      <w:tblGrid>
        <w:gridCol w:w="1115"/>
        <w:gridCol w:w="60"/>
        <w:gridCol w:w="1145"/>
        <w:gridCol w:w="60"/>
        <w:gridCol w:w="1295"/>
        <w:gridCol w:w="60"/>
        <w:gridCol w:w="815"/>
        <w:gridCol w:w="60"/>
        <w:gridCol w:w="1820"/>
      </w:tblGrid>
      <w:tr>
        <w:trPr/>
        <w:tc>
          <w:tcPr>
            <w:tcW w:w="1115" w:type="dxa"/>
            <w:tcBorders>
              <w:bottom w:val="single" w:sz="8" w:space="0" w:color="000000"/>
            </w:tcBorders>
            <w:vAlign w:val="center"/>
          </w:tcPr>
          <w:p>
            <w:pPr>
              <w:pStyle w:val="TableContents"/>
              <w:bidi w:val="0"/>
              <w:spacing w:before="0" w:after="283"/>
              <w:jc w:val="center"/>
              <w:rPr>
                <w:b/>
              </w:rPr>
            </w:pPr>
            <w:r>
              <w:rPr>
                <w:b/>
              </w:rPr>
              <w:t>One Year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r>
              <w:rPr>
                <w:b/>
              </w:rPr>
              <w:t>Two Years</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b/>
              </w:rPr>
            </w:pPr>
            <w:r>
              <w:rPr>
                <w:b/>
              </w:rPr>
              <w:t>Three Years</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115" w:type="dxa"/>
            <w:tcBorders/>
            <w:shd w:fill="CCEEFF" w:val="clear"/>
            <w:tcMar>
              <w:bottom w:w="0" w:type="dxa"/>
            </w:tcMar>
            <w:vAlign w:val="center"/>
          </w:tcPr>
          <w:p>
            <w:pPr>
              <w:pStyle w:val="TableContents"/>
              <w:bidi w:val="0"/>
              <w:spacing w:before="0" w:after="283"/>
              <w:jc w:val="center"/>
              <w:rPr/>
            </w:pPr>
            <w:r>
              <w:rPr/>
              <w:t>20,415,407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45" w:type="dxa"/>
            <w:tcBorders/>
            <w:shd w:fill="CCEEFF" w:val="clear"/>
            <w:tcMar>
              <w:bottom w:w="0" w:type="dxa"/>
            </w:tcMar>
            <w:vAlign w:val="center"/>
          </w:tcPr>
          <w:p>
            <w:pPr>
              <w:pStyle w:val="TableContents"/>
              <w:bidi w:val="0"/>
              <w:spacing w:before="0" w:after="283"/>
              <w:jc w:val="center"/>
              <w:rPr/>
            </w:pPr>
            <w:r>
              <w:rPr/>
              <w:t>7,346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95" w:type="dxa"/>
            <w:tcBorders/>
            <w:shd w:fill="CCEEFF" w:val="clear"/>
            <w:tcMar>
              <w:bottom w:w="0" w:type="dxa"/>
            </w:tcMar>
            <w:vAlign w:val="center"/>
          </w:tcPr>
          <w:p>
            <w:pPr>
              <w:pStyle w:val="TableContents"/>
              <w:bidi w:val="0"/>
              <w:spacing w:before="0" w:after="283"/>
              <w:jc w:val="center"/>
              <w:rPr/>
            </w:pPr>
            <w:r>
              <w:rPr/>
              <w:t>2,868,210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pPr>
            <w:r>
              <w:rPr/>
              <w:t>625,447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20" w:type="dxa"/>
            <w:tcBorders/>
            <w:shd w:fill="CCEEFF" w:val="clear"/>
            <w:tcMar>
              <w:bottom w:w="0" w:type="dxa"/>
            </w:tcMar>
            <w:vAlign w:val="center"/>
          </w:tcPr>
          <w:p>
            <w:pPr>
              <w:pStyle w:val="TableContents"/>
              <w:bidi w:val="0"/>
              <w:spacing w:before="0" w:after="283"/>
              <w:jc w:val="center"/>
              <w:rPr/>
            </w:pPr>
            <w:r>
              <w:rPr/>
              <w:t>7,355,304</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760"/>
        <w:gridCol w:w="365"/>
        <w:gridCol w:w="189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2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20, 2025</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4116</Characters>
  <CharactersWithSpaces>4867</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