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001-35814</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3"/>
          </w:tcPr>
          <w:p>
            <w:pPr>
              <w:jc w:val="center"/>
              <w:ind w:right="8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740" w:type="dxa"/>
            <w:vAlign w:val="bottom"/>
            <w:gridSpan w:val="3"/>
          </w:tcPr>
          <w:p>
            <w:pPr>
              <w:jc w:val="center"/>
              <w:ind w:right="1060"/>
              <w:spacing w:after="0"/>
              <w:rPr>
                <w:sz w:val="20"/>
                <w:szCs w:val="20"/>
                <w:color w:val="auto"/>
              </w:rPr>
            </w:pPr>
            <w:r>
              <w:rPr>
                <w:rFonts w:ascii="Arial" w:cs="Arial" w:eastAsia="Arial" w:hAnsi="Arial"/>
                <w:sz w:val="18"/>
                <w:szCs w:val="18"/>
                <w:color w:val="auto"/>
                <w:w w:val="95"/>
              </w:rPr>
              <w:t>of incorporation)</w:t>
            </w:r>
          </w:p>
        </w:tc>
        <w:tc>
          <w:tcPr>
            <w:tcW w:w="3040" w:type="dxa"/>
            <w:vAlign w:val="bottom"/>
            <w:gridSpan w:val="4"/>
          </w:tcPr>
          <w:p>
            <w:pPr>
              <w:jc w:val="center"/>
              <w:ind w:right="10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1"/>
        </w:trPr>
        <w:tc>
          <w:tcPr>
            <w:tcW w:w="47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1"/>
              </w:rPr>
              <w:t>12264 El Camino Real, Suite 350</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55"/>
        </w:trPr>
        <w:tc>
          <w:tcPr>
            <w:tcW w:w="47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0"/>
              </w:rPr>
              <w:t>San Diego, CA</w:t>
            </w:r>
          </w:p>
        </w:tc>
        <w:tc>
          <w:tcPr>
            <w:tcW w:w="8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rPr>
              <w:t>92130</w:t>
            </w:r>
          </w:p>
        </w:tc>
      </w:tr>
      <w:tr>
        <w:trPr>
          <w:trHeight w:val="230"/>
        </w:trPr>
        <w:tc>
          <w:tcPr>
            <w:tcW w:w="474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11, 2015, Imprimis Pharmaceuticals, Inc. (the “Company”) entered into a loan and security agreement (the “Loan Agreement”) with IMMY Funding LLC, an affiliate of Life Sciences Alternative Funding LLC (the “Lender”), as lender and collateral agent. Pursuant to the terms of the Loan Agreement, the Lender made available to the Company term loans in the aggregate principal amount of up to $15,000,000, $10,000,000 of which was drawn on May 11, 2015 and the remaining $5,000,000 of which will be available to be drawn, at the Company’s option, upon the Company’s achievement of at least $15,000,000 in trailing 12-month revenue during any consecutive 12-month period through May 11, 2016. The Company intends to use the proceeds from the loans for working capital and general corporate purposes.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term loans bear interest at a fixed per-annum rate equal to 12.5%. The Loan Agreement permits the Company to pay interest only on the principal amount loaned thereunder for the first three years, which interest-only period may be reduced to 20 months if the Company does not meet certain minimum revenue or cash balance requirements. After the end of the interest-only period, the Company will be required to pay interest, plus repayments of the principal amount loaned under the Loan Agreement, in 24 equal monthly installments. All amounts owed under the Loan Agreement, including a final fee equal to 5% of the aggregate principal amount loaned thereunder, will be due on the earlier of May 11, 2021 or 24 months after the end of the interest-only period. The Company may elect to prepay all, but not less than all, of the amounts owed under the Loan Agreement prior to the maturity date, provided that a prepayment fee equal to 5% of the principal amount of the loans prepaid is also paid. The Company is also obligated under the Loan Agreement to pay for certain expenses incurred by the Lender through and after the date of the Loan Agreement, including certain fees and expenses relating to the preparation and administration of the Loan Agreement.</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the terms of the Loan Agreement, the Company is bound by certain affirmative covenants setting forth actions that the Company must take during the term of the Loan Agreement, including, among others, certain information delivery requirements, obligations to maintain certain insurance and certain notice requirements. Additionally, the Company is bound by certain negative covenants setting forth actions that the Company may not take during the term of the Loan Agreement without the Lender’s consent,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Loan Agreement (subject to cure periods for certain events of default), all amounts owed by the Company thereunder may be declared immediately due and payable by the Lender. Events of default include, among others, the following: the occurrence of certain bankruptcy events; the failure to make payments under the Loan Agreement when due;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any breach by the Company or its subsidiaries of any covenant (subject to cure periods for certain covenants) made in the Loan Agreement; and the failure of any representation or warranty made by the Company or its subsidiaries in connection with the Loan Agreement to be correct in any material respect when made.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obligations under the Loan Agreement are guaranteed on a secured basis by its wholly owned subsidiaries, Pharmacy Creations, L.L.C. and South Coast Specialty Compounding, Inc. D/B/A Park Compounding. Each of the Company and its subsidiaries has granted the Lender a security interest in substantially all of its personal property, rights and assets, including intellectual property rights and equity ownership, to secure the payment of all amounts owed under the Loan Agreement.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issued a press release announcing the Loan Agreement on May 12, 2015, which is filed as Exhibit 99.1 to this Current Report on Form 8-K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Lender Warrant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the Loan Agreement, the Company has issued to the Lender a warrant to purchase up to 125,000 shares of the Company’s common stock (the “Lender Warrant”). The Lender Warrant is exercisable immediately, has an exercise price of $7.85 per share and has a term of 10 years.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Loan Agreement and the Lender Warrant, does not purport to be a complete description of the rights and obligations of the parties thereunder and is qualified in its entirety by reference to the full text of the documents, which are filed as Exhibits 10.1 and 10.2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regarding the Loan Agreement set forth under Item 1.01 of this Current Report on Form 8-K is incorporated into this Item 2.03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regarding the Lender Warrant set forth under Item 1.01 of this Current Report on Form 8-K is incorporated into this Item 3.02 by reference.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offer, sale and issuance of the Lender Warrant and the shares of the Company’s common stock to be issued upon the exercise thereof (collectively, the “Securities”) have not been registered under the Securities Act of 1933, as amended (the “Securities Act”). The Securities have been and will be sold and issued in reliance upon the exemption from registration afforded by Section 4(a)(2) of the Securities Act based on the following facts: the recipient of the Securities has represented that it is an accredited investor as defined in Rule 501 promulgated under the Securities Act, that it has acquired or will acquire the Securities for investment for its own account and not with a view to the public resale or distribution of the Securities, and that it has the investment experience to evaluate the risks of the investment; the Company used no advertising or general solicitation in connection with the issuance and sale of the Securities; and the Securities have been and will be issued as restricted securities. The Securities may not be offered or sold in the United States absent registration under or exemption from the Securities Act and any applicable state securities laws. This Current Report on Form 8-K is not an offer to sell or the solicitation of an offer to buy the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740" w:type="dxa"/>
            <w:vAlign w:val="bottom"/>
          </w:tcPr>
          <w:p>
            <w:pPr>
              <w:ind w:left="360"/>
              <w:spacing w:after="0"/>
              <w:rPr>
                <w:sz w:val="20"/>
                <w:szCs w:val="20"/>
                <w:color w:val="auto"/>
              </w:rPr>
            </w:pPr>
            <w:r>
              <w:rPr>
                <w:rFonts w:ascii="Arial" w:cs="Arial" w:eastAsia="Arial" w:hAnsi="Arial"/>
                <w:sz w:val="18"/>
                <w:szCs w:val="18"/>
                <w:color w:val="auto"/>
              </w:rPr>
              <w:t>Loan and Security Agreement, dated May 11, 2015, by and between Imprimis Pharmaceuticals and IMMY Funding LLC.</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10.2</w:t>
            </w:r>
          </w:p>
        </w:tc>
        <w:tc>
          <w:tcPr>
            <w:tcW w:w="10740" w:type="dxa"/>
            <w:vAlign w:val="bottom"/>
          </w:tcPr>
          <w:p>
            <w:pPr>
              <w:ind w:left="360"/>
              <w:spacing w:after="0"/>
              <w:rPr>
                <w:sz w:val="20"/>
                <w:szCs w:val="20"/>
                <w:color w:val="auto"/>
              </w:rPr>
            </w:pPr>
            <w:r>
              <w:rPr>
                <w:rFonts w:ascii="Arial" w:cs="Arial" w:eastAsia="Arial" w:hAnsi="Arial"/>
                <w:sz w:val="18"/>
                <w:szCs w:val="18"/>
                <w:color w:val="auto"/>
              </w:rPr>
              <w:t>Warrant to Purchase Stock, dated May 11, 2015, issued by Imprimis Pharmaceuticals, Inc.</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99.1</w:t>
            </w:r>
          </w:p>
        </w:tc>
        <w:tc>
          <w:tcPr>
            <w:tcW w:w="10740" w:type="dxa"/>
            <w:vAlign w:val="bottom"/>
          </w:tcPr>
          <w:p>
            <w:pPr>
              <w:ind w:left="360"/>
              <w:spacing w:after="0"/>
              <w:rPr>
                <w:sz w:val="20"/>
                <w:szCs w:val="20"/>
                <w:color w:val="auto"/>
              </w:rPr>
            </w:pPr>
            <w:r>
              <w:rPr>
                <w:rFonts w:ascii="Arial" w:cs="Arial" w:eastAsia="Arial" w:hAnsi="Arial"/>
                <w:sz w:val="18"/>
                <w:szCs w:val="18"/>
                <w:color w:val="auto"/>
              </w:rPr>
              <w:t>Press Release issued by Imprimis Pharmaceuticals, Inc. on May 12, 2015.</w:t>
            </w:r>
          </w:p>
        </w:tc>
      </w:tr>
      <w:tr>
        <w:trPr>
          <w:trHeight w:val="466"/>
        </w:trPr>
        <w:tc>
          <w:tcPr>
            <w:tcW w:w="68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440" w:val="left"/>
          <w:tab w:leader="none" w:pos="5920" w:val="left"/>
        </w:tabs>
        <w:rPr>
          <w:sz w:val="20"/>
          <w:szCs w:val="20"/>
          <w:color w:val="auto"/>
        </w:rPr>
      </w:pPr>
      <w:r>
        <w:rPr>
          <w:rFonts w:ascii="Arial" w:cs="Arial" w:eastAsia="Arial" w:hAnsi="Arial"/>
          <w:sz w:val="18"/>
          <w:szCs w:val="18"/>
          <w:color w:val="auto"/>
        </w:rPr>
        <w:t>Dated: May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-130175</wp:posOffset>
            </wp:positionV>
            <wp:extent cx="3481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Loan and Security Agreement, dated May 11, 2015, by and between Imprimis Pharmaceuticals and IMMY Funding LLC.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Warrant to Purchase Stock, dated May 11, 2015, issued by Imprimis Pharmaceuticals,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May 12, 2015.</w:t>
            </w:r>
          </w:p>
        </w:tc>
      </w:tr>
      <w:tr>
        <w:trPr>
          <w:trHeight w:val="466"/>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46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11, 2015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IMMY Funding LLC, a Delaware limited liability company,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including IMMY Funding LLC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IMPRIMIS</w:t>
      </w:r>
      <w:r>
        <w:rPr>
          <w:rFonts w:ascii="Arial" w:cs="Arial" w:eastAsia="Arial" w:hAnsi="Arial"/>
          <w:sz w:val="18"/>
          <w:szCs w:val="18"/>
          <w:color w:val="auto"/>
        </w:rPr>
        <w:t xml:space="preserve"> </w:t>
      </w:r>
      <w:r>
        <w:rPr>
          <w:rFonts w:ascii="Arial" w:cs="Arial" w:eastAsia="Arial" w:hAnsi="Arial"/>
          <w:sz w:val="18"/>
          <w:szCs w:val="18"/>
          <w:b w:val="1"/>
          <w:bCs w:val="1"/>
          <w:color w:val="auto"/>
        </w:rPr>
        <w:t>PHARMACEUTICALS,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repay the Lenders. The parties agree as follows:</w:t>
      </w:r>
    </w:p>
    <w:p>
      <w:pPr>
        <w:spacing w:after="0" w:line="188"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OTHER TERMS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 Terms. </w:t>
      </w:r>
      <w:r>
        <w:rPr>
          <w:rFonts w:ascii="Arial" w:cs="Arial" w:eastAsia="Arial" w:hAnsi="Arial"/>
          <w:sz w:val="18"/>
          <w:szCs w:val="18"/>
          <w:color w:val="auto"/>
        </w:rPr>
        <w:t>Capitalized terms used herein shall have the meanings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defined therein. All other 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1.2 Section References. </w:t>
      </w:r>
      <w:r>
        <w:rPr>
          <w:rFonts w:ascii="Arial" w:cs="Arial" w:eastAsia="Arial" w:hAnsi="Arial"/>
          <w:sz w:val="18"/>
          <w:szCs w:val="18"/>
          <w:color w:val="auto"/>
        </w:rPr>
        <w:t>Any section, subsection, schedule or exhibit references are to this Agreement unless otherwise specified.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1.3 Definitions. </w:t>
      </w:r>
      <w:r>
        <w:rPr>
          <w:rFonts w:ascii="Arial" w:cs="Arial" w:eastAsia="Arial" w:hAnsi="Arial"/>
          <w:sz w:val="18"/>
          <w:szCs w:val="18"/>
          <w:color w:val="auto"/>
        </w:rPr>
        <w:t>The following terms are defined in the Sections or subsections referenced opposite such terms: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 Report”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Transfer</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Subsidiary</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Non-Funding Lender</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Lender</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Perfection Certificate</w:t>
      </w:r>
      <w:r>
        <w:rPr>
          <w:rFonts w:ascii="Arial" w:cs="Arial" w:eastAsia="Arial" w:hAnsi="Arial"/>
          <w:sz w:val="16"/>
          <w:szCs w:val="16"/>
          <w:color w:val="auto"/>
        </w:rPr>
        <w:t>” and “</w:t>
      </w:r>
      <w:r>
        <w:rPr>
          <w:rFonts w:ascii="Arial" w:cs="Arial" w:eastAsia="Arial" w:hAnsi="Arial"/>
          <w:sz w:val="16"/>
          <w:szCs w:val="16"/>
          <w:b w:val="1"/>
          <w:bCs w:val="1"/>
          <w:color w:val="auto"/>
        </w:rPr>
        <w:t>Perfection Certificates</w:t>
      </w:r>
      <w:r>
        <w:rPr>
          <w:rFonts w:ascii="Arial" w:cs="Arial" w:eastAsia="Arial" w:hAnsi="Arial"/>
          <w:sz w:val="16"/>
          <w:szCs w:val="16"/>
          <w:color w:val="auto"/>
        </w:rPr>
        <w:t>”</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Section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2.3(b)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B, Section 10(c)(ii)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B, Section 10(c)(ii)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Section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2.2(a)(ii)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7.1</w:t>
      </w:r>
    </w:p>
    <w:p>
      <w:pPr>
        <w:spacing w:after="0" w:line="200" w:lineRule="exact"/>
        <w:rPr>
          <w:sz w:val="20"/>
          <w:szCs w:val="20"/>
          <w:color w:val="auto"/>
        </w:rPr>
      </w:pPr>
    </w:p>
    <w:p>
      <w:pPr>
        <w:sectPr>
          <w:pgSz w:w="11900" w:h="16838" w:orient="portrait"/>
          <w:cols w:equalWidth="0" w:num="2">
            <w:col w:w="5860" w:space="720"/>
            <w:col w:w="4840"/>
          </w:cols>
          <w:pgMar w:left="240" w:top="337"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terms defined elsewhere in this Agreement, the following terms have the following meanings: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 Debtor</w:t>
      </w:r>
      <w:r>
        <w:rPr>
          <w:rFonts w:ascii="Arial" w:cs="Arial" w:eastAsia="Arial" w:hAnsi="Arial"/>
          <w:sz w:val="17"/>
          <w:szCs w:val="17"/>
          <w:color w:val="auto"/>
        </w:rPr>
        <w:t>” is any “account debtor” as defined in the Code with such additions to such term as may hereafter be made under the Code.</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Amortization Date</w:t>
      </w:r>
      <w:r>
        <w:rPr>
          <w:rFonts w:ascii="Arial" w:cs="Arial" w:eastAsia="Arial" w:hAnsi="Arial"/>
          <w:sz w:val="16"/>
          <w:szCs w:val="16"/>
          <w:color w:val="auto"/>
        </w:rPr>
        <w:t>” is the earlier of (i) (unless waived by the Required Lenders) an Event of Default occurring, or (ii) (A) the twentieth (20th) Payment Date following the Effective Date if the Borrower fails to satisfy the Revenue Threshold as of December 31, 2016, (B) the thirty-seventh (37th) Payment Date following the Effective Date as long as the Borrower continues to satisfy the Revenue Threshold or (C) on the Payment Date immediately after the Borrower fails to satisfy the Revenue Threshold or the Collateral Agent reasonably determines that Borrower has not reached or cannot reasonably achieve the Revenue Threshold, unless the Required Lenders agree otherwise to postpone such Amortization Date to a later Payment Date.</w:t>
      </w:r>
    </w:p>
    <w:p>
      <w:pPr>
        <w:spacing w:after="0" w:line="154"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Laws</w:t>
      </w:r>
      <w:r>
        <w:rPr>
          <w:rFonts w:ascii="Arial" w:cs="Arial" w:eastAsia="Arial" w:hAnsi="Arial"/>
          <w:sz w:val="16"/>
          <w:szCs w:val="16"/>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or any of its Subsidiaries maintains a Deposit Account (other than an Excluded Account) or the securities intermediary or commodity intermediary at which Borrower or any of its Subsidiaries maintains a Securities Account or a Commodity Account (other than an Excluded Account), Borrower and such Subsidiary, and Collateral Agent pursuant to which Collateral Agent, for the benefit of the Lenders, obtains “control” (within the meaning of the Code) over such Deposit Account, Securities Account, or Commodity Account.</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Account</w:t>
      </w:r>
      <w:r>
        <w:rPr>
          <w:rFonts w:ascii="Arial" w:cs="Arial" w:eastAsia="Arial" w:hAnsi="Arial"/>
          <w:sz w:val="16"/>
          <w:szCs w:val="16"/>
          <w:color w:val="auto"/>
        </w:rPr>
        <w:t>” means (i) accounts of Borrower or any of its Subsidiaries used exclusively for payroll, payroll taxes and other employee wage and benefit payments, as identified to Collateral Agent by Borrower as such in the Perfection Certificate or otherwise by written notice from time to time, or</w:t>
      </w:r>
    </w:p>
    <w:p>
      <w:pPr>
        <w:spacing w:after="0" w:line="1" w:lineRule="exact"/>
        <w:rPr>
          <w:sz w:val="20"/>
          <w:szCs w:val="20"/>
          <w:color w:val="auto"/>
        </w:rPr>
      </w:pPr>
    </w:p>
    <w:p>
      <w:pPr>
        <w:ind w:firstLine="8"/>
        <w:spacing w:after="0" w:line="261" w:lineRule="auto"/>
        <w:tabs>
          <w:tab w:leader="none" w:pos="293"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accounts numbered ********2060 and *****2396 held at Bank of America, N.A. and JPMorgan Chase Bank, N.A., respectively, so long as those accounts are closed within fifteen (15) Business Days of the Effective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Exigent Circumstance</w:t>
      </w:r>
      <w:r>
        <w:rPr>
          <w:rFonts w:ascii="Arial" w:cs="Arial" w:eastAsia="Arial" w:hAnsi="Arial"/>
          <w:sz w:val="16"/>
          <w:szCs w:val="16"/>
          <w:color w:val="auto"/>
        </w:rPr>
        <w:t>” means any event or circumstance that, in the reasonable judgment of Collateral Agent, imminently threatens the ability of Collateral Agent to realize upon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Fee</w:t>
      </w:r>
      <w:r>
        <w:rPr>
          <w:rFonts w:ascii="Arial" w:cs="Arial" w:eastAsia="Arial" w:hAnsi="Arial"/>
          <w:sz w:val="18"/>
          <w:szCs w:val="18"/>
          <w:color w:val="auto"/>
        </w:rPr>
        <w:t>” is a fee due on the Effective Date equal to 1.50% of the total Term Loan Commitment, payable to IMMY Funding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 or any other comparable Governmental Authority.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Fee</w:t>
      </w:r>
      <w:r>
        <w:rPr>
          <w:rFonts w:ascii="Arial" w:cs="Arial" w:eastAsia="Arial" w:hAnsi="Arial"/>
          <w:sz w:val="18"/>
          <w:szCs w:val="18"/>
          <w:color w:val="auto"/>
        </w:rPr>
        <w:t xml:space="preserve">” is a payment (in addition to and not a substitution for the regular monthly payments of principal plus accrued interest or any other fee payable hereunder) due on the earliest to occur of (a) the Maturity Date, or (b) the acceleration of any Term Loan, or (c) the prepayment of a Term Loan pursuant to Section 2.2(c) or (d), in each case equal to five percent (5%)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principal amount of the Term Loan funded at such time, payable to Lenders in accordance with their respective Pro Rata Shares.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Term Loan is made to or on account of Borrower, which shall be a Business Day.</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 for the benefit of the Lenders.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(including the Secured Guaranty) of all or any part of the Obligations, as the same may from time to time be amended, restated, modified or otherwise supplemented.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29" w:lineRule="exact"/>
        <w:rPr>
          <w:sz w:val="20"/>
          <w:szCs w:val="20"/>
          <w:color w:val="auto"/>
        </w:rPr>
      </w:pPr>
    </w:p>
    <w:p>
      <w:pPr>
        <w:ind w:left="1540" w:hanging="235"/>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540" w:hanging="235"/>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firstLine="1305"/>
        <w:spacing w:after="0" w:line="277" w:lineRule="auto"/>
        <w:tabs>
          <w:tab w:leader="none" w:pos="15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licenses, sublicenses or other contracts under which Borrower or any Subsidiary is granted rights by third parties in any Intellectual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 asset.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Security Agreement</w:t>
      </w:r>
      <w:r>
        <w:rPr>
          <w:rFonts w:ascii="Arial" w:cs="Arial" w:eastAsia="Arial" w:hAnsi="Arial"/>
          <w:sz w:val="18"/>
          <w:szCs w:val="18"/>
          <w:color w:val="auto"/>
        </w:rPr>
        <w:t>” is that certain Intellectual Property Security Agreement executed and delivered by Borrower to Collateral Agent and dated as of the Effective Date, as may be amended, restated, or otherwise modified or supplemented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Chief Executive Officer, who is Mark L. Baum as of the Effective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Borrower’s knowledge, or with a similar qualification, knowledge or awareness means the actual knowledge, after reasonable investigation, of the Responsible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permitted assignee that becomes a party to this Agreement pursuant to 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12.1.</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Pledge Agreement, the IP Security Agreement, the Secured Guaranty, the Warrants, the Perfection Certificates, each Control Agreement, each Compliance Certificate, each Loan Payment Request Form,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adverse change in the business, operations or condition (financial or otherwise) of Borrower or any Subsidiary, when taken as a whole; (b) a material impairment of the prospect of repayment of any portion of the Obligations or (c) a material adverse effect on the Collateral that is not the result of the Collateral Agent’s or the Lenders’ action or inaction in connection with filings made or not made with respect to the Collateral. For the avoidance of doubt, the following events, solely in and of themselves, shall not constitute a Material Adverse Change or a Material Adverse Effect: (a) a “going concern” or like qualification or “emphasis of matter” paragraph in an auditor’s opinion; (b) Borrower or any of its Subsidiaries conducts a mandatory or voluntary recall which could reasonably be expected to result in liability and expense to Borrower or any of its Subsidiaries of $1,000,000 or less; (c) Borrower or any of its Subsidiaries enters into a settlement agreement with the FDA, DOJ, or other Governmental Authority that results in aggregate liability as to any single or related series of transactions, incidents or conditions, of $1,000,000 or less; or (d) an action by a Governmental Authority of a type and magnitude substantially similar to those disclosed in the Perfection Certificate provided to the Collateral Agent prior to the date hereof, which could not reasonably be expected to cause Borrower to discontinue its operations or otherwise result in or cause a Material Adverse Change.</w:t>
      </w:r>
    </w:p>
    <w:p>
      <w:pPr>
        <w:spacing w:after="0" w:line="16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Agreement</w:t>
      </w:r>
      <w:r>
        <w:rPr>
          <w:rFonts w:ascii="Arial" w:cs="Arial" w:eastAsia="Arial" w:hAnsi="Arial"/>
          <w:sz w:val="17"/>
          <w:szCs w:val="17"/>
          <w:color w:val="auto"/>
        </w:rPr>
        <w:t>” is any license, agreement or other contractual arrangement with a Person or Governmental Authority whereby Borrower or any of its Subsidiaries is reasonably likely to be required to transfer, either in-kind or in cash, prior to the Maturity Date, assets or property valued (book or market) at more than $500,000 in the aggregate or any license, agreement or other contractual arrangement conveying rights in or to any Intellectual Property necessary to make, use or sell any Inventory, products or services of Borrower or any Subsidiary.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for each Term Loan, the earlier of (i) May 11, 2021 and (ii) twenty-four (24) months following the Amortization Date only if the Revenue Threshold is not met.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Milestone Date</w:t>
      </w:r>
      <w:r>
        <w:rPr>
          <w:rFonts w:ascii="Arial" w:cs="Arial" w:eastAsia="Arial" w:hAnsi="Arial"/>
          <w:sz w:val="16"/>
          <w:szCs w:val="16"/>
          <w:color w:val="auto"/>
        </w:rPr>
        <w:t>” is the date that Borrower has achieved trailing twelve (12) month revenue under GAAP of at least Fifteen Million Dollars ($15,000,000.00) during any consecutive twelve (12) month period through and until May 11, 2016, measured on an unaudited basis for any month for which audited financial statements are not available, in each case subject to verification and supporting evidence reasonably requested by Collateral Agent.</w:t>
      </w:r>
    </w:p>
    <w:p>
      <w:pPr>
        <w:spacing w:after="0" w:line="14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Final Fee, and other amounts Borrower owes the Lenders now or later, in connection with, related to, following, or arising from, out of or under, this Agreement or, the other Loan Documents (other than the Warrants), and including interest accruing after Insolvency Proceedings begin (whether or not allowed) and debts, liabilities, or obligations of Borrower assigned to the Lenders and/or Collateral Agent, and the performance of Borrower’s duties under the Loan Documents.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 commencing on June 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540" w:hanging="23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Indebtedness to trade creditors and in connection with credit cards incurred in the ordinary course of business;</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4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(A) Two Million Dollars ($2,000,000.00) for construction and improvement efforts of pharmacy and outsourcing facilities in New Jersey and California, and (B) Two Hundred Fifty Thousand Dollars ($250,000.00) for other capitalized lease obligations and purchase money Indebtedness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89" w:lineRule="exact"/>
        <w:rPr>
          <w:rFonts w:ascii="Arial" w:cs="Arial" w:eastAsia="Arial" w:hAnsi="Arial"/>
          <w:sz w:val="18"/>
          <w:szCs w:val="18"/>
          <w:color w:val="auto"/>
        </w:rPr>
      </w:pPr>
    </w:p>
    <w:p>
      <w:pPr>
        <w:ind w:left="1520" w:hanging="215"/>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w:t>
      </w:r>
    </w:p>
    <w:p>
      <w:pPr>
        <w:spacing w:after="0" w:line="236" w:lineRule="exact"/>
        <w:rPr>
          <w:rFonts w:ascii="Arial" w:cs="Arial" w:eastAsia="Arial" w:hAnsi="Arial"/>
          <w:sz w:val="17"/>
          <w:szCs w:val="17"/>
          <w:color w:val="auto"/>
        </w:rPr>
      </w:pPr>
    </w:p>
    <w:p>
      <w:pPr>
        <w:jc w:val="both"/>
        <w:ind w:firstLine="1305"/>
        <w:spacing w:after="0" w:line="279" w:lineRule="auto"/>
        <w:tabs>
          <w:tab w:leader="none" w:pos="1564"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provided that the full amount of the Term Loans have been drawn hereunder, Indebtedness related to secured accounts receivable and inventory financing (A) secured solely by accounts receivable and cash proceeds thereof, (B) in an aggregate outstanding principal amount that does not exceed $2,500,000, (C) is subject to an intercreditor agreement in form and substance satisfactory to Collateral Agent and (D) the borrowings thereunder are subject to a maximum borrowing base for accounts receivable of 80% and a maximum borrowing base for inventory of 40%;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ind w:firstLine="1305"/>
        <w:spacing w:after="0" w:line="277" w:lineRule="auto"/>
        <w:tabs>
          <w:tab w:leader="none" w:pos="155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related to letters of credit related to trade payables and creditors and real estate leases incurred in the Borrower’s ordinary course of business, in an aggregate outstanding principal amount that does not exceed $500,000;</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consisting of deferred compensation owing under the Stock Purchase Agreement, dated as of November 26, 2014 (without any amendment or modification effective after the date hereof without Collateral Agent’s consent), among Borrower, South Coast Specialty Compounding, Inc. (d/b/a Park Compounding) and the seller parties thereto;</w:t>
      </w:r>
    </w:p>
    <w:p>
      <w:pPr>
        <w:spacing w:after="0" w:line="181" w:lineRule="exact"/>
        <w:rPr>
          <w:rFonts w:ascii="Arial" w:cs="Arial" w:eastAsia="Arial" w:hAnsi="Arial"/>
          <w:sz w:val="18"/>
          <w:szCs w:val="18"/>
          <w:color w:val="auto"/>
        </w:rPr>
      </w:pPr>
    </w:p>
    <w:p>
      <w:pPr>
        <w:ind w:firstLine="1305"/>
        <w:spacing w:after="0" w:line="277" w:lineRule="auto"/>
        <w:tabs>
          <w:tab w:leader="none" w:pos="152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consisting of the bona fide financing of insurance premiums or self-insurance obligations (which must be commercially reasonable and consistent with insurance practices generally) that does not exceed $250,000;</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Indebtedness (i) among Borrower and Guarantors, (ii) of any Subsidiary that is not a Guarantor to Borrower or any Guarantor that is a Permitted Investment, and (iii) of any Subsidiary that is not a Guarantor to another Subsidiary that is not a Guarantor, provided that, in each case, if any such Indebtedness exceeds Two Hundred and Fifty Thousand ($250,000) for each transaction or Seven Hundred and Fifty Thousand ($750,000) in the aggregate, it is, at Collateral Agent’s discretion, subordinated to the Obligations hereunder in form and substance acceptable to Collateral Agent and any notes or other instruments evidencing such Indebtedness are pledged to Collateral Agent;</w:t>
      </w:r>
    </w:p>
    <w:p>
      <w:pPr>
        <w:spacing w:after="0" w:line="172" w:lineRule="exact"/>
        <w:rPr>
          <w:rFonts w:ascii="Arial" w:cs="Arial" w:eastAsia="Arial" w:hAnsi="Arial"/>
          <w:sz w:val="17"/>
          <w:szCs w:val="17"/>
          <w:color w:val="auto"/>
        </w:rPr>
      </w:pPr>
    </w:p>
    <w:p>
      <w:pPr>
        <w:ind w:left="1520" w:hanging="215"/>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Deposits or advances received from customers in the ordinary course of business;</w:t>
      </w:r>
    </w:p>
    <w:p>
      <w:pPr>
        <w:spacing w:after="0" w:line="225" w:lineRule="exact"/>
        <w:rPr>
          <w:rFonts w:ascii="Arial" w:cs="Arial" w:eastAsia="Arial" w:hAnsi="Arial"/>
          <w:sz w:val="18"/>
          <w:szCs w:val="18"/>
          <w:color w:val="auto"/>
        </w:rPr>
      </w:pPr>
    </w:p>
    <w:p>
      <w:pPr>
        <w:ind w:firstLine="1305"/>
        <w:spacing w:after="0" w:line="277" w:lineRule="auto"/>
        <w:tabs>
          <w:tab w:leader="none" w:pos="164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Indebtedness consisting of guarantees resulting from endorsement of negotiable instruments for collection by Borrower or any Subsidiary in the ordinary course of business; and</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6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materially more burdensome terms upon Borrower, or its Subsidiary,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540" w:hanging="235"/>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firstLine="1305"/>
        <w:spacing w:after="0" w:line="308" w:lineRule="auto"/>
        <w:tabs>
          <w:tab w:leader="none" w:pos="1586" w:val="left"/>
        </w:tabs>
        <w:numPr>
          <w:ilvl w:val="1"/>
          <w:numId w:val="7"/>
        </w:numPr>
        <w:rPr>
          <w:rFonts w:ascii="Arial" w:cs="Arial" w:eastAsia="Arial" w:hAnsi="Arial"/>
          <w:sz w:val="17"/>
          <w:szCs w:val="17"/>
          <w:color w:val="auto"/>
        </w:rPr>
      </w:pPr>
      <w:r>
        <w:rPr>
          <w:rFonts w:ascii="Arial" w:cs="Arial" w:eastAsia="Arial" w:hAnsi="Arial"/>
          <w:sz w:val="17"/>
          <w:szCs w:val="17"/>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46" w:lineRule="exact"/>
        <w:rPr>
          <w:rFonts w:ascii="Arial" w:cs="Arial" w:eastAsia="Arial" w:hAnsi="Arial"/>
          <w:sz w:val="17"/>
          <w:szCs w:val="17"/>
          <w:color w:val="auto"/>
        </w:rPr>
      </w:pPr>
    </w:p>
    <w:p>
      <w:pPr>
        <w:ind w:left="1580" w:hanging="275"/>
        <w:spacing w:after="0"/>
        <w:tabs>
          <w:tab w:leader="none" w:pos="158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Investments consisting of the endorsement of negotiable instruments for deposit or collection or similar transactions in the ordinary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course of Borrower;</w:t>
      </w:r>
    </w:p>
    <w:p>
      <w:pPr>
        <w:spacing w:after="0" w:line="210" w:lineRule="exact"/>
        <w:rPr>
          <w:rFonts w:ascii="Arial" w:cs="Arial" w:eastAsia="Arial" w:hAnsi="Arial"/>
          <w:sz w:val="17"/>
          <w:szCs w:val="17"/>
          <w:color w:val="auto"/>
        </w:rPr>
      </w:pPr>
    </w:p>
    <w:p>
      <w:pPr>
        <w:ind w:left="1560" w:hanging="255"/>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1544" w:val="left"/>
        </w:tabs>
        <w:numPr>
          <w:ilvl w:val="1"/>
          <w:numId w:val="7"/>
        </w:numPr>
        <w:rPr>
          <w:rFonts w:ascii="Arial" w:cs="Arial" w:eastAsia="Arial" w:hAnsi="Arial"/>
          <w:sz w:val="16"/>
          <w:szCs w:val="16"/>
          <w:color w:val="auto"/>
        </w:rPr>
      </w:pPr>
      <w:r>
        <w:rPr>
          <w:rFonts w:ascii="Arial" w:cs="Arial" w:eastAsia="Arial" w:hAnsi="Arial"/>
          <w:sz w:val="16"/>
          <w:szCs w:val="16"/>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and (iii) other loans or arrangements in the ordinary course of the Borrower’s business that does not to exceed in the aggregate for (i), (ii) and (iii), (A) One Hundred Fifty Thousand Dollars ($150,000.00) in fiscal year 2015,</w:t>
      </w:r>
    </w:p>
    <w:p>
      <w:pPr>
        <w:spacing w:after="0" w:line="1" w:lineRule="exact"/>
        <w:rPr>
          <w:rFonts w:ascii="Arial" w:cs="Arial" w:eastAsia="Arial" w:hAnsi="Arial"/>
          <w:sz w:val="16"/>
          <w:szCs w:val="16"/>
          <w:color w:val="auto"/>
        </w:rPr>
      </w:pPr>
    </w:p>
    <w:p>
      <w:pPr>
        <w:ind w:firstLine="8"/>
        <w:spacing w:after="0" w:line="261" w:lineRule="auto"/>
        <w:tabs>
          <w:tab w:leader="none" w:pos="2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Hundred Fifty Thousand Dollars ($250,000.00) in fiscal year 2016; and (C) Three Hundred Fifty Thousand Dollars ($350,000.00) in each fiscal year thereafter.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ind w:right="20" w:firstLine="1305"/>
        <w:spacing w:after="0" w:line="308" w:lineRule="auto"/>
        <w:tabs>
          <w:tab w:leader="none" w:pos="15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firstLine="1305"/>
        <w:spacing w:after="0" w:line="308" w:lineRule="auto"/>
        <w:tabs>
          <w:tab w:leader="none" w:pos="156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46" w:lineRule="exact"/>
        <w:rPr>
          <w:rFonts w:ascii="Arial" w:cs="Arial" w:eastAsia="Arial" w:hAnsi="Arial"/>
          <w:sz w:val="17"/>
          <w:szCs w:val="17"/>
          <w:color w:val="auto"/>
        </w:rPr>
      </w:pPr>
    </w:p>
    <w:p>
      <w:pPr>
        <w:ind w:left="1520" w:hanging="21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Subsidiaries, not to exceed Five Hundred Thousand Dollars ($500,000) per fiscal year;</w:t>
      </w:r>
    </w:p>
    <w:p>
      <w:pPr>
        <w:spacing w:after="0" w:line="225" w:lineRule="exact"/>
        <w:rPr>
          <w:rFonts w:ascii="Arial" w:cs="Arial" w:eastAsia="Arial" w:hAnsi="Arial"/>
          <w:sz w:val="18"/>
          <w:szCs w:val="18"/>
          <w:color w:val="auto"/>
        </w:rPr>
      </w:pPr>
    </w:p>
    <w:p>
      <w:pPr>
        <w:jc w:val="both"/>
        <w:ind w:right="20" w:firstLine="1305"/>
        <w:spacing w:after="0" w:line="264" w:lineRule="auto"/>
        <w:tabs>
          <w:tab w:leader="none" w:pos="15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joint ventures or strategic alliances in the ordinary course of Borrower’s business consisting of the licensing of technology, the development of technology or the providing of technical support, in each case as permitted hereunder (i.e. under a Permitted License), not to exceed Five Hundred Thousand Dollars ($500,000) per fiscal year;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(B) non-exclusive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or (C) exclusive or non-exclusive licenses relating to Investments described under clause (k) of the definition of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exclusive license described in this clause (C),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w:t>
      </w:r>
    </w:p>
    <w:p>
      <w:pPr>
        <w:spacing w:after="0" w:line="5" w:lineRule="exact"/>
        <w:rPr>
          <w:sz w:val="20"/>
          <w:szCs w:val="20"/>
          <w:color w:val="auto"/>
        </w:rPr>
      </w:pPr>
    </w:p>
    <w:p>
      <w:pPr>
        <w:jc w:val="both"/>
        <w:ind w:firstLine="8"/>
        <w:spacing w:after="0" w:line="255" w:lineRule="auto"/>
        <w:tabs>
          <w:tab w:leader="none" w:pos="2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 limited in territory with respect to a specific geographic country or region (i.e. Japan, Germany, northern China) outside of the United States (i.e., not exclusive in the United States), and (iii) Borrower has obtained the consent and acknowledgement of the counterparty to such license for the collateral assignment of such license to the Collateral Agent for the benefit of the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Liens existing on the Effective Date and disclosed on the Perfection Certificates or arising under this Agreement and the other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firstLine="1305"/>
        <w:spacing w:after="0" w:line="264" w:lineRule="auto"/>
        <w:tabs>
          <w:tab w:leader="none" w:pos="15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1560" w:hanging="255"/>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securing Indebtedness permitted under clause (g) of the definition of “Permitted Indebtedness;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5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firstLine="1305"/>
        <w:spacing w:after="0" w:line="277" w:lineRule="auto"/>
        <w:tabs>
          <w:tab w:leader="none" w:pos="15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(d),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574" w:val="left"/>
        </w:tabs>
        <w:numPr>
          <w:ilvl w:val="1"/>
          <w:numId w:val="12"/>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511"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 hereof;</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deposits to secure indebtedness permitted under clause (h) of the definition of “Permitted Indebtedness”;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6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Borrower and its Subsidiaries; and</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with respect to any real property, (A) such defects or encroachments as might be revealed by an up-to-date survey of such real property;</w:t>
      </w:r>
    </w:p>
    <w:p>
      <w:pPr>
        <w:spacing w:after="0" w:line="46" w:lineRule="exact"/>
        <w:rPr>
          <w:rFonts w:ascii="Arial" w:cs="Arial" w:eastAsia="Arial" w:hAnsi="Arial"/>
          <w:sz w:val="16"/>
          <w:szCs w:val="16"/>
          <w:color w:val="auto"/>
        </w:rPr>
      </w:pPr>
    </w:p>
    <w:p>
      <w:pPr>
        <w:jc w:val="both"/>
        <w:ind w:firstLine="8"/>
        <w:spacing w:after="0" w:line="254"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reservations, limitations, provisos and conditions expressed in the original grant, deed or patent of such property by the original owner of such real property pursuant to applicable laws; and (C) rights of expropriation, access or user or any similar right conferred or reserved by or in applicable laws, which, in the aggregate for (A), (B) and (C), are not material, and which do not in any case materially detract from the value of the property subject thereto or interfere with the ordinary conduct of the business of Borrower and its Subsidiaries.</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Option Period</w:t>
      </w:r>
      <w:r>
        <w:rPr>
          <w:rFonts w:ascii="Arial" w:cs="Arial" w:eastAsia="Arial" w:hAnsi="Arial"/>
          <w:sz w:val="18"/>
          <w:szCs w:val="18"/>
          <w:color w:val="auto"/>
        </w:rPr>
        <w:t>” means the period from the Effective Date until the earlier of (i) May 11, 2017 and (ii) the Amortization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is that certain Pledge Agreement executed and delivered by Borrower to Collateral Agent and dated as of the Effective Date, as may be amended, restated, or otherwise modified or supplemented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w:t>
      </w:r>
      <w:r>
        <w:rPr>
          <w:rFonts w:ascii="Arial" w:cs="Arial" w:eastAsia="Arial" w:hAnsi="Arial"/>
          <w:sz w:val="17"/>
          <w:szCs w:val="17"/>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(i) for so long as all of the Persons that are Lenders on the Effective Date (each an “</w:t>
      </w:r>
      <w:r>
        <w:rPr>
          <w:rFonts w:ascii="Arial" w:cs="Arial" w:eastAsia="Arial" w:hAnsi="Arial"/>
          <w:sz w:val="18"/>
          <w:szCs w:val="18"/>
          <w:b w:val="1"/>
          <w:bCs w:val="1"/>
          <w:color w:val="auto"/>
        </w:rPr>
        <w:t>Original Lender</w:t>
      </w:r>
      <w:r>
        <w:rPr>
          <w:rFonts w:ascii="Arial" w:cs="Arial" w:eastAsia="Arial" w:hAnsi="Arial"/>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fifty-one percent (51%) of the aggregate outstanding principal balance of the Term Loan.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Threshold</w:t>
      </w:r>
      <w:r>
        <w:rPr>
          <w:rFonts w:ascii="Arial" w:cs="Arial" w:eastAsia="Arial" w:hAnsi="Arial"/>
          <w:sz w:val="18"/>
          <w:szCs w:val="18"/>
          <w:color w:val="auto"/>
        </w:rPr>
        <w:t>” means the Borrower continuing to satisfy or meet the following: (a) the trailing twelve (12) calendar months of Borrower’s revenue under GAAP on or after December 31, 2016, is equal to or greater than Twenty-Five Million Dollars ($25,000,000) or (b) Borrower has a balance of cash equal to or greater than the then-outstanding Obligations in Collateral Accounts subject to Control Agreements.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Milestone Date and ending on May 11,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Guaranty</w:t>
      </w:r>
      <w:r>
        <w:rPr>
          <w:rFonts w:ascii="Arial" w:cs="Arial" w:eastAsia="Arial" w:hAnsi="Arial"/>
          <w:sz w:val="18"/>
          <w:szCs w:val="18"/>
          <w:color w:val="auto"/>
        </w:rPr>
        <w:t>” is that certain Secured Guaranty executed and delivered by each Subsidiary of Borrower to Collateral Agent and dated as of the Effective Date, as may be amended, restated, or otherwise modified or supplemented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“securities account” as defined in the Code with such additions to such term as may hereafter be made under the Code.</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reasonably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any of that certain Warrant to Purchase Stock dated as of the Effective Date issued by Borrower in favor of each Lender or such Lender’s Affiliates or any other warrant entered into in connection with the Term Loan, all as may be amended, restated, or otherwise modified or supplemented from time to time.</w:t>
      </w:r>
    </w:p>
    <w:p>
      <w:pPr>
        <w:spacing w:after="0" w:line="17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2.1 Promise to Pay. </w:t>
      </w:r>
      <w:r>
        <w:rPr>
          <w:rFonts w:ascii="Arial" w:cs="Arial" w:eastAsia="Arial" w:hAnsi="Arial"/>
          <w:sz w:val="16"/>
          <w:szCs w:val="16"/>
          <w:color w:val="auto"/>
        </w:rPr>
        <w:t>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59" w:lineRule="auto"/>
        <w:tabs>
          <w:tab w:leader="none" w:pos="15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on the Effective Date in an aggregate principal amount of Ten Million Dollars ($10,000,000.00)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jc w:val="both"/>
        <w:ind w:firstLine="1953"/>
        <w:spacing w:after="0" w:line="255" w:lineRule="auto"/>
        <w:tabs>
          <w:tab w:leader="none" w:pos="22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upon the request of Borrower, to make term loans to Borrower in an aggregate principal amount up to Five Million Dollars ($5,000,000)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each Term A Loan or Term B Loan is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Loans and the Term B Loans are hereinafter referred to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Each Term B Loan shall be in minimum increments of $2,500,000.00. After repayment, no Term B Loan may be re-borrowed.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8" w:name="page19"/>
    <w:bookmarkEnd w:id="18"/>
    <w:p>
      <w:pPr>
        <w:jc w:val="both"/>
        <w:ind w:firstLine="1305"/>
        <w:spacing w:after="0" w:line="270" w:lineRule="auto"/>
        <w:tabs>
          <w:tab w:leader="none" w:pos="1565"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second (2nd)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twenty-four (24) months after the Amortization Date. All unpaid principal and accrued and unpaid interest with respect to each Term Loan is due and payable in full on the Maturity Date. The Term Loans may only be prepaid in accordance with Sections 2.2(c) and 2.2(d).</w:t>
      </w:r>
    </w:p>
    <w:p>
      <w:pPr>
        <w:spacing w:after="0" w:line="181" w:lineRule="exact"/>
        <w:rPr>
          <w:rFonts w:ascii="Arial" w:cs="Arial" w:eastAsia="Arial" w:hAnsi="Arial"/>
          <w:sz w:val="17"/>
          <w:szCs w:val="17"/>
          <w:color w:val="auto"/>
        </w:rPr>
      </w:pPr>
    </w:p>
    <w:p>
      <w:pPr>
        <w:jc w:val="both"/>
        <w:ind w:firstLine="1305"/>
        <w:spacing w:after="0" w:line="255" w:lineRule="auto"/>
        <w:tabs>
          <w:tab w:leader="none" w:pos="154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an event described in Section 7.2(c)(ii) occurs or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Fee, plus (iii) all other Obligations that are due and payable, including, without limitation, Lenders’ Expenses and interest at the Default Rate with respect to any past due amounts. Notwithstanding (but without duplication with) the foregoing, on the Maturity Date, if the Final Fee had not previously been paid in full in connection with the prepayment of the Term Loans in full, Borrower shall pay to each Lender in accordance with its respective Pro Rata Share, the Final Fee in respect of the Term Loans.</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155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Permitted Prepayment of Term Loans</w:t>
      </w:r>
      <w:r>
        <w:rPr>
          <w:rFonts w:ascii="Arial" w:cs="Arial" w:eastAsia="Arial" w:hAnsi="Arial"/>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five (5) Business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Fee, plus (C) all other Obligations that are due and payable, including, without limitation, Lenders’ Expenses and interest at the Default Rate with respect to any past due amounts.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2.3 Payment of Interest on the Term Loans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72" w:lineRule="auto"/>
        <w:tabs>
          <w:tab w:leader="none" w:pos="155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Subject to Section 2.3(b), the principal amount outstanding under the Term Loans shall accrue interest at a fixed per annum rate equal to 12.50%, which interest shall be payable monthly in arrears in accordance with Sections 2.2(b) and 2.3(e); provided that during the PIK Option Period, at the election of Borrower (which shall be considered given on the Effective Date) with no less than five (5) Business Day written notice to Collateral Agent prior to the applicable Payment Date, 2.00% of such 12.50% may be payable in-kind by adding an amount equal to such 2.00% of the outstanding principal amount to the then outstanding principal balance on a monthly basis so as to increase the outstanding principal balance of such Term Loan on each Payment Date and which amount shall be payable when the principal amount of the Term Loans are payable in accordance with Sections 2.2(b) and 2.3(e) and on which principal amount interest shall be owed pursuant to Section 2.3(a).</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shall accrue on each Term Loan commencing on, and including, the Funding Date of such Term Loan, and shall accrue on the principal amount outstanding under such Term Loan until but excluding the day on which such Term Loan is paid in full.</w:t>
      </w:r>
    </w:p>
    <w:p>
      <w:pPr>
        <w:spacing w:after="0" w:line="170" w:lineRule="exact"/>
        <w:rPr>
          <w:sz w:val="20"/>
          <w:szCs w:val="20"/>
          <w:color w:val="auto"/>
        </w:rPr>
      </w:pPr>
    </w:p>
    <w:p>
      <w:pPr>
        <w:jc w:val="both"/>
        <w:ind w:firstLine="1305"/>
        <w:spacing w:after="0" w:line="259" w:lineRule="auto"/>
        <w:tabs>
          <w:tab w:leader="none" w:pos="155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130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365-Day Year</w:t>
      </w:r>
      <w:r>
        <w:rPr>
          <w:rFonts w:ascii="Arial" w:cs="Arial" w:eastAsia="Arial" w:hAnsi="Arial"/>
          <w:sz w:val="17"/>
          <w:szCs w:val="17"/>
          <w:color w:val="auto"/>
        </w:rPr>
        <w:t>. Interest shall be computed on the basis of a three hundred sixty-five (365) day year and the actual number of days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elapsed.</w:t>
      </w:r>
    </w:p>
    <w:p>
      <w:pPr>
        <w:spacing w:after="0" w:line="211" w:lineRule="exact"/>
        <w:rPr>
          <w:sz w:val="20"/>
          <w:szCs w:val="20"/>
          <w:color w:val="auto"/>
        </w:rPr>
      </w:pPr>
    </w:p>
    <w:p>
      <w:pPr>
        <w:jc w:val="both"/>
        <w:ind w:firstLine="1305"/>
        <w:spacing w:after="0" w:line="264" w:lineRule="auto"/>
        <w:tabs>
          <w:tab w:leader="none" w:pos="155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555"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2.4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firstLine="1305"/>
        <w:spacing w:after="0" w:line="277" w:lineRule="auto"/>
        <w:tabs>
          <w:tab w:leader="none" w:pos="155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The Facility Fee, which shall be due on the Effective Date, to be shared between the Lenders in accordance with their respective Pro Rata Shares;</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Final Fee</w:t>
      </w:r>
      <w:r>
        <w:rPr>
          <w:rFonts w:ascii="Arial" w:cs="Arial" w:eastAsia="Arial" w:hAnsi="Arial"/>
          <w:sz w:val="16"/>
          <w:szCs w:val="16"/>
          <w:color w:val="auto"/>
        </w:rPr>
        <w:t>. The Final Fee, when due hereunder, to be shared among the Lenders in accordance with their respective Pro Rata Shares;</w:t>
      </w:r>
    </w:p>
    <w:p>
      <w:pPr>
        <w:spacing w:after="0" w:line="248" w:lineRule="exact"/>
        <w:rPr>
          <w:rFonts w:ascii="Arial" w:cs="Arial" w:eastAsia="Arial" w:hAnsi="Arial"/>
          <w:sz w:val="16"/>
          <w:szCs w:val="16"/>
          <w:color w:val="auto"/>
        </w:rPr>
      </w:pPr>
    </w:p>
    <w:p>
      <w:pPr>
        <w:ind w:firstLine="1305"/>
        <w:spacing w:after="0" w:line="277" w:lineRule="auto"/>
        <w:tabs>
          <w:tab w:leader="none" w:pos="158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due diligence, investigation, documentation and negotiation of this Agreement) incurred through and after the Effective Date, when due.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2.5 Withholding. </w:t>
      </w:r>
      <w:r>
        <w:rPr>
          <w:rFonts w:ascii="Arial" w:cs="Arial" w:eastAsia="Arial" w:hAnsi="Arial"/>
          <w:sz w:val="16"/>
          <w:szCs w:val="16"/>
          <w:color w:val="auto"/>
        </w:rPr>
        <w:t>Payments received by the Collateral Agent or the Lenders from Borrower hereunder will be made free and clear of and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2.5 shall survive the termination of this Agreement.</w:t>
      </w:r>
    </w:p>
    <w:p>
      <w:pPr>
        <w:spacing w:after="0" w:line="16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3.1 Conditions Precedent to Initial Term Loan. </w:t>
      </w:r>
      <w:r>
        <w:rPr>
          <w:rFonts w:ascii="Arial" w:cs="Arial" w:eastAsia="Arial" w:hAnsi="Arial"/>
          <w:sz w:val="18"/>
          <w:szCs w:val="18"/>
          <w:color w:val="auto"/>
        </w:rPr>
        <w:t>Each Lender’s obligation to make a Term A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reasonably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1540" w:hanging="235"/>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firstLine="1305"/>
        <w:spacing w:after="0" w:line="277" w:lineRule="auto"/>
        <w:tabs>
          <w:tab w:leader="none" w:pos="15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duly executed original Control Agreements with respect to any Collateral Accounts maintained by Borrower or any of its Subsidiaries, other than an Excluded Account;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copy of resolutions of the governing body for Borrower evidencing approval of the Term Loans and other transactions evidenced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Loan Documents;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5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duly executed original officer’s certificates for Borrower and each Subsidiary that is a party to the Loan Documents certifying as to (i) the incumbency of each Responsible Officer executing each Loan Document and (ii) the documents delivered pursuant to Section 3.1(d) and 3.1(e), in a form reasonably acceptable to Collateral Agent and the Lenders;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5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65" w:lineRule="exact"/>
        <w:rPr>
          <w:rFonts w:ascii="Arial" w:cs="Arial" w:eastAsia="Arial" w:hAnsi="Arial"/>
          <w:sz w:val="17"/>
          <w:szCs w:val="17"/>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copy of any applicable Investors Rights Agreement and any amendments thereto;</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the Facility Fee and Lenders’ Expenses then due as specified in Section 2.4 hereof.</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Term Loans. </w:t>
      </w:r>
      <w:r>
        <w:rPr>
          <w:rFonts w:ascii="Arial" w:cs="Arial" w:eastAsia="Arial" w:hAnsi="Arial"/>
          <w:sz w:val="18"/>
          <w:szCs w:val="18"/>
          <w:color w:val="auto"/>
        </w:rPr>
        <w:t>The obligation of each Lender to extend each Term Loan, including the initial Term Loan,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following conditions precedent:</w:t>
      </w:r>
    </w:p>
    <w:p>
      <w:pPr>
        <w:spacing w:after="0" w:line="166" w:lineRule="exact"/>
        <w:rPr>
          <w:sz w:val="20"/>
          <w:szCs w:val="20"/>
          <w:color w:val="auto"/>
        </w:rPr>
      </w:pPr>
    </w:p>
    <w:p>
      <w:pPr>
        <w:ind w:left="1540" w:hanging="235"/>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receipt by Collateral Agent of an executed Loan Payment Request Form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5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left="1540" w:hanging="235"/>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such Lender’s reasonable discretion, there has not been any Material Adverse Change;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Event of Default or event that with the passage of time would result in an Event of Default, shall exist; and</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3.3 Covenant to Deliver. </w:t>
      </w:r>
      <w:r>
        <w:rPr>
          <w:rFonts w:ascii="Arial" w:cs="Arial" w:eastAsia="Arial" w:hAnsi="Arial"/>
          <w:sz w:val="18"/>
          <w:szCs w:val="18"/>
          <w:color w:val="auto"/>
        </w:rPr>
        <w:t>Borrower agrees to deliver to Collateral Agent and the Lenders each item required to be delivered to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as a condition precedent to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3.4 Procedures for Borrowing. </w:t>
      </w:r>
      <w:r>
        <w:rPr>
          <w:rFonts w:ascii="Arial" w:cs="Arial" w:eastAsia="Arial" w:hAnsi="Arial"/>
          <w:sz w:val="17"/>
          <w:szCs w:val="17"/>
          <w:color w:val="auto"/>
        </w:rPr>
        <w:t>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(other than the Term Loan funded on the Effective Date), Borrower shall notify the Lenders (which notice shall be irrevocable) by electronic mail, facsimile, or telephone by 12:00 noon New York City time twelve (12)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 notice given by a person whom Collateral Agent reasonably believes is a Responsible Officer or designee.</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3.5 Post-Closing Obligations. </w:t>
      </w:r>
      <w:r>
        <w:rPr>
          <w:rFonts w:ascii="Arial" w:cs="Arial" w:eastAsia="Arial" w:hAnsi="Arial"/>
          <w:sz w:val="18"/>
          <w:szCs w:val="18"/>
          <w:color w:val="auto"/>
        </w:rPr>
        <w:t>Notwithstanding any provision herein or in any other Loan Document to the contrary, to the extent not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on or prior to the Effective Date, the Borrowers shall, and shall cause each applicable Subsidiary to:</w:t>
      </w:r>
    </w:p>
    <w:p>
      <w:pPr>
        <w:spacing w:after="0" w:line="166" w:lineRule="exact"/>
        <w:rPr>
          <w:sz w:val="20"/>
          <w:szCs w:val="20"/>
          <w:color w:val="auto"/>
        </w:rPr>
      </w:pPr>
    </w:p>
    <w:p>
      <w:pPr>
        <w:ind w:firstLine="1305"/>
        <w:spacing w:after="0" w:line="277" w:lineRule="auto"/>
        <w:tabs>
          <w:tab w:leader="none" w:pos="1558"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later June 10, 2015 (or such later date as Collateral Agent may agree) deliver a landlord’s consent executed in favor of Collateral Agent in respect of all of Borrower’s and each Subsidiaries’ leased locations;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567"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 later than June 10, 2015 (or such later date as Collateral Agent may agree) deliver a bailee waiver executed in favor of Collateral Agent in respect of each third party bailee where Borrower or any Subsidiary maintains Collateral having a book value in excess of Two Hundred Fifty Thousand Dollars ($250,000.00); and</w:t>
      </w:r>
    </w:p>
    <w:p>
      <w:pPr>
        <w:spacing w:after="0" w:line="181" w:lineRule="exact"/>
        <w:rPr>
          <w:rFonts w:ascii="Arial" w:cs="Arial" w:eastAsia="Arial" w:hAnsi="Arial"/>
          <w:sz w:val="18"/>
          <w:szCs w:val="18"/>
          <w:color w:val="auto"/>
        </w:rPr>
      </w:pPr>
    </w:p>
    <w:p>
      <w:pPr>
        <w:ind w:firstLine="1305"/>
        <w:spacing w:after="0" w:line="308" w:lineRule="auto"/>
        <w:tabs>
          <w:tab w:leader="none" w:pos="1579"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 later than May 26, 2015 (or such later date as Collateral Agent may agree) deliver to Collateral Agent an executed Control Agreement among Borrower, South Coast Specialty Compounding, Inc., Pharmacy Creations, L.L.C., MUFG Union Bank, N.A. and Collateral Agent.</w:t>
      </w:r>
    </w:p>
    <w:p>
      <w:pPr>
        <w:spacing w:after="0" w:line="142" w:lineRule="exact"/>
        <w:rPr>
          <w:rFonts w:ascii="Arial" w:cs="Arial" w:eastAsia="Arial" w:hAnsi="Arial"/>
          <w:sz w:val="17"/>
          <w:szCs w:val="17"/>
          <w:color w:val="auto"/>
        </w:rPr>
      </w:pPr>
    </w:p>
    <w:p>
      <w:pPr>
        <w:ind w:left="180" w:hanging="172"/>
        <w:spacing w:after="0"/>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4.1 Grant of Security Interest. </w:t>
      </w:r>
      <w:r>
        <w:rPr>
          <w:rFonts w:ascii="Arial" w:cs="Arial" w:eastAsia="Arial" w:hAnsi="Arial"/>
          <w:sz w:val="16"/>
          <w:szCs w:val="16"/>
          <w:color w:val="auto"/>
        </w:rPr>
        <w:t>Borrower hereby grants Collateral Agent, for the ratable benefit of the Lenders, to secure the payment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contingent obligations) are repaid in full in cash. Upon payment in full in cash of the Obligations (other than inchoate contingent obligations) and at such time as the Lenders’ obligation to extend Term Loans has terminated, Collateral Agent shall, at the sole cost and expense of Borrower, release its Liens in the Collateral and all rights therein shall revert to Borrower.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4.2 Authorization to File Financing Statements. </w:t>
      </w:r>
      <w:r>
        <w:rPr>
          <w:rFonts w:ascii="Arial" w:cs="Arial" w:eastAsia="Arial" w:hAnsi="Arial"/>
          <w:sz w:val="18"/>
          <w:szCs w:val="18"/>
          <w:color w:val="auto"/>
        </w:rPr>
        <w:t>Borrower hereby authorizes Collateral Agent to file financing statements or take any other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perfect Collateral Agent’s security interests in the Collateral, without notice to Borrower, with all appropriate jurisdictions to perfect or protect Collateral Agent’s interest or rights under the Loan Documents.</w:t>
      </w:r>
    </w:p>
    <w:p>
      <w:pPr>
        <w:spacing w:after="0" w:line="176"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or before the Effective Date (each a “</w:t>
      </w:r>
      <w:r>
        <w:rPr>
          <w:rFonts w:ascii="Arial" w:cs="Arial" w:eastAsia="Arial" w:hAnsi="Arial"/>
          <w:sz w:val="17"/>
          <w:szCs w:val="17"/>
          <w:b w:val="1"/>
          <w:bCs w:val="1"/>
          <w:color w:val="auto"/>
        </w:rPr>
        <w:t>Perfection</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all the information set forth on the Perfection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pertaining to Borrower and each of its Subsidiaries is accurate and complete.</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Collateral.</w:t>
      </w:r>
    </w:p>
    <w:p>
      <w:pPr>
        <w:spacing w:after="0" w:line="229" w:lineRule="exact"/>
        <w:rPr>
          <w:sz w:val="20"/>
          <w:szCs w:val="20"/>
          <w:color w:val="auto"/>
        </w:rPr>
      </w:pPr>
    </w:p>
    <w:p>
      <w:pPr>
        <w:jc w:val="both"/>
        <w:ind w:firstLine="1305"/>
        <w:spacing w:after="0" w:line="273" w:lineRule="auto"/>
        <w:tabs>
          <w:tab w:leader="none" w:pos="1546" w:val="left"/>
        </w:tabs>
        <w:numPr>
          <w:ilvl w:val="0"/>
          <w:numId w:val="28"/>
        </w:numPr>
        <w:rPr>
          <w:rFonts w:ascii="Arial" w:cs="Arial" w:eastAsia="Arial" w:hAnsi="Arial"/>
          <w:sz w:val="17"/>
          <w:szCs w:val="17"/>
          <w:color w:val="auto"/>
        </w:rPr>
      </w:pPr>
      <w:r>
        <w:rPr>
          <w:rFonts w:ascii="Arial" w:cs="Arial" w:eastAsia="Arial" w:hAnsi="Arial"/>
          <w:sz w:val="17"/>
          <w:szCs w:val="17"/>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(other than Excluded Accounts). The Accounts are bona fide, existing obligations of the Account Debtors.</w:t>
      </w:r>
    </w:p>
    <w:p>
      <w:pPr>
        <w:spacing w:after="0" w:line="178" w:lineRule="exact"/>
        <w:rPr>
          <w:rFonts w:ascii="Arial" w:cs="Arial" w:eastAsia="Arial" w:hAnsi="Arial"/>
          <w:sz w:val="17"/>
          <w:szCs w:val="17"/>
          <w:color w:val="auto"/>
        </w:rPr>
      </w:pPr>
    </w:p>
    <w:p>
      <w:pPr>
        <w:ind w:right="20" w:firstLine="1305"/>
        <w:spacing w:after="0" w:line="277" w:lineRule="auto"/>
        <w:tabs>
          <w:tab w:leader="none" w:pos="15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security interest granted herein is and shall at all times continue to be a first priority perfected security interest in the Collateral, subject only to Permitted Liens that are permitted by the terms of this Agreement to have priority to Collateral Agent’s Lien.</w:t>
      </w:r>
    </w:p>
    <w:p>
      <w:pPr>
        <w:spacing w:after="0" w:line="170" w:lineRule="exact"/>
        <w:rPr>
          <w:rFonts w:ascii="Arial" w:cs="Arial" w:eastAsia="Arial" w:hAnsi="Arial"/>
          <w:sz w:val="18"/>
          <w:szCs w:val="18"/>
          <w:color w:val="auto"/>
        </w:rPr>
      </w:pPr>
    </w:p>
    <w:p>
      <w:pPr>
        <w:ind w:firstLine="1305"/>
        <w:spacing w:after="0" w:line="277" w:lineRule="auto"/>
        <w:tabs>
          <w:tab w:leader="none" w:pos="15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and (ii) no such third party bailee possesses components of the Collateral in excess of Fifty Thousand Dollars ($50,000.00).</w:t>
      </w:r>
    </w:p>
    <w:p>
      <w:pPr>
        <w:spacing w:after="0" w:line="170" w:lineRule="exact"/>
        <w:rPr>
          <w:rFonts w:ascii="Arial" w:cs="Arial" w:eastAsia="Arial" w:hAnsi="Arial"/>
          <w:sz w:val="18"/>
          <w:szCs w:val="18"/>
          <w:color w:val="auto"/>
        </w:rPr>
      </w:pPr>
    </w:p>
    <w:p>
      <w:pPr>
        <w:ind w:left="1540" w:hanging="235"/>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5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on the Perfection Certificate, there are no actions, suits, investigations, or proceedings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Responsible Officers, threatened in writing by or against Borrower or any of its Subsidiaries involving more than Two Hundred Fifty Thousand Dollars ($250,000.00) or a claim for infringement of any intellectual property. Except as disclosed on the Perfection Certificate, there are no actions, suits, investigations or proceedings pending or, to the Knowledge of the Responsible Officers, threatened in writing by or against Borrower or any Subsidiaries involving challenges to the validity of the Intellectual Property.</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5.4 No Material Adverse Change; Financial Statements. </w:t>
      </w:r>
      <w:r>
        <w:rPr>
          <w:rFonts w:ascii="Arial" w:cs="Arial" w:eastAsia="Arial" w:hAnsi="Arial"/>
          <w:sz w:val="17"/>
          <w:szCs w:val="17"/>
          <w:color w:val="auto"/>
        </w:rPr>
        <w:t>All consolidated financial statements for Borrower and its Subsidiaries,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fairly present, in conformity with GAAP, in all material respects the consolidated financial condition of Borrower and its Subsidiaries, and the consolidated results of operations of Borrower and its Subsidiaries. Since December 31, 2014, there has not been a Material Adverse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5.5 Solvency. </w:t>
      </w:r>
      <w:r>
        <w:rPr>
          <w:rFonts w:ascii="Arial" w:cs="Arial" w:eastAsia="Arial" w:hAnsi="Arial"/>
          <w:sz w:val="18"/>
          <w:szCs w:val="18"/>
          <w:color w:val="auto"/>
        </w:rPr>
        <w:t>Borrower and each of its Subsidiaries, when taken as a whole, is Solvent.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5.6 Regulatory Compliance. </w:t>
      </w:r>
      <w:r>
        <w:rPr>
          <w:rFonts w:ascii="Arial" w:cs="Arial" w:eastAsia="Arial" w:hAnsi="Arial"/>
          <w:sz w:val="18"/>
          <w:szCs w:val="18"/>
          <w:color w:val="auto"/>
        </w:rPr>
        <w:t>Neither Borrower nor any of its Subsidiaries is an “investment company” or a company “controlled”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except where such failure to be in material compliance could not reasonably be expected to have a Material Adverse Change. Borrower and each of its Subsidiaries has obtained all consents, approvals and authorizations of, made all declarations or filings with, and given all notices to, all Governmental Authorities that are necessary to continue their respective businesses as currently conducted in the ordinary course of business.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in good faith contests its obligation to pay the taxes by appropriate proceedings promptly and diligently instituted and conducted. Neither Borrower nor any of its Subsidiaries is aware of any claims or adjustments proposed for any of Borrower’s or such Subsidiaries’, prior tax years which could result in additional taxes becoming due and payable by Borrower or its Subsidiaries in an amount greater than Fifty Thousand ($50,000) Dollars.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material liability of Borrower or its Subsidiaries, including any material liability to the Pension Benefit Guaranty Corporation or its successors or any other Governmental Authority.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5.9 Use of Proceeds. </w:t>
      </w:r>
      <w:r>
        <w:rPr>
          <w:rFonts w:ascii="Arial" w:cs="Arial" w:eastAsia="Arial" w:hAnsi="Arial"/>
          <w:sz w:val="18"/>
          <w:szCs w:val="18"/>
          <w:color w:val="auto"/>
        </w:rPr>
        <w:t>Borrower shall use the proceeds of the Term Loans solely as working capital and to fund its general business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 and not for personal, family, household or agricultural purposes.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5.10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4"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6.1 Government Compliance.</w:t>
      </w:r>
    </w:p>
    <w:p>
      <w:pPr>
        <w:spacing w:after="0" w:line="229" w:lineRule="exact"/>
        <w:rPr>
          <w:sz w:val="20"/>
          <w:szCs w:val="20"/>
          <w:color w:val="auto"/>
        </w:rPr>
      </w:pPr>
    </w:p>
    <w:p>
      <w:pPr>
        <w:jc w:val="both"/>
        <w:ind w:firstLine="1305"/>
        <w:spacing w:after="0" w:line="259" w:lineRule="auto"/>
        <w:tabs>
          <w:tab w:leader="none" w:pos="15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6.2 Financial Statements, Reports, Certificates; Notices.</w:t>
      </w:r>
    </w:p>
    <w:p>
      <w:pPr>
        <w:spacing w:after="0" w:line="229" w:lineRule="exact"/>
        <w:rPr>
          <w:sz w:val="20"/>
          <w:szCs w:val="20"/>
          <w:color w:val="auto"/>
        </w:rPr>
      </w:pPr>
    </w:p>
    <w:p>
      <w:pPr>
        <w:ind w:left="1540" w:hanging="235"/>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Deliver to Collateral Agent and each Lender:</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17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soon as available, but no later than forty-five (45) days after the last day of each quarter,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2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soon as available, but no later than ninety (90) days after the last day of Borrower’s fiscal year or within five (5) days of filing with the Securities and Exchange Commission, audited consolidated financial statements prepared under GAAP, consistently applied, together with an unqualified opinion on the financial statements from an independent certified public accounting firm acceptable to Collateral Agent in its reasonable discretion;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1953"/>
        <w:spacing w:after="0" w:line="279" w:lineRule="auto"/>
        <w:tabs>
          <w:tab w:leader="none" w:pos="2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the earlier of ten (10) days after such approval and sixty (60) days after the last day of Borrower’s fiscal year, Borrower’s annual (A) financial projections and (B) budget, in each case, for the entire current fiscal year as approved by Borrower’s board of directors; provided that, any revisions to such projections and/or budget approved by Borrower’s board of directors shall be delivered to Collateral Agent and the Lenders no later than seven (7) days after such approval);</w:t>
      </w:r>
    </w:p>
    <w:p>
      <w:pPr>
        <w:spacing w:after="0" w:line="171" w:lineRule="exact"/>
        <w:rPr>
          <w:rFonts w:ascii="Arial" w:cs="Arial" w:eastAsia="Arial" w:hAnsi="Arial"/>
          <w:sz w:val="17"/>
          <w:szCs w:val="17"/>
          <w:color w:val="auto"/>
        </w:rPr>
      </w:pPr>
    </w:p>
    <w:p>
      <w:pPr>
        <w:ind w:firstLine="1953"/>
        <w:spacing w:after="0" w:line="277" w:lineRule="auto"/>
        <w:tabs>
          <w:tab w:leader="none" w:pos="22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within five (5) days of delivery, copies of all non-ministerial statements, reports and notices made available to Borrower’s board of directors, security holders or holders of Subordinated Debt;</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within five (5) days of filing, all reports on Form 10-K, 10-Q and 8-K filed with the Securities and Exchange Commission;</w:t>
      </w:r>
    </w:p>
    <w:p>
      <w:pPr>
        <w:spacing w:after="0" w:line="236" w:lineRule="exact"/>
        <w:rPr>
          <w:rFonts w:ascii="Arial" w:cs="Arial" w:eastAsia="Arial" w:hAnsi="Arial"/>
          <w:sz w:val="17"/>
          <w:szCs w:val="17"/>
          <w:color w:val="auto"/>
        </w:rPr>
      </w:pPr>
    </w:p>
    <w:p>
      <w:pPr>
        <w:jc w:val="both"/>
        <w:ind w:right="20" w:firstLine="1953"/>
        <w:spacing w:after="0" w:line="264" w:lineRule="auto"/>
        <w:tabs>
          <w:tab w:leader="none" w:pos="2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(other than an Excluded Account), which statements may be provided to Collateral Agent and each Lender by Borrower or directly from the applicable institution(s);</w:t>
      </w:r>
    </w:p>
    <w:p>
      <w:pPr>
        <w:spacing w:after="0" w:line="181" w:lineRule="exact"/>
        <w:rPr>
          <w:rFonts w:ascii="Arial" w:cs="Arial" w:eastAsia="Arial" w:hAnsi="Arial"/>
          <w:sz w:val="18"/>
          <w:szCs w:val="18"/>
          <w:color w:val="auto"/>
        </w:rPr>
      </w:pPr>
    </w:p>
    <w:p>
      <w:pPr>
        <w:jc w:val="both"/>
        <w:ind w:right="20" w:firstLine="1953"/>
        <w:spacing w:after="0" w:line="312" w:lineRule="auto"/>
        <w:tabs>
          <w:tab w:leader="none" w:pos="2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6" w:lineRule="exact"/>
        <w:rPr>
          <w:rFonts w:ascii="Arial" w:cs="Arial" w:eastAsia="Arial" w:hAnsi="Arial"/>
          <w:sz w:val="16"/>
          <w:szCs w:val="16"/>
          <w:color w:val="auto"/>
        </w:rPr>
      </w:pPr>
    </w:p>
    <w:p>
      <w:pPr>
        <w:ind w:right="20" w:firstLine="1953"/>
        <w:spacing w:after="0" w:line="277" w:lineRule="auto"/>
        <w:tabs>
          <w:tab w:leader="none" w:pos="23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prompt notice of any event that (A) could reasonably be expected to materially and adversely affect the Borrower’s Intellectual Property and (B) could reasonably be expected to result in a Material Adverse Change;</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written notice at least (10) days’ prior to Borrower’s creation of a New Subsidiary in accordance with the terms of Section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6.10);</w:t>
      </w:r>
    </w:p>
    <w:p>
      <w:pPr>
        <w:spacing w:after="0" w:line="210" w:lineRule="exact"/>
        <w:rPr>
          <w:rFonts w:ascii="Arial" w:cs="Arial" w:eastAsia="Arial" w:hAnsi="Arial"/>
          <w:sz w:val="17"/>
          <w:szCs w:val="17"/>
          <w:color w:val="auto"/>
        </w:rPr>
      </w:pPr>
    </w:p>
    <w:p>
      <w:pPr>
        <w:jc w:val="both"/>
        <w:ind w:firstLine="1953"/>
        <w:spacing w:after="0" w:line="279" w:lineRule="auto"/>
        <w:tabs>
          <w:tab w:leader="none" w:pos="22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written notice at least (30) days’ prior to Borrower’s (A) adding any new offices or business locations, including warehouses (unless such new offices or business locations contain less than Two Hundred Fifty Thousand Dollars ($250,000.00) in assets or property of Borrower or any of its Subsidiaries), (B) changing its jurisdiction of organization, (C) changing its organizational structure or type, (D) change its legal name, (E) changing any organizational number (if any) assigned by its jurisdiction of organization, or (F) registering or filing any Intellectual Property;</w:t>
      </w:r>
    </w:p>
    <w:p>
      <w:pPr>
        <w:spacing w:after="0" w:line="171" w:lineRule="exact"/>
        <w:rPr>
          <w:rFonts w:ascii="Arial" w:cs="Arial" w:eastAsia="Arial" w:hAnsi="Arial"/>
          <w:sz w:val="17"/>
          <w:szCs w:val="17"/>
          <w:color w:val="auto"/>
        </w:rPr>
      </w:pPr>
    </w:p>
    <w:p>
      <w:pPr>
        <w:jc w:val="both"/>
        <w:ind w:right="20" w:firstLine="1953"/>
        <w:spacing w:after="0" w:line="259" w:lineRule="auto"/>
        <w:tabs>
          <w:tab w:leader="none" w:pos="22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spacing w:after="0" w:line="186" w:lineRule="exact"/>
        <w:rPr>
          <w:rFonts w:ascii="Arial" w:cs="Arial" w:eastAsia="Arial" w:hAnsi="Arial"/>
          <w:sz w:val="18"/>
          <w:szCs w:val="18"/>
          <w:color w:val="auto"/>
        </w:rPr>
      </w:pPr>
    </w:p>
    <w:p>
      <w:pPr>
        <w:jc w:val="both"/>
        <w:ind w:firstLine="1953"/>
        <w:spacing w:after="0" w:line="264" w:lineRule="auto"/>
        <w:tabs>
          <w:tab w:leader="none" w:pos="23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immediate notice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81" w:lineRule="exact"/>
        <w:rPr>
          <w:rFonts w:ascii="Arial" w:cs="Arial" w:eastAsia="Arial" w:hAnsi="Arial"/>
          <w:sz w:val="18"/>
          <w:szCs w:val="18"/>
          <w:color w:val="auto"/>
        </w:rPr>
      </w:pPr>
    </w:p>
    <w:p>
      <w:pPr>
        <w:ind w:left="2360" w:hanging="407"/>
        <w:spacing w:after="0"/>
        <w:tabs>
          <w:tab w:leader="none" w:pos="23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notice of any commercial tort claim with an expected value in excess of Fifty Thousand Dollars ($50,000) and of the general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details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1953"/>
        <w:spacing w:after="0" w:line="264" w:lineRule="auto"/>
        <w:tabs>
          <w:tab w:leader="none" w:pos="23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 and</w:t>
      </w:r>
    </w:p>
    <w:p>
      <w:pPr>
        <w:spacing w:after="0" w:line="181" w:lineRule="exact"/>
        <w:rPr>
          <w:rFonts w:ascii="Arial" w:cs="Arial" w:eastAsia="Arial" w:hAnsi="Arial"/>
          <w:sz w:val="18"/>
          <w:szCs w:val="18"/>
          <w:color w:val="auto"/>
        </w:rPr>
      </w:pPr>
    </w:p>
    <w:p>
      <w:pPr>
        <w:ind w:left="2300" w:hanging="347"/>
        <w:spacing w:after="0"/>
        <w:tabs>
          <w:tab w:leader="none" w:pos="2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jc w:val="both"/>
        <w:ind w:right="20" w:firstLine="1945"/>
        <w:spacing w:after="0" w:line="259" w:lineRule="auto"/>
        <w:rPr>
          <w:sz w:val="20"/>
          <w:szCs w:val="20"/>
          <w:color w:val="auto"/>
        </w:rPr>
      </w:pPr>
      <w:r>
        <w:rPr>
          <w:rFonts w:ascii="Arial" w:cs="Arial" w:eastAsia="Arial" w:hAnsi="Arial"/>
          <w:sz w:val="18"/>
          <w:szCs w:val="18"/>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w:t>
      </w:r>
    </w:p>
    <w:p>
      <w:pPr>
        <w:spacing w:after="0" w:line="187" w:lineRule="exact"/>
        <w:rPr>
          <w:sz w:val="20"/>
          <w:szCs w:val="20"/>
          <w:color w:val="auto"/>
        </w:rPr>
      </w:pPr>
    </w:p>
    <w:p>
      <w:pPr>
        <w:ind w:firstLine="1305"/>
        <w:spacing w:after="0" w:line="277" w:lineRule="auto"/>
        <w:tabs>
          <w:tab w:leader="none" w:pos="15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quarter, deliver to Collateral Agent and each Lender:</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21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 updated Perfection Certificate to reflect any amendments, modifications and updates to certain information in the Perfection Certificate after the Effective Date to the extent such amendments, modifications and updates are permitted by one or more specific provisions in this Agreement;</w:t>
      </w:r>
    </w:p>
    <w:p>
      <w:pPr>
        <w:spacing w:after="0" w:line="181" w:lineRule="exact"/>
        <w:rPr>
          <w:rFonts w:ascii="Arial" w:cs="Arial" w:eastAsia="Arial" w:hAnsi="Arial"/>
          <w:sz w:val="18"/>
          <w:szCs w:val="18"/>
          <w:color w:val="auto"/>
        </w:rPr>
      </w:pPr>
    </w:p>
    <w:p>
      <w:pPr>
        <w:ind w:left="2260" w:hanging="307"/>
        <w:spacing w:after="0"/>
        <w:tabs>
          <w:tab w:leader="none" w:pos="22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copies of any material Governmental Approvals obtained by Borrower or any of its Subsidiaries;</w:t>
      </w:r>
    </w:p>
    <w:p>
      <w:pPr>
        <w:spacing w:after="0" w:line="23" w:lineRule="exact"/>
        <w:rPr>
          <w:rFonts w:ascii="Arial" w:cs="Arial" w:eastAsia="Arial" w:hAnsi="Arial"/>
          <w:sz w:val="18"/>
          <w:szCs w:val="18"/>
          <w:color w:val="auto"/>
        </w:rPr>
      </w:pPr>
    </w:p>
    <w:p>
      <w:pPr>
        <w:ind w:left="2260" w:hanging="307"/>
        <w:spacing w:after="0"/>
        <w:tabs>
          <w:tab w:leader="none" w:pos="22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written notice of the commencement of, and any material development in, the proceedings contemplated by Section 5.8 hereof;</w:t>
      </w:r>
    </w:p>
    <w:p>
      <w:pPr>
        <w:spacing w:after="0" w:line="233" w:lineRule="exact"/>
        <w:rPr>
          <w:rFonts w:ascii="Arial" w:cs="Arial" w:eastAsia="Arial" w:hAnsi="Arial"/>
          <w:sz w:val="16"/>
          <w:szCs w:val="16"/>
          <w:color w:val="auto"/>
        </w:rPr>
      </w:pPr>
    </w:p>
    <w:p>
      <w:pPr>
        <w:jc w:val="both"/>
        <w:ind w:firstLine="1953"/>
        <w:spacing w:after="0" w:line="264" w:lineRule="auto"/>
        <w:tabs>
          <w:tab w:leader="none" w:pos="22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($250,000.00); and</w:t>
      </w:r>
    </w:p>
    <w:p>
      <w:pPr>
        <w:spacing w:after="0" w:line="181" w:lineRule="exact"/>
        <w:rPr>
          <w:rFonts w:ascii="Arial" w:cs="Arial" w:eastAsia="Arial" w:hAnsi="Arial"/>
          <w:sz w:val="18"/>
          <w:szCs w:val="18"/>
          <w:color w:val="auto"/>
        </w:rPr>
      </w:pPr>
    </w:p>
    <w:p>
      <w:pPr>
        <w:ind w:firstLine="1953"/>
        <w:spacing w:after="0" w:line="277" w:lineRule="auto"/>
        <w:tabs>
          <w:tab w:leader="none" w:pos="2265" w:val="left"/>
        </w:tabs>
        <w:numPr>
          <w:ilvl w:val="1"/>
          <w:numId w:val="34"/>
        </w:numPr>
        <w:rPr>
          <w:rFonts w:ascii="Arial" w:cs="Arial" w:eastAsia="Arial" w:hAnsi="Arial"/>
          <w:sz w:val="18"/>
          <w:szCs w:val="18"/>
          <w:color w:val="auto"/>
        </w:rPr>
      </w:pPr>
      <w:r>
        <w:rPr>
          <w:rFonts w:ascii="Arial" w:cs="Arial" w:eastAsia="Arial" w:hAnsi="Arial"/>
          <w:sz w:val="18"/>
          <w:szCs w:val="18"/>
          <w:color w:val="auto"/>
        </w:rPr>
        <w:t>written notice of all returns, recoveries, disputes and claims regarding Inventory that involve more than Two Hundred Fifty Thousand Dollars ($250,000.00) individually or in the aggregate in any calendar year.</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15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such Lender to communicate with Borrower’s accounting firm with respect to the consolidated financial statements delivered hereunder.</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and their respective Account Debtors shall follow Borrower’s, or such Subsidiary’s, customary practices as they exist at the Effective Date.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in an aggregate amount greater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Three Hundred Fifty Thousand Dollars ($350,000) and timely pay, and require each of its Subsidiaries to timely file, all foreign, federal, state, and local taxes, assessments, deposits and contributions owed by Borrower or its Subsidiaries in an aggregate amount greater than Three Hundred Fifty Thousand Dollars ($350,000), except as otherwise permitted pursuant to the terms of Section 5.8 hereof, and shall deliver to Collateral Agent and each Lender, on demand, appropriate certificates attesting to such payments, and pay all amounts necessary to fund all present pension, profit sharing and deferred compensation plans in accordance with the terms of such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6.5 Insurance. </w:t>
      </w:r>
      <w:r>
        <w:rPr>
          <w:rFonts w:ascii="Arial" w:cs="Arial" w:eastAsia="Arial" w:hAnsi="Arial"/>
          <w:sz w:val="17"/>
          <w:szCs w:val="17"/>
          <w:color w:val="auto"/>
        </w:rPr>
        <w:t>Keep Borrower’s and its Subsidiaries’ business and the Collateral insured for risks and in amounts standard for companies in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and its Subsidiaries’ industry and location and as Collateral Agent may reasonably request, including, but not limited to, D&amp;O insurance reasonably satisfactory to Collateral Agent.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within 90 days of receipt thereof up to Two Hundred Fifty Thousand Dollars ($250,000.00) with respect to any loss, but not exceeding Two Hundred Fifty Thousand Dollars ($250,000.00),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6.6 Operating Accounts.</w:t>
      </w:r>
    </w:p>
    <w:p>
      <w:pPr>
        <w:spacing w:after="0" w:line="229" w:lineRule="exact"/>
        <w:rPr>
          <w:sz w:val="20"/>
          <w:szCs w:val="20"/>
          <w:color w:val="auto"/>
        </w:rPr>
      </w:pPr>
    </w:p>
    <w:p>
      <w:pPr>
        <w:jc w:val="both"/>
        <w:ind w:firstLine="1305"/>
        <w:spacing w:after="0" w:line="255" w:lineRule="auto"/>
        <w:tabs>
          <w:tab w:leader="none" w:pos="15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Borrower shall provide Collateral Agent ten (10) days’ prior written notice before Borrower or any of its Subsidiaries establishes any Collateral Account (other than an Excluded Account). In addition, for each Collateral Account (other than an Excluded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Excluded Accounts.</w:t>
      </w:r>
    </w:p>
    <w:p>
      <w:pPr>
        <w:spacing w:after="0" w:line="189" w:lineRule="exact"/>
        <w:rPr>
          <w:rFonts w:ascii="Arial" w:cs="Arial" w:eastAsia="Arial" w:hAnsi="Arial"/>
          <w:sz w:val="18"/>
          <w:szCs w:val="18"/>
          <w:color w:val="auto"/>
        </w:rPr>
      </w:pPr>
    </w:p>
    <w:p>
      <w:pPr>
        <w:ind w:firstLine="1305"/>
        <w:spacing w:after="0" w:line="277" w:lineRule="auto"/>
        <w:tabs>
          <w:tab w:leader="none" w:pos="15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 6.6.</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Protection of Intellectual Property Rights. </w:t>
      </w:r>
      <w:r>
        <w:rPr>
          <w:rFonts w:ascii="Arial" w:cs="Arial" w:eastAsia="Arial" w:hAnsi="Arial"/>
          <w:sz w:val="18"/>
          <w:szCs w:val="18"/>
          <w:color w:val="auto"/>
        </w:rPr>
        <w:t>Borrower and each of its Subsidiaries shall: (a) protect, defend and maintain the validity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its Intellectual Property that is material to its business; (b) promptly advise Collateral Agent in writing of a challenge to the validity, or material infringement by a third party of its Intellectual Property; and (c) not allow any Intellectual Property material to its business to be abandoned, forfeited or dedicated to the public without Collateral Agent’s prior written consent.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6.9 Landlord Waivers; Bailee Waivers. </w:t>
      </w:r>
      <w:r>
        <w:rPr>
          <w:rFonts w:ascii="Arial" w:cs="Arial" w:eastAsia="Arial" w:hAnsi="Arial"/>
          <w:sz w:val="16"/>
          <w:szCs w:val="16"/>
          <w:color w:val="auto"/>
        </w:rPr>
        <w:t>In the event that Borrower or any of its Subsidiaries, after the Effective Date, intends to add any new</w:t>
      </w:r>
      <w:r>
        <w:rPr>
          <w:rFonts w:ascii="Arial" w:cs="Arial" w:eastAsia="Arial" w:hAnsi="Arial"/>
          <w:sz w:val="16"/>
          <w:szCs w:val="16"/>
          <w:b w:val="1"/>
          <w:bCs w:val="1"/>
          <w:color w:val="auto"/>
        </w:rPr>
        <w:t xml:space="preserve"> </w:t>
      </w:r>
      <w:r>
        <w:rPr>
          <w:rFonts w:ascii="Arial" w:cs="Arial" w:eastAsia="Arial" w:hAnsi="Arial"/>
          <w:sz w:val="16"/>
          <w:szCs w:val="16"/>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is valued in excess of Two Hundred Fifty Thousand Dollars ($250,000.00) in the aggregate, at Collateral Agent’s election,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6.10 Creation/Acquisition of Subsidiaries. </w:t>
      </w:r>
      <w:r>
        <w:rPr>
          <w:rFonts w:ascii="Arial" w:cs="Arial" w:eastAsia="Arial" w:hAnsi="Arial"/>
          <w:sz w:val="17"/>
          <w:szCs w:val="17"/>
          <w:color w:val="auto"/>
        </w:rPr>
        <w:t>In the event any Borrower or any Subsidiary of any Borrower creates or acquires any Subsidiary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Effective Date, Borrower or such Subsidiary shall promptly notify Bank of such creation or acquisition, and Borrower or such Subsidiary shall take all actions reasonably requested by Bank to achieve any of the following with respect to such “</w:t>
      </w:r>
      <w:r>
        <w:rPr>
          <w:rFonts w:ascii="Arial" w:cs="Arial" w:eastAsia="Arial" w:hAnsi="Arial"/>
          <w:sz w:val="17"/>
          <w:szCs w:val="17"/>
          <w:b w:val="1"/>
          <w:bCs w:val="1"/>
          <w:color w:val="auto"/>
        </w:rPr>
        <w:t>New Subsidiary</w:t>
      </w:r>
      <w:r>
        <w:rPr>
          <w:rFonts w:ascii="Arial" w:cs="Arial" w:eastAsia="Arial" w:hAnsi="Arial"/>
          <w:sz w:val="17"/>
          <w:szCs w:val="17"/>
          <w:color w:val="auto"/>
        </w:rPr>
        <w:t>” (defined as a Subsidiary formed after the date hereof during the term of this Agreement): (i) to cause such New Subsidiary to become either a co-Borrower hereunder, if such New Subsidiary is organized under the laws of the United States, or a secured guarantor with respect to the Obligations; and (ii) to grant and pledge to Collateral Agent a perfected security interest in 100% of the stock, units or other evidence of ownership held by Borrower or its Subsidiaries of any such New Subsidiary which is organized under the laws of the United States, and 65% of the stock, units or other evidence of ownership held by Borrower or its Subsidiaries of any such New Subsidiary which is not organized under the laws of the United States.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6.11 Further Assurances</w:t>
      </w:r>
      <w:r>
        <w:rPr>
          <w:rFonts w:ascii="Arial" w:cs="Arial" w:eastAsia="Arial" w:hAnsi="Arial"/>
          <w:sz w:val="18"/>
          <w:szCs w:val="18"/>
          <w:color w:val="auto"/>
        </w:rPr>
        <w:t>. Execute any further instruments and take further action as Collateral Agent or any Lender reasonably requests to perfect</w:t>
      </w:r>
      <w:r>
        <w:rPr>
          <w:rFonts w:ascii="Arial" w:cs="Arial" w:eastAsia="Arial" w:hAnsi="Arial"/>
          <w:sz w:val="18"/>
          <w:szCs w:val="18"/>
          <w:b w:val="1"/>
          <w:bCs w:val="1"/>
          <w:color w:val="auto"/>
        </w:rPr>
        <w:t xml:space="preserve"> </w:t>
      </w:r>
      <w:r>
        <w:rPr>
          <w:rFonts w:ascii="Arial" w:cs="Arial" w:eastAsia="Arial" w:hAnsi="Arial"/>
          <w:sz w:val="18"/>
          <w:szCs w:val="18"/>
          <w:color w:val="auto"/>
        </w:rPr>
        <w:t>or continue Collateral Agent’s Lien in the Collateral or to effect the purposes of this Agreement, including without limitation, permit Collateral Agent or any Lender to discuss Borrower’s financial condition with Borrower’s accountants.</w:t>
      </w:r>
    </w:p>
    <w:p>
      <w:pPr>
        <w:spacing w:after="0" w:line="176"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its business or property (including Intellectual Property), except for Transfers (a) of Inventory in the ordinary course of business; (b) of worn-out or obsolete Equipment; and (c) Permitted Liens, Permitted Investments and Permitted Licenses.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7.2 Changes in Business, Management, Ownership, or Business Locations. </w:t>
      </w:r>
      <w:r>
        <w:rPr>
          <w:rFonts w:ascii="Arial" w:cs="Arial" w:eastAsia="Arial" w:hAnsi="Arial"/>
          <w:sz w:val="17"/>
          <w:szCs w:val="17"/>
          <w:color w:val="auto"/>
        </w:rPr>
        <w:t>(a)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and each Lender within ten (10) days of such, or (ii) enter into any transaction or series of related transactions in which (A) the stockholders of Borrower who were not stockholders immediately prior to the first such transaction own more than 35% of the voting stock of Borrower immediately after giving effect to such transaction or related series of such transactions and (B) Borrower ceases to own 100% of the ownership interests of a Subsidiary of Borrower. Borrower shall not, without at least thirty (30) days’ prior written notice to Collateral Agent: (A) add any new offices or business locations, including warehouses (unless such new offices or business locations contain less than Two Hundred Fifty Thousand Dollars ($250,000.00)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7.5 Encumbrance. </w:t>
      </w:r>
      <w:r>
        <w:rPr>
          <w:rFonts w:ascii="Arial" w:cs="Arial" w:eastAsia="Arial" w:hAnsi="Arial"/>
          <w:sz w:val="17"/>
          <w:szCs w:val="17"/>
          <w:color w:val="auto"/>
        </w:rPr>
        <w:t>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 hereof.</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7.7 Restricted Payments. </w:t>
      </w:r>
      <w:r>
        <w:rPr>
          <w:rFonts w:ascii="Arial" w:cs="Arial" w:eastAsia="Arial" w:hAnsi="Arial"/>
          <w:sz w:val="16"/>
          <w:szCs w:val="16"/>
          <w:color w:val="auto"/>
        </w:rPr>
        <w:t>Pay any dividends (other than dividends payable solely in capital stock) or make any distribution or payment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or redeem, retire or purchase any capital stock (other than (i) repurchases pursuant to the terms of employee stock purchase plans, employee restricted stock agreements, stockholder rights plans, director or consultant stock option plans, or similar plans, provided in each case that such repurchases and payments do not exceed Three Hundred Thousand Dollars ($300,000.00) in the aggregate per fiscal year and (ii) payments related to share withholdings for individual taxes related to vested restricted stock units (RSUs), options and other equity grants made to employees, as permitted under the Borrower’s 2007 Incentive Stock and Awards Plan, as amended as of the date hereof, and required under certain of the Borrower’s equity grants and employment agreements, in each case as in effect as of the date hereof, and provided that in each case such payments or distributions (A) shall only be made with the proceeds of a simultaneous (subject to customary provisions in relation to the receipt of funds) equity or Subordinated Debt offering and (B) not permit the company’s net cash position (i.e. cash on balance sheet) to change in connection with such distributions or payments.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7.8 Investments. </w:t>
      </w:r>
      <w:r>
        <w:rPr>
          <w:rFonts w:ascii="Arial" w:cs="Arial" w:eastAsia="Arial" w:hAnsi="Arial"/>
          <w:sz w:val="17"/>
          <w:szCs w:val="17"/>
          <w:color w:val="auto"/>
        </w:rPr>
        <w:t>Directly or indirectly make any Investment other than Permitted Investments, or permit any of its Subsidiaries to do so.</w:t>
      </w:r>
    </w:p>
    <w:p>
      <w:pPr>
        <w:spacing w:after="0" w:line="2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7.9 Transactions with Affiliates. </w:t>
      </w:r>
      <w:r>
        <w:rPr>
          <w:rFonts w:ascii="Arial" w:cs="Arial" w:eastAsia="Arial" w:hAnsi="Arial"/>
          <w:sz w:val="18"/>
          <w:szCs w:val="18"/>
          <w:color w:val="auto"/>
        </w:rPr>
        <w:t>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7.10 Subordinated Debt. </w:t>
      </w:r>
      <w:r>
        <w:rPr>
          <w:rFonts w:ascii="Arial" w:cs="Arial" w:eastAsia="Arial" w:hAnsi="Arial"/>
          <w:sz w:val="18"/>
          <w:szCs w:val="18"/>
          <w:color w:val="auto"/>
        </w:rPr>
        <w:t>(a)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 without the consent of the Lenders, which consent shall not be unreasonably withheld, delayed or conditioned.</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7.11 Compliance. </w:t>
      </w:r>
      <w:r>
        <w:rPr>
          <w:rFonts w:ascii="Arial" w:cs="Arial" w:eastAsia="Arial" w:hAnsi="Arial"/>
          <w:sz w:val="17"/>
          <w:szCs w:val="17"/>
          <w:color w:val="auto"/>
        </w:rPr>
        <w:t>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if the violation could reasonably be expected to have a Material Adverse Change;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or any of its Subsidiaries, including any material liability to the Pension Benefit Guaranty Corporation or its successors or any other Governmental Authority.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7.12 Compliance with Anti-Terrorism Laws. </w:t>
      </w:r>
      <w:r>
        <w:rPr>
          <w:rFonts w:ascii="Arial" w:cs="Arial" w:eastAsia="Arial" w:hAnsi="Arial"/>
          <w:sz w:val="17"/>
          <w:szCs w:val="17"/>
          <w:color w:val="auto"/>
        </w:rPr>
        <w:t>Neither Borrower nor any of its Subsidiaries shall, nor shall Borrower or any of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7.13 Material Agreements. </w:t>
      </w:r>
      <w:r>
        <w:rPr>
          <w:rFonts w:ascii="Arial" w:cs="Arial" w:eastAsia="Arial" w:hAnsi="Arial"/>
          <w:sz w:val="18"/>
          <w:szCs w:val="18"/>
          <w:color w:val="auto"/>
        </w:rPr>
        <w:t>Neither Borrower nor any of its Subsidiaries shall, without the consent of Collateral Agent (which consent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unreasonably withheld, conditioned or otherwise delayed), (a) enter into a Material Agreement or (b) materially amend a Material Agreement, in each case if such action would materially and adversely affect the interests of the Lenders hereunder.</w:t>
      </w:r>
    </w:p>
    <w:p>
      <w:pPr>
        <w:spacing w:after="0" w:line="176"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on any Term Loan on its due date, or (b) pay any interest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or acceleration pursuant to Section 9.1 (a)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8.2 Covenant Default.</w:t>
      </w:r>
    </w:p>
    <w:p>
      <w:pPr>
        <w:spacing w:after="0" w:line="229" w:lineRule="exact"/>
        <w:rPr>
          <w:sz w:val="20"/>
          <w:szCs w:val="20"/>
          <w:color w:val="auto"/>
        </w:rPr>
      </w:pPr>
    </w:p>
    <w:p>
      <w:pPr>
        <w:jc w:val="both"/>
        <w:ind w:firstLine="1305"/>
        <w:spacing w:after="0" w:line="264" w:lineRule="auto"/>
        <w:tabs>
          <w:tab w:leader="none" w:pos="15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5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 For purposes of this Section 8.2(b) only, “Subsidiaries” shall exclude any single Subsidiary or group of Subsidiaries where such Subsidiary’s revenue or such group of Subsidiaries’ revenue (in each case in accordance with GAAP) or assets is less than 5.0% of the aggregate (A) revenue or (B) assets, of the Borrower and all its Subsidiaries, in each case measured on a consolidated basis for the Borrower and all its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color w:val="auto"/>
        </w:rPr>
        <w:t xml:space="preserve">8.3 Material Adverse Change. </w:t>
      </w:r>
      <w:r>
        <w:rPr>
          <w:rFonts w:ascii="Arial" w:cs="Arial" w:eastAsia="Arial" w:hAnsi="Arial"/>
          <w:sz w:val="18"/>
          <w:szCs w:val="18"/>
          <w:color w:val="auto"/>
        </w:rPr>
        <w:t>A Material Adverse Change has occurred;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229" w:lineRule="exact"/>
        <w:rPr>
          <w:sz w:val="20"/>
          <w:szCs w:val="20"/>
          <w:color w:val="auto"/>
        </w:rPr>
      </w:pPr>
    </w:p>
    <w:p>
      <w:pPr>
        <w:jc w:val="both"/>
        <w:ind w:firstLine="1305"/>
        <w:spacing w:after="0" w:line="257" w:lineRule="auto"/>
        <w:tabs>
          <w:tab w:leader="none" w:pos="155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thirty (30) days after the occurrence thereof, discharged or stayed (whether through the posting of a bond or otherwise); and</w:t>
      </w:r>
    </w:p>
    <w:p>
      <w:pPr>
        <w:spacing w:after="0" w:line="188" w:lineRule="exact"/>
        <w:rPr>
          <w:rFonts w:ascii="Arial" w:cs="Arial" w:eastAsia="Arial" w:hAnsi="Arial"/>
          <w:sz w:val="18"/>
          <w:szCs w:val="18"/>
          <w:color w:val="auto"/>
        </w:rPr>
      </w:pPr>
    </w:p>
    <w:p>
      <w:pPr>
        <w:ind w:firstLine="1305"/>
        <w:spacing w:after="0" w:line="308" w:lineRule="auto"/>
        <w:tabs>
          <w:tab w:leader="none" w:pos="15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sixty (60) days (but no Term Loans shall be extended while Borrower or any Subsidiary is Insolvent and/or until any Insolvency Proceeding is dismissed). For purposes of this Section 8.5 only, “Subsidiaries” shall exclude any single Subsidiary or group of Subsidiaries where such Subsidiary’s revenue or such group of Subsidiaries’ revenue (in each case in accordance with GAAP) or assets is less than 5.0% of the aggregate (A) revenue or (B) assets, of the Borrower and all its Subsidiaries, in each case measured on a consolidated basis for the Borrower and all its Subsidiaries.</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(a) a default in any agreement to which Borrower or any of its Subsidiaries is a party with a third party or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 (b) any default under a Material Agreement that permits the counterparty thereto to accelerate the payments owed thereunder; or (c) a revocation of a Material Agreement which is reasonably likely to cause a Material Adverse Change.</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8.7 Judgments. </w:t>
      </w:r>
      <w:r>
        <w:rPr>
          <w:rFonts w:ascii="Arial" w:cs="Arial" w:eastAsia="Arial" w:hAnsi="Arial"/>
          <w:sz w:val="17"/>
          <w:szCs w:val="17"/>
          <w:color w:val="auto"/>
        </w:rPr>
        <w:t>(a) One or more judgments, orders, or decrees for the payment of money in an amount, individually or in the aggregate, of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Two Hundred Fifty Thousand Dollars ($250,000.00) (not covered by independent third-party insurance) shall be rendered against Borrower or any of its Subsidiaries and shall remain unsatisfied, unvacated, or unstayed for a period of thirty (30) days after the entry thereof or (b) any judgments, orders or decrees rendered against Borrower that could reasonably be expected to result in a Material Adverse Change;</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8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any Material Agreement between Borrower or any of its Subsidiaries and any creditor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that signed a subordination, intercreditor, or other similar agreement with Collateral Agent or the Lenders, or any creditor that has signed such an agreement with Collateral Agent or the Lenders breaches any material terms of such agreement;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 8 occurs with respect to any Guarantor; or (d) a Material Adverse Change with respect to any Guarantor;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8.11 Governmental Approvals; FDA Action. </w:t>
      </w:r>
      <w:r>
        <w:rPr>
          <w:rFonts w:ascii="Arial" w:cs="Arial" w:eastAsia="Arial" w:hAnsi="Arial"/>
          <w:sz w:val="16"/>
          <w:szCs w:val="16"/>
          <w:color w:val="auto"/>
        </w:rPr>
        <w:t>(a) Any Governmental Approval shall have been revoked, rescinded, suspended, modified in an</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manner, or not renewed in the ordinary course for a full term and such revocation, rescission, suspension, modification or non-renewal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causes Borrower or any of its Subsidiaries to recall, withdraw, remove or discontinue manufacturing, distributing, and/or marketing any of its products that (i) for each individual product, constitute trailing twelve months revenues (in accordance with GAAP) to the Borrower and its Subsidiaries of at least $1,000,000, or (ii) in the aggregate for all such products, constitute trailing twelve months revenues (in accordance with GAAP) to the Borrower and its Subsidiaries of at least (A) $2,500,000, or (B) 5.0% of the total trailing twelve month revenue for Borrower and its Subsidiaries, whichever is greater, in each case even if such action is based on previously disclosed conduct; (ii) the FDA issues a warning letter or Regulatory Action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$1,000,000 or more; (iv) Borrower or any of its Subsidiaries enters into a settlement agreement with the FDA, DOJ, or other Governmental Authority that results in aggregate liability as to any single or related series of transactions, incidents or conditions, of $1,000,000 or more, or that could reasonably be expected to result in a Material Adverse Change even if such settlement agreement is based on previously disclosed conduct; or (v) Borrower or any of its Subsidiaries fails to make adequate progress remediating observations identified in an FDA Form 483 notice of inspection observation to Collateral Agent’s or, if agreed by the Collateral Agent and Borrower (which agreement by the Collateral Agent or Lenders shall not be unreasonably withheld or delayed), a qualified third party’s, reasonable satisfaction, within six months of receipt; or (vi) the FDA revokes any authorization or permission granted under any Registration, or Borrower or any of its Subsidiaries withdraws any Registration, that could reasonably be expected to result in a Material Adverse Change.</w:t>
      </w:r>
    </w:p>
    <w:p>
      <w:pPr>
        <w:spacing w:after="0" w:line="1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8.12 Lien Priority; Intellectual Property</w:t>
      </w:r>
      <w:r>
        <w:rPr>
          <w:rFonts w:ascii="Arial" w:cs="Arial" w:eastAsia="Arial" w:hAnsi="Arial"/>
          <w:sz w:val="18"/>
          <w:szCs w:val="18"/>
          <w:color w:val="auto"/>
        </w:rPr>
        <w:t>. Any Lien created hereunder or by any other Loan Document shall at any time fail to constitute a valid</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perfected Lien on any material portion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w:t>
      </w:r>
    </w:p>
    <w:p>
      <w:pPr>
        <w:spacing w:after="0" w:line="18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54" w:lineRule="auto"/>
        <w:tabs>
          <w:tab w:leader="none" w:pos="15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Collateral Agent may,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92" w:lineRule="exact"/>
        <w:rPr>
          <w:rFonts w:ascii="Arial" w:cs="Arial" w:eastAsia="Arial" w:hAnsi="Arial"/>
          <w:sz w:val="18"/>
          <w:szCs w:val="18"/>
          <w:color w:val="auto"/>
        </w:rPr>
      </w:pPr>
    </w:p>
    <w:p>
      <w:pPr>
        <w:ind w:firstLine="1305"/>
        <w:spacing w:after="0" w:line="277" w:lineRule="auto"/>
        <w:tabs>
          <w:tab w:leader="none" w:pos="15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right="20" w:firstLine="1953"/>
        <w:spacing w:after="0" w:line="277" w:lineRule="auto"/>
        <w:tabs>
          <w:tab w:leader="none" w:pos="22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ind w:left="2260" w:hanging="307"/>
        <w:spacing w:after="0"/>
        <w:tabs>
          <w:tab w:leader="none" w:pos="22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236" w:lineRule="exact"/>
        <w:rPr>
          <w:rFonts w:ascii="Arial" w:cs="Arial" w:eastAsia="Arial" w:hAnsi="Arial"/>
          <w:sz w:val="17"/>
          <w:szCs w:val="17"/>
          <w:color w:val="auto"/>
        </w:rPr>
      </w:pPr>
    </w:p>
    <w:p>
      <w:pPr>
        <w:ind w:firstLine="1305"/>
        <w:spacing w:after="0" w:line="308" w:lineRule="auto"/>
        <w:tabs>
          <w:tab w:leader="none" w:pos="15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firstLine="1953"/>
        <w:spacing w:after="0" w:line="342" w:lineRule="auto"/>
        <w:tabs>
          <w:tab w:leader="none" w:pos="2167" w:val="left"/>
        </w:tabs>
        <w:numPr>
          <w:ilvl w:val="1"/>
          <w:numId w:val="43"/>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4" w:lineRule="exact"/>
        <w:rPr>
          <w:sz w:val="20"/>
          <w:szCs w:val="20"/>
          <w:color w:val="auto"/>
        </w:rPr>
      </w:pPr>
    </w:p>
    <w:p>
      <w:pPr>
        <w:jc w:val="both"/>
        <w:ind w:firstLine="1953"/>
        <w:spacing w:after="0" w:line="297" w:lineRule="auto"/>
        <w:tabs>
          <w:tab w:leader="none" w:pos="2216"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58" w:lineRule="exact"/>
        <w:rPr>
          <w:rFonts w:ascii="Arial" w:cs="Arial" w:eastAsia="Arial" w:hAnsi="Arial"/>
          <w:sz w:val="16"/>
          <w:szCs w:val="16"/>
          <w:color w:val="auto"/>
        </w:rPr>
      </w:pPr>
    </w:p>
    <w:p>
      <w:pPr>
        <w:jc w:val="both"/>
        <w:ind w:firstLine="1953"/>
        <w:spacing w:after="0" w:line="255" w:lineRule="auto"/>
        <w:tabs>
          <w:tab w:leader="none" w:pos="22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firstLine="1953"/>
        <w:spacing w:after="0" w:line="308" w:lineRule="auto"/>
        <w:tabs>
          <w:tab w:leader="none" w:pos="2264" w:val="left"/>
        </w:tabs>
        <w:numPr>
          <w:ilvl w:val="0"/>
          <w:numId w:val="44"/>
        </w:numPr>
        <w:rPr>
          <w:rFonts w:ascii="Arial" w:cs="Arial" w:eastAsia="Arial" w:hAnsi="Arial"/>
          <w:sz w:val="17"/>
          <w:szCs w:val="17"/>
          <w:color w:val="auto"/>
        </w:rPr>
      </w:pPr>
      <w:r>
        <w:rPr>
          <w:rFonts w:ascii="Arial" w:cs="Arial" w:eastAsia="Arial" w:hAnsi="Arial"/>
          <w:sz w:val="17"/>
          <w:szCs w:val="17"/>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46" w:lineRule="exact"/>
        <w:rPr>
          <w:rFonts w:ascii="Arial" w:cs="Arial" w:eastAsia="Arial" w:hAnsi="Arial"/>
          <w:sz w:val="17"/>
          <w:szCs w:val="17"/>
          <w:color w:val="auto"/>
        </w:rPr>
      </w:pPr>
    </w:p>
    <w:p>
      <w:pPr>
        <w:ind w:left="2200" w:hanging="247"/>
        <w:spacing w:after="0"/>
        <w:tabs>
          <w:tab w:leader="none" w:pos="2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2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1" w:lineRule="exact"/>
        <w:rPr>
          <w:rFonts w:ascii="Arial" w:cs="Arial" w:eastAsia="Arial" w:hAnsi="Arial"/>
          <w:sz w:val="18"/>
          <w:szCs w:val="18"/>
          <w:color w:val="auto"/>
        </w:rPr>
      </w:pPr>
    </w:p>
    <w:p>
      <w:pPr>
        <w:ind w:right="20" w:firstLine="1953"/>
        <w:spacing w:after="0" w:line="342" w:lineRule="auto"/>
        <w:tabs>
          <w:tab w:leader="none" w:pos="23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extend Term Loans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Term Loans terminates.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9.3 Protective Payments. </w:t>
      </w:r>
      <w:r>
        <w:rPr>
          <w:rFonts w:ascii="Arial" w:cs="Arial" w:eastAsia="Arial" w:hAnsi="Arial"/>
          <w:sz w:val="16"/>
          <w:szCs w:val="16"/>
          <w:color w:val="auto"/>
        </w:rPr>
        <w:t>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9.6 No Waiver; Remedies Cumulative. </w:t>
      </w:r>
      <w:r>
        <w:rPr>
          <w:rFonts w:ascii="Arial" w:cs="Arial" w:eastAsia="Arial" w:hAnsi="Arial"/>
          <w:sz w:val="18"/>
          <w:szCs w:val="18"/>
          <w:color w:val="auto"/>
        </w:rPr>
        <w:t>Failure by Collateral Agent or any Lender, at any time or times, to require strict performance by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6"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notices, consents, requests, approvals, demands, or other communication (collectively, “</w:t>
      </w:r>
      <w:r>
        <w:rPr>
          <w:rFonts w:ascii="Arial" w:cs="Arial" w:eastAsia="Arial" w:hAnsi="Arial"/>
          <w:sz w:val="17"/>
          <w:szCs w:val="17"/>
          <w:b w:val="1"/>
          <w:bCs w:val="1"/>
          <w:color w:val="auto"/>
        </w:rPr>
        <w:t>Communication</w:t>
      </w:r>
      <w:r>
        <w:rPr>
          <w:rFonts w:ascii="Arial" w:cs="Arial" w:eastAsia="Arial" w:hAnsi="Arial"/>
          <w:sz w:val="17"/>
          <w:szCs w:val="17"/>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ind w:left="1140"/>
              <w:spacing w:after="0"/>
              <w:rPr>
                <w:sz w:val="20"/>
                <w:szCs w:val="20"/>
                <w:color w:val="auto"/>
              </w:rPr>
            </w:pPr>
            <w:r>
              <w:rPr>
                <w:rFonts w:ascii="Arial" w:cs="Arial" w:eastAsia="Arial" w:hAnsi="Arial"/>
                <w:sz w:val="18"/>
                <w:szCs w:val="18"/>
                <w:color w:val="auto"/>
              </w:rPr>
              <w:t>If to Borrower:</w:t>
            </w:r>
          </w:p>
        </w:tc>
        <w:tc>
          <w:tcPr>
            <w:tcW w:w="6240" w:type="dxa"/>
            <w:vAlign w:val="bottom"/>
          </w:tcPr>
          <w:p>
            <w:pPr>
              <w:ind w:left="920"/>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12264 El Camino Real, Suite 350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San Diego, CA 92130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Attn: Andrew Boll</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Fax: 858-345-1745</w:t>
            </w:r>
          </w:p>
        </w:tc>
      </w:tr>
      <w:tr>
        <w:trPr>
          <w:trHeight w:val="230"/>
        </w:trPr>
        <w:tc>
          <w:tcPr>
            <w:tcW w:w="5180" w:type="dxa"/>
            <w:vAlign w:val="bottom"/>
          </w:tcPr>
          <w:p>
            <w:pPr>
              <w:spacing w:after="0"/>
              <w:rPr>
                <w:sz w:val="20"/>
                <w:szCs w:val="20"/>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Email: aboll@imprimispharma.com</w:t>
            </w:r>
          </w:p>
        </w:tc>
      </w:tr>
      <w:tr>
        <w:trPr>
          <w:trHeight w:val="418"/>
        </w:trPr>
        <w:tc>
          <w:tcPr>
            <w:tcW w:w="5180" w:type="dxa"/>
            <w:vAlign w:val="bottom"/>
          </w:tcPr>
          <w:p>
            <w:pPr>
              <w:ind w:left="1140"/>
              <w:spacing w:after="0"/>
              <w:rPr>
                <w:sz w:val="20"/>
                <w:szCs w:val="20"/>
                <w:color w:val="auto"/>
              </w:rPr>
            </w:pPr>
            <w:r>
              <w:rPr>
                <w:rFonts w:ascii="Arial" w:cs="Arial" w:eastAsia="Arial" w:hAnsi="Arial"/>
                <w:sz w:val="18"/>
                <w:szCs w:val="18"/>
                <w:color w:val="auto"/>
              </w:rPr>
              <w:t>with a copy (which shall not constitute notice) to:</w:t>
            </w:r>
          </w:p>
        </w:tc>
        <w:tc>
          <w:tcPr>
            <w:tcW w:w="6240" w:type="dxa"/>
            <w:vAlign w:val="bottom"/>
          </w:tcPr>
          <w:p>
            <w:pPr>
              <w:ind w:left="920"/>
              <w:spacing w:after="0"/>
              <w:rPr>
                <w:sz w:val="20"/>
                <w:szCs w:val="20"/>
                <w:color w:val="auto"/>
              </w:rPr>
            </w:pPr>
            <w:r>
              <w:rPr>
                <w:rFonts w:ascii="Arial" w:cs="Arial" w:eastAsia="Arial" w:hAnsi="Arial"/>
                <w:sz w:val="18"/>
                <w:szCs w:val="18"/>
                <w:color w:val="auto"/>
              </w:rPr>
              <w:t>MORRISON &amp; FOERSTER LLP</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12531 High Bluff Drive, Suite 100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San Diego, CA 92130-2040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Attn: Steve Rowles</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Fax: (858) 720-5125</w:t>
            </w:r>
          </w:p>
        </w:tc>
      </w:tr>
      <w:tr>
        <w:trPr>
          <w:trHeight w:val="230"/>
        </w:trPr>
        <w:tc>
          <w:tcPr>
            <w:tcW w:w="5180" w:type="dxa"/>
            <w:vAlign w:val="bottom"/>
          </w:tcPr>
          <w:p>
            <w:pPr>
              <w:spacing w:after="0"/>
              <w:rPr>
                <w:sz w:val="20"/>
                <w:szCs w:val="20"/>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Email: srowles@mofo.com</w:t>
            </w:r>
          </w:p>
        </w:tc>
      </w:tr>
      <w:tr>
        <w:trPr>
          <w:trHeight w:val="418"/>
        </w:trPr>
        <w:tc>
          <w:tcPr>
            <w:tcW w:w="5180" w:type="dxa"/>
            <w:vAlign w:val="bottom"/>
          </w:tcPr>
          <w:p>
            <w:pPr>
              <w:ind w:left="1140"/>
              <w:spacing w:after="0"/>
              <w:rPr>
                <w:sz w:val="20"/>
                <w:szCs w:val="20"/>
                <w:color w:val="auto"/>
              </w:rPr>
            </w:pPr>
            <w:r>
              <w:rPr>
                <w:rFonts w:ascii="Arial" w:cs="Arial" w:eastAsia="Arial" w:hAnsi="Arial"/>
                <w:sz w:val="18"/>
                <w:szCs w:val="18"/>
                <w:color w:val="auto"/>
              </w:rPr>
              <w:t>If to Collateral Agent:</w:t>
            </w:r>
          </w:p>
        </w:tc>
        <w:tc>
          <w:tcPr>
            <w:tcW w:w="6240" w:type="dxa"/>
            <w:vAlign w:val="bottom"/>
          </w:tcPr>
          <w:p>
            <w:pPr>
              <w:ind w:left="920"/>
              <w:spacing w:after="0"/>
              <w:rPr>
                <w:sz w:val="20"/>
                <w:szCs w:val="20"/>
                <w:color w:val="auto"/>
              </w:rPr>
            </w:pPr>
            <w:r>
              <w:rPr>
                <w:rFonts w:ascii="Arial" w:cs="Arial" w:eastAsia="Arial" w:hAnsi="Arial"/>
                <w:sz w:val="18"/>
                <w:szCs w:val="18"/>
                <w:color w:val="auto"/>
              </w:rPr>
              <w:t>IMMY FUNDING LLC</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c/o Life Sciences Alternative Funding LLC</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50 Main Street</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Suite 1000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White Plains, NY 10606</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Attention: Stephen J. DeNelsky</w:t>
            </w:r>
          </w:p>
        </w:tc>
      </w:tr>
      <w:tr>
        <w:trPr>
          <w:trHeight w:val="230"/>
        </w:trPr>
        <w:tc>
          <w:tcPr>
            <w:tcW w:w="5180" w:type="dxa"/>
            <w:vAlign w:val="bottom"/>
          </w:tcPr>
          <w:p>
            <w:pPr>
              <w:spacing w:after="0"/>
              <w:rPr>
                <w:sz w:val="20"/>
                <w:szCs w:val="20"/>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Email: steve@lsafunding.com</w:t>
            </w:r>
          </w:p>
        </w:tc>
      </w:tr>
      <w:tr>
        <w:trPr>
          <w:trHeight w:val="418"/>
        </w:trPr>
        <w:tc>
          <w:tcPr>
            <w:tcW w:w="5180" w:type="dxa"/>
            <w:vAlign w:val="bottom"/>
          </w:tcPr>
          <w:p>
            <w:pPr>
              <w:ind w:left="1140"/>
              <w:spacing w:after="0"/>
              <w:rPr>
                <w:sz w:val="20"/>
                <w:szCs w:val="20"/>
                <w:color w:val="auto"/>
              </w:rPr>
            </w:pPr>
            <w:r>
              <w:rPr>
                <w:rFonts w:ascii="Arial" w:cs="Arial" w:eastAsia="Arial" w:hAnsi="Arial"/>
                <w:sz w:val="18"/>
                <w:szCs w:val="18"/>
                <w:color w:val="auto"/>
              </w:rPr>
              <w:t>with a copy (which shall not constitute notice) to:</w:t>
            </w:r>
          </w:p>
        </w:tc>
        <w:tc>
          <w:tcPr>
            <w:tcW w:w="6240" w:type="dxa"/>
            <w:vAlign w:val="bottom"/>
          </w:tcPr>
          <w:p>
            <w:pPr>
              <w:ind w:left="920"/>
              <w:spacing w:after="0"/>
              <w:rPr>
                <w:sz w:val="20"/>
                <w:szCs w:val="20"/>
                <w:color w:val="auto"/>
              </w:rPr>
            </w:pPr>
            <w:r>
              <w:rPr>
                <w:rFonts w:ascii="Arial" w:cs="Arial" w:eastAsia="Arial" w:hAnsi="Arial"/>
                <w:sz w:val="18"/>
                <w:szCs w:val="18"/>
                <w:color w:val="auto"/>
              </w:rPr>
              <w:t>LATHAM &amp; WATKINS LLP</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505 Montgomery Street</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Suite 2000</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San Francisco, CA 94111-6538</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Attn: Haim Zaltzman</w:t>
            </w:r>
          </w:p>
        </w:tc>
      </w:tr>
      <w:tr>
        <w:trPr>
          <w:trHeight w:val="216"/>
        </w:trPr>
        <w:tc>
          <w:tcPr>
            <w:tcW w:w="5180" w:type="dxa"/>
            <w:vAlign w:val="bottom"/>
          </w:tcPr>
          <w:p>
            <w:pPr>
              <w:spacing w:after="0"/>
              <w:rPr>
                <w:sz w:val="18"/>
                <w:szCs w:val="18"/>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Fax: 415.395.8095</w:t>
            </w:r>
          </w:p>
        </w:tc>
      </w:tr>
      <w:tr>
        <w:trPr>
          <w:trHeight w:val="230"/>
        </w:trPr>
        <w:tc>
          <w:tcPr>
            <w:tcW w:w="5180" w:type="dxa"/>
            <w:vAlign w:val="bottom"/>
          </w:tcPr>
          <w:p>
            <w:pPr>
              <w:spacing w:after="0"/>
              <w:rPr>
                <w:sz w:val="20"/>
                <w:szCs w:val="20"/>
                <w:color w:val="auto"/>
              </w:rPr>
            </w:pPr>
          </w:p>
        </w:tc>
        <w:tc>
          <w:tcPr>
            <w:tcW w:w="6240" w:type="dxa"/>
            <w:vAlign w:val="bottom"/>
          </w:tcPr>
          <w:p>
            <w:pPr>
              <w:ind w:left="920"/>
              <w:spacing w:after="0"/>
              <w:rPr>
                <w:sz w:val="20"/>
                <w:szCs w:val="20"/>
                <w:color w:val="auto"/>
              </w:rPr>
            </w:pPr>
            <w:r>
              <w:rPr>
                <w:rFonts w:ascii="Arial" w:cs="Arial" w:eastAsia="Arial" w:hAnsi="Arial"/>
                <w:sz w:val="18"/>
                <w:szCs w:val="18"/>
                <w:color w:val="auto"/>
              </w:rPr>
              <w:t>Email: haim.zaltzman@lw.com</w:t>
            </w:r>
          </w:p>
        </w:tc>
      </w:tr>
      <w:tr>
        <w:trPr>
          <w:trHeight w:val="439"/>
        </w:trPr>
        <w:tc>
          <w:tcPr>
            <w:tcW w:w="51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661" w:right="239" w:bottom="1440" w:gutter="0" w:footer="0" w:header="0"/>
        </w:sectPr>
      </w:pPr>
    </w:p>
    <w:bookmarkStart w:id="36" w:name="page37"/>
    <w:bookmarkEnd w:id="36"/>
    <w:p>
      <w:pPr>
        <w:ind w:left="260" w:hanging="252"/>
        <w:spacing w:after="0"/>
        <w:tabs>
          <w:tab w:leader="none" w:pos="2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11.1 Waiver of Jury Trial. </w:t>
      </w:r>
      <w:r>
        <w:rPr>
          <w:rFonts w:ascii="Arial" w:cs="Arial" w:eastAsia="Arial" w:hAnsi="Arial"/>
          <w:sz w:val="17"/>
          <w:szCs w:val="17"/>
          <w:color w:val="auto"/>
        </w:rPr>
        <w:t>EACH OF BORROWER, COLLATERAL AGENT AND LENDERS UNCONDITIONALLY WAIVES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11.2 Governing Law and Jurisdiction.</w:t>
      </w:r>
    </w:p>
    <w:p>
      <w:pPr>
        <w:spacing w:after="0" w:line="229" w:lineRule="exact"/>
        <w:rPr>
          <w:sz w:val="20"/>
          <w:szCs w:val="20"/>
          <w:color w:val="auto"/>
        </w:rPr>
      </w:pPr>
    </w:p>
    <w:p>
      <w:pPr>
        <w:jc w:val="both"/>
        <w:ind w:firstLine="1305"/>
        <w:spacing w:after="0" w:line="270" w:lineRule="auto"/>
        <w:tabs>
          <w:tab w:leader="none" w:pos="15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1" w:lineRule="exact"/>
        <w:rPr>
          <w:rFonts w:ascii="Arial" w:cs="Arial" w:eastAsia="Arial" w:hAnsi="Arial"/>
          <w:sz w:val="17"/>
          <w:szCs w:val="17"/>
          <w:color w:val="auto"/>
        </w:rPr>
      </w:pPr>
    </w:p>
    <w:p>
      <w:pPr>
        <w:jc w:val="both"/>
        <w:ind w:firstLine="1305"/>
        <w:spacing w:after="0" w:line="254" w:lineRule="auto"/>
        <w:tabs>
          <w:tab w:leader="none" w:pos="156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that any of them may now or hereafter have to the bringing of any such action or proceeding in such jurisdictions.</w:t>
      </w:r>
    </w:p>
    <w:p>
      <w:pPr>
        <w:spacing w:after="0" w:line="192" w:lineRule="exact"/>
        <w:rPr>
          <w:rFonts w:ascii="Arial" w:cs="Arial" w:eastAsia="Arial" w:hAnsi="Arial"/>
          <w:sz w:val="18"/>
          <w:szCs w:val="18"/>
          <w:color w:val="auto"/>
        </w:rPr>
      </w:pPr>
    </w:p>
    <w:p>
      <w:pPr>
        <w:jc w:val="both"/>
        <w:ind w:firstLine="1305"/>
        <w:spacing w:after="0" w:line="273" w:lineRule="auto"/>
        <w:tabs>
          <w:tab w:leader="none" w:pos="1541"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both"/>
        <w:ind w:firstLine="1305"/>
        <w:spacing w:after="0" w:line="264" w:lineRule="auto"/>
        <w:tabs>
          <w:tab w:leader="none" w:pos="1551"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Non-exclusive Jurisdiction</w:t>
      </w:r>
      <w:r>
        <w:rPr>
          <w:rFonts w:ascii="Arial" w:cs="Arial" w:eastAsia="Arial" w:hAnsi="Arial"/>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177"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except, unless an Event of Default has occurred and is continuing, and other than to an Affiliate of Lender, to (i) any Person that sells, markets, manufactures or produces products and services in competition with Borrower, or (ii) any vulture fund or similar type of investor whose primary investment strategy consists of investments in and purchases of debt of distressed companies to control and dispose of the assets of such companies, each as reasonably determined by the Collateral Agent.</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consultants, agents, attorneys, or any other Person affiliated with or representing Collateral Agent or the Lenders (each,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12.3 Severability of Provisions. </w:t>
      </w:r>
      <w:r>
        <w:rPr>
          <w:rFonts w:ascii="Arial" w:cs="Arial" w:eastAsia="Arial" w:hAnsi="Arial"/>
          <w:sz w:val="18"/>
          <w:szCs w:val="18"/>
          <w:color w:val="auto"/>
        </w:rPr>
        <w:t>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12.4 Correction of Loan Documents. </w:t>
      </w:r>
      <w:r>
        <w:rPr>
          <w:rFonts w:ascii="Arial" w:cs="Arial" w:eastAsia="Arial" w:hAnsi="Arial"/>
          <w:sz w:val="18"/>
          <w:szCs w:val="18"/>
          <w:color w:val="auto"/>
        </w:rPr>
        <w:t>Collateral Agent may correct patent errors and fill in any blanks in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r>
        <w:rPr>
          <w:rFonts w:ascii="Arial" w:cs="Arial" w:eastAsia="Arial" w:hAnsi="Arial"/>
          <w:sz w:val="18"/>
          <w:szCs w:val="18"/>
          <w:b w:val="1"/>
          <w:b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12.5 Amendments in Writing; Integration. </w:t>
      </w:r>
      <w:r>
        <w:rPr>
          <w:rFonts w:ascii="Arial" w:cs="Arial" w:eastAsia="Arial" w:hAnsi="Arial"/>
          <w:sz w:val="17"/>
          <w:szCs w:val="17"/>
          <w:color w:val="auto"/>
        </w:rPr>
        <w:t>(a) No amendment, modification, termination or waiver of any provision of this Agreement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20" w:firstLine="1953"/>
        <w:spacing w:after="0" w:line="277" w:lineRule="auto"/>
        <w:tabs>
          <w:tab w:leader="none" w:pos="2172"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firstLine="1953"/>
        <w:spacing w:after="0" w:line="277" w:lineRule="auto"/>
        <w:tabs>
          <w:tab w:leader="none" w:pos="2239"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 and</w:t>
      </w:r>
    </w:p>
    <w:p>
      <w:pPr>
        <w:spacing w:after="0" w:line="170" w:lineRule="exact"/>
        <w:rPr>
          <w:rFonts w:ascii="Arial" w:cs="Arial" w:eastAsia="Arial" w:hAnsi="Arial"/>
          <w:sz w:val="18"/>
          <w:szCs w:val="18"/>
          <w:color w:val="auto"/>
        </w:rPr>
      </w:pPr>
    </w:p>
    <w:p>
      <w:pPr>
        <w:jc w:val="both"/>
        <w:ind w:firstLine="1953"/>
        <w:spacing w:after="0" w:line="285" w:lineRule="auto"/>
        <w:tabs>
          <w:tab w:leader="none" w:pos="2266" w:val="left"/>
        </w:tabs>
        <w:numPr>
          <w:ilvl w:val="1"/>
          <w:numId w:val="51"/>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177" w:lineRule="exact"/>
        <w:rPr>
          <w:rFonts w:ascii="Arial" w:cs="Arial" w:eastAsia="Arial" w:hAnsi="Arial"/>
          <w:sz w:val="16"/>
          <w:szCs w:val="16"/>
          <w:color w:val="auto"/>
        </w:rPr>
      </w:pPr>
    </w:p>
    <w:p>
      <w:pPr>
        <w:ind w:firstLine="1305"/>
        <w:spacing w:after="0" w:line="277" w:lineRule="auto"/>
        <w:tabs>
          <w:tab w:leader="none" w:pos="15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15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12.6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12.7 Survival. </w:t>
      </w:r>
      <w:r>
        <w:rPr>
          <w:rFonts w:ascii="Arial" w:cs="Arial" w:eastAsia="Arial" w:hAnsi="Arial"/>
          <w:sz w:val="16"/>
          <w:szCs w:val="16"/>
          <w:color w:val="auto"/>
        </w:rPr>
        <w:t>All covenants, representations and warranties made in this Agreement continue in full force and effect until this Agreement has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3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12.9 Right of Set Off. </w:t>
      </w:r>
      <w:r>
        <w:rPr>
          <w:rFonts w:ascii="Arial" w:cs="Arial" w:eastAsia="Arial" w:hAnsi="Arial"/>
          <w:sz w:val="16"/>
          <w:szCs w:val="16"/>
          <w:color w:val="auto"/>
        </w:rPr>
        <w:t>Borrower hereby grants to Collateral Agent and to each Lender, a lien, security interest and right of set off as security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12.10 Cooperation of Borrower. </w:t>
      </w:r>
      <w:r>
        <w:rPr>
          <w:rFonts w:ascii="Arial" w:cs="Arial" w:eastAsia="Arial" w:hAnsi="Arial"/>
          <w:sz w:val="17"/>
          <w:szCs w:val="17"/>
          <w:color w:val="auto"/>
        </w:rPr>
        <w:t>If necessary, Borrower agrees to (i) execute any documents reasonably required to effectuate and acknowledge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each assignment of a Term Loan Commitment or Term Loan to an assignee in accordance with Section 12.1, (ii) make Borrower’s management available to meet with Collateral Agent and prospective participants and assignees of Term Loan Commitments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12.8,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12.11 Public Announcement. </w:t>
      </w:r>
      <w:r>
        <w:rPr>
          <w:rFonts w:ascii="Arial" w:cs="Arial" w:eastAsia="Arial" w:hAnsi="Arial"/>
          <w:sz w:val="18"/>
          <w:szCs w:val="18"/>
          <w:color w:val="auto"/>
        </w:rPr>
        <w:t>Borrower hereby agrees that Collateral Agent and each Lender may make a public announcement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and may publicize the same in marketing materials, newspapers and other publications, and otherwise, and in connection therewith may use Borrower’s name, tradenames and logos.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12.12 Collateral Agent and Lender Agreement. </w:t>
      </w:r>
      <w:r>
        <w:rPr>
          <w:rFonts w:ascii="Arial" w:cs="Arial" w:eastAsia="Arial" w:hAnsi="Arial"/>
          <w:sz w:val="18"/>
          <w:szCs w:val="18"/>
          <w:color w:val="auto"/>
        </w:rPr>
        <w:t>Collateral Agent and each Lender hereby agree to the terms and conditions set forth on 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Borrower acknowledges and agrees to the terms and conditions set forth on Exhibit B attached 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L. Baum</w:t>
            </w:r>
          </w:p>
        </w:tc>
      </w:tr>
      <w:tr>
        <w:trPr>
          <w:trHeight w:val="439"/>
        </w:trPr>
        <w:tc>
          <w:tcPr>
            <w:tcW w:w="116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IMMY FUNDING LLC</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23495</wp:posOffset>
            </wp:positionV>
            <wp:extent cx="30956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30956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14605</wp:posOffset>
            </wp:positionV>
            <wp:extent cx="30956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95625" cy="17145"/>
                    </a:xfrm>
                    <a:prstGeom prst="rect">
                      <a:avLst/>
                    </a:prstGeom>
                    <a:noFill/>
                  </pic:spPr>
                </pic:pic>
              </a:graphicData>
            </a:graphic>
          </wp:anchor>
        </w:drawing>
      </w:r>
    </w:p>
    <w:p>
      <w:pPr>
        <w:spacing w:after="0" w:line="2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Term A Loans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0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3"/>
              </w:rPr>
              <w:t>Lender</w:t>
            </w:r>
          </w:p>
        </w:tc>
        <w:tc>
          <w:tcPr>
            <w:tcW w:w="5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Term Loan Commitment</w:t>
            </w:r>
          </w:p>
        </w:tc>
        <w:tc>
          <w:tcPr>
            <w:tcW w:w="260" w:type="dxa"/>
            <w:vAlign w:val="bottom"/>
            <w:tcBorders>
              <w:top w:val="single" w:sz="8" w:color="auto"/>
              <w:bottom w:val="single" w:sz="8" w:color="CCEEFF"/>
            </w:tcBorders>
          </w:tcPr>
          <w:p>
            <w:pPr>
              <w:spacing w:after="0"/>
              <w:rPr>
                <w:sz w:val="20"/>
                <w:szCs w:val="20"/>
                <w:color w:val="auto"/>
              </w:rPr>
            </w:pPr>
          </w:p>
        </w:tc>
        <w:tc>
          <w:tcPr>
            <w:tcW w:w="2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Commitment Percentage</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IMMY Funding LLC</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2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2"/>
              </w:rPr>
              <w:t>100.00%</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020" w:type="dxa"/>
            <w:vAlign w:val="bottom"/>
          </w:tcPr>
          <w:p>
            <w:pPr>
              <w:jc w:val="center"/>
              <w:ind w:left="470"/>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10,000,000.00</w:t>
            </w:r>
          </w:p>
        </w:tc>
        <w:tc>
          <w:tcPr>
            <w:tcW w:w="260" w:type="dxa"/>
            <w:vAlign w:val="bottom"/>
          </w:tcPr>
          <w:p>
            <w:pPr>
              <w:spacing w:after="0"/>
              <w:rPr>
                <w:sz w:val="20"/>
                <w:szCs w:val="20"/>
                <w:color w:val="auto"/>
              </w:rPr>
            </w:pPr>
          </w:p>
        </w:tc>
        <w:tc>
          <w:tcPr>
            <w:tcW w:w="2620" w:type="dxa"/>
            <w:vAlign w:val="bottom"/>
            <w:gridSpan w:val="2"/>
          </w:tcPr>
          <w:p>
            <w:pPr>
              <w:ind w:left="1940"/>
              <w:spacing w:after="0"/>
              <w:rPr>
                <w:sz w:val="20"/>
                <w:szCs w:val="20"/>
                <w:color w:val="auto"/>
              </w:rPr>
            </w:pPr>
            <w:r>
              <w:rPr>
                <w:rFonts w:ascii="Arial" w:cs="Arial" w:eastAsia="Arial" w:hAnsi="Arial"/>
                <w:sz w:val="18"/>
                <w:szCs w:val="18"/>
                <w:b w:val="1"/>
                <w:bCs w:val="1"/>
                <w:color w:val="auto"/>
                <w:w w:val="92"/>
              </w:rPr>
              <w:t>100.00%</w:t>
            </w:r>
          </w:p>
        </w:tc>
        <w:tc>
          <w:tcPr>
            <w:tcW w:w="1140" w:type="dxa"/>
            <w:vAlign w:val="bottom"/>
          </w:tcPr>
          <w:p>
            <w:pPr>
              <w:spacing w:after="0"/>
              <w:rPr>
                <w:sz w:val="20"/>
                <w:szCs w:val="20"/>
                <w:color w:val="auto"/>
              </w:rPr>
            </w:pPr>
          </w:p>
        </w:tc>
      </w:tr>
      <w:tr>
        <w:trPr>
          <w:trHeight w:val="461"/>
        </w:trPr>
        <w:tc>
          <w:tcPr>
            <w:tcW w:w="116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Term B Loans</w:t>
            </w:r>
          </w:p>
        </w:tc>
        <w:tc>
          <w:tcPr>
            <w:tcW w:w="2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30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3"/>
              </w:rPr>
              <w:t>Lender</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Term Loan Commitment</w:t>
            </w:r>
          </w:p>
        </w:tc>
        <w:tc>
          <w:tcPr>
            <w:tcW w:w="26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Commitment Percentage</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IMMY Funding LLC</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2"/>
              </w:rPr>
              <w:t>100.00%</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020" w:type="dxa"/>
            <w:vAlign w:val="bottom"/>
          </w:tcPr>
          <w:p>
            <w:pPr>
              <w:jc w:val="center"/>
              <w:ind w:left="470"/>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5,000,000.00</w:t>
            </w:r>
          </w:p>
        </w:tc>
        <w:tc>
          <w:tcPr>
            <w:tcW w:w="260" w:type="dxa"/>
            <w:vAlign w:val="bottom"/>
          </w:tcPr>
          <w:p>
            <w:pPr>
              <w:spacing w:after="0"/>
              <w:rPr>
                <w:sz w:val="20"/>
                <w:szCs w:val="20"/>
                <w:color w:val="auto"/>
              </w:rPr>
            </w:pPr>
          </w:p>
        </w:tc>
        <w:tc>
          <w:tcPr>
            <w:tcW w:w="2620" w:type="dxa"/>
            <w:vAlign w:val="bottom"/>
            <w:gridSpan w:val="2"/>
          </w:tcPr>
          <w:p>
            <w:pPr>
              <w:ind w:left="1940"/>
              <w:spacing w:after="0"/>
              <w:rPr>
                <w:sz w:val="20"/>
                <w:szCs w:val="20"/>
                <w:color w:val="auto"/>
              </w:rPr>
            </w:pPr>
            <w:r>
              <w:rPr>
                <w:rFonts w:ascii="Arial" w:cs="Arial" w:eastAsia="Arial" w:hAnsi="Arial"/>
                <w:sz w:val="18"/>
                <w:szCs w:val="18"/>
                <w:b w:val="1"/>
                <w:bCs w:val="1"/>
                <w:color w:val="auto"/>
                <w:w w:val="92"/>
              </w:rPr>
              <w:t>100.00%</w:t>
            </w:r>
          </w:p>
        </w:tc>
        <w:tc>
          <w:tcPr>
            <w:tcW w:w="1140" w:type="dxa"/>
            <w:vAlign w:val="bottom"/>
          </w:tcPr>
          <w:p>
            <w:pPr>
              <w:spacing w:after="0"/>
              <w:rPr>
                <w:sz w:val="20"/>
                <w:szCs w:val="20"/>
                <w:color w:val="auto"/>
              </w:rPr>
            </w:pPr>
          </w:p>
        </w:tc>
      </w:tr>
      <w:tr>
        <w:trPr>
          <w:trHeight w:val="448"/>
        </w:trPr>
        <w:tc>
          <w:tcPr>
            <w:tcW w:w="116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Aggregate (all Term Loans)</w:t>
            </w:r>
          </w:p>
        </w:tc>
        <w:tc>
          <w:tcPr>
            <w:tcW w:w="2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30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3"/>
              </w:rPr>
              <w:t>Lender</w:t>
            </w: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Term Loan Commitment</w:t>
            </w:r>
          </w:p>
        </w:tc>
        <w:tc>
          <w:tcPr>
            <w:tcW w:w="26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Commitment Percentage</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IMMY Funding LLC</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15,000,000.00</w:t>
            </w:r>
          </w:p>
        </w:tc>
        <w:tc>
          <w:tcPr>
            <w:tcW w:w="2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92"/>
              </w:rPr>
              <w:t>100.00%</w:t>
            </w: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020" w:type="dxa"/>
            <w:vAlign w:val="bottom"/>
          </w:tcPr>
          <w:p>
            <w:pPr>
              <w:jc w:val="center"/>
              <w:ind w:left="470"/>
              <w:spacing w:after="0"/>
              <w:rPr>
                <w:sz w:val="20"/>
                <w:szCs w:val="20"/>
                <w:color w:val="auto"/>
              </w:rPr>
            </w:pPr>
            <w:r>
              <w:rPr>
                <w:rFonts w:ascii="Arial" w:cs="Arial" w:eastAsia="Arial" w:hAnsi="Arial"/>
                <w:sz w:val="18"/>
                <w:szCs w:val="18"/>
                <w:b w:val="1"/>
                <w:bCs w:val="1"/>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15,000,000.00</w:t>
            </w:r>
          </w:p>
        </w:tc>
        <w:tc>
          <w:tcPr>
            <w:tcW w:w="260" w:type="dxa"/>
            <w:vAlign w:val="bottom"/>
          </w:tcPr>
          <w:p>
            <w:pPr>
              <w:spacing w:after="0"/>
              <w:rPr>
                <w:sz w:val="20"/>
                <w:szCs w:val="20"/>
                <w:color w:val="auto"/>
              </w:rPr>
            </w:pPr>
          </w:p>
        </w:tc>
        <w:tc>
          <w:tcPr>
            <w:tcW w:w="2620" w:type="dxa"/>
            <w:vAlign w:val="bottom"/>
            <w:gridSpan w:val="2"/>
          </w:tcPr>
          <w:p>
            <w:pPr>
              <w:ind w:left="1940"/>
              <w:spacing w:after="0"/>
              <w:rPr>
                <w:sz w:val="20"/>
                <w:szCs w:val="20"/>
                <w:color w:val="auto"/>
              </w:rPr>
            </w:pPr>
            <w:r>
              <w:rPr>
                <w:rFonts w:ascii="Arial" w:cs="Arial" w:eastAsia="Arial" w:hAnsi="Arial"/>
                <w:sz w:val="18"/>
                <w:szCs w:val="18"/>
                <w:b w:val="1"/>
                <w:bCs w:val="1"/>
                <w:color w:val="auto"/>
                <w:w w:val="92"/>
              </w:rPr>
              <w:t>100.00%</w:t>
            </w:r>
          </w:p>
        </w:tc>
        <w:tc>
          <w:tcPr>
            <w:tcW w:w="1140" w:type="dxa"/>
            <w:vAlign w:val="bottom"/>
          </w:tcPr>
          <w:p>
            <w:pPr>
              <w:spacing w:after="0"/>
              <w:rPr>
                <w:sz w:val="20"/>
                <w:szCs w:val="20"/>
                <w:color w:val="auto"/>
              </w:rPr>
            </w:pPr>
          </w:p>
        </w:tc>
      </w:tr>
      <w:tr>
        <w:trPr>
          <w:trHeight w:val="448"/>
        </w:trPr>
        <w:tc>
          <w:tcPr>
            <w:tcW w:w="1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Notwithstanding the foregoing, the Collateral shall not include: (i) more than sixty five percent (65%) of the total combined voting power of all classes of stock entitled to vote the shares of capital stock (the “Shares”) of any foreign Subsidiary if Borrower demonstrates to the Collateral Agent’s reasonable satisfaction that a pledge of more than sixty five percent (65%) of the Shares of such Subsidiary creates a present and existing adverse tax consequence to Borrower under the U.S. Internal Revenue Code; (ii) any equipment that is subject to a Permitted Lien permitted under clause (c) of the definition of Permitted Liens and the loan agreement or lease relating to such equipment forbids any Liens to be attached to such equipment other than a purchase money security interest and only to the extent so prohibited during the term of such lease or loan agreement; (iii) any lease, license, contract, property rights, joint venture interests, or agreement to which Borrower is a party or any of its rights or interests thereunder, in each case, if and only if, and solely to the extent that, the grant of a security interest therein shall constitute or result in a breach, termination, default, abandonment, unenforceability or invalidity thereunder or thereof (other than to the extent that any such term would be rendered ineffective pursuant to Sections 9-406, 9-407, 9-408 or 9-409 of the UCC of any relevant jurisdiction or any other applicable law or principles of equity); provided that immediately upon the time at which the consequences described in the foregoing clause shall no longer exist, the Collateral shall include, and Borrower shall be deemed to have granted a security interest in, all of Borrower’s right, title and interest in such lease, license, contract, property rights, joint venture interests, or agreement; (iv) Motor Vehicles for which certificates of title have been issued, and (v)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Agent and Lender Terms</w:t>
      </w:r>
    </w:p>
    <w:p>
      <w:pPr>
        <w:spacing w:after="0" w:line="225" w:lineRule="exact"/>
        <w:rPr>
          <w:sz w:val="20"/>
          <w:szCs w:val="20"/>
          <w:color w:val="auto"/>
        </w:rPr>
      </w:pPr>
    </w:p>
    <w:p>
      <w:pPr>
        <w:ind w:left="820" w:hanging="164"/>
        <w:spacing w:after="0"/>
        <w:tabs>
          <w:tab w:leader="none" w:pos="82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Collateral Agent.</w:t>
      </w:r>
    </w:p>
    <w:p>
      <w:pPr>
        <w:spacing w:after="0" w:line="229" w:lineRule="exact"/>
        <w:rPr>
          <w:rFonts w:ascii="Arial" w:cs="Arial" w:eastAsia="Arial" w:hAnsi="Arial"/>
          <w:sz w:val="18"/>
          <w:szCs w:val="18"/>
          <w:b w:val="1"/>
          <w:bCs w:val="1"/>
          <w:color w:val="auto"/>
        </w:rPr>
      </w:pPr>
    </w:p>
    <w:p>
      <w:pPr>
        <w:ind w:left="1560" w:hanging="255"/>
        <w:spacing w:after="0"/>
        <w:tabs>
          <w:tab w:leader="none" w:pos="15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Each Lender hereby appoints IMMY Funding LLC (together with any successor Collateral Agent pursuant to Section 7 of this Exhibit</w:t>
      </w:r>
    </w:p>
    <w:p>
      <w:pPr>
        <w:spacing w:after="0" w:line="46" w:lineRule="exact"/>
        <w:rPr>
          <w:rFonts w:ascii="Arial" w:cs="Arial" w:eastAsia="Arial" w:hAnsi="Arial"/>
          <w:sz w:val="16"/>
          <w:szCs w:val="16"/>
          <w:color w:val="auto"/>
        </w:rPr>
      </w:pPr>
    </w:p>
    <w:p>
      <w:pPr>
        <w:jc w:val="both"/>
        <w:ind w:firstLine="8"/>
        <w:spacing w:after="0" w:line="277" w:lineRule="auto"/>
        <w:tabs>
          <w:tab w:leader="none" w:pos="229"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73" w:lineRule="exact"/>
        <w:rPr>
          <w:rFonts w:ascii="Arial" w:cs="Arial" w:eastAsia="Arial" w:hAnsi="Arial"/>
          <w:sz w:val="17"/>
          <w:szCs w:val="17"/>
          <w:color w:val="auto"/>
        </w:rPr>
      </w:pPr>
    </w:p>
    <w:p>
      <w:pPr>
        <w:jc w:val="both"/>
        <w:ind w:firstLine="1305"/>
        <w:spacing w:after="0" w:line="267" w:lineRule="auto"/>
        <w:tabs>
          <w:tab w:leader="none" w:pos="1579" w:val="left"/>
        </w:tabs>
        <w:numPr>
          <w:ilvl w:val="2"/>
          <w:numId w:val="54"/>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Collateral Agent and each Lender for purposes of the perfection of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Exhibit B to the extent provided by Collateral Agent.</w:t>
      </w:r>
    </w:p>
    <w:p>
      <w:pPr>
        <w:spacing w:after="0" w:line="190" w:lineRule="exact"/>
        <w:rPr>
          <w:sz w:val="20"/>
          <w:szCs w:val="20"/>
          <w:color w:val="auto"/>
        </w:rPr>
      </w:pPr>
    </w:p>
    <w:p>
      <w:pPr>
        <w:jc w:val="both"/>
        <w:ind w:firstLine="656"/>
        <w:spacing w:after="0" w:line="284" w:lineRule="auto"/>
        <w:tabs>
          <w:tab w:leader="none" w:pos="903" w:val="left"/>
        </w:tabs>
        <w:numPr>
          <w:ilvl w:val="1"/>
          <w:numId w:val="55"/>
        </w:numPr>
        <w:rPr>
          <w:rFonts w:ascii="Arial" w:cs="Arial" w:eastAsia="Arial" w:hAnsi="Arial"/>
          <w:sz w:val="16"/>
          <w:szCs w:val="16"/>
          <w:color w:val="auto"/>
        </w:rPr>
      </w:pPr>
      <w:r>
        <w:rPr>
          <w:rFonts w:ascii="Arial" w:cs="Arial" w:eastAsia="Arial" w:hAnsi="Arial"/>
          <w:sz w:val="16"/>
          <w:szCs w:val="16"/>
          <w:color w:val="auto"/>
        </w:rPr>
        <w:t>Under the Loan Documents,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w:t>
      </w:r>
    </w:p>
    <w:p>
      <w:pPr>
        <w:spacing w:after="0" w:line="4" w:lineRule="exact"/>
        <w:rPr>
          <w:rFonts w:ascii="Arial" w:cs="Arial" w:eastAsia="Arial" w:hAnsi="Arial"/>
          <w:sz w:val="16"/>
          <w:szCs w:val="16"/>
          <w:color w:val="auto"/>
        </w:rPr>
      </w:pPr>
    </w:p>
    <w:p>
      <w:pPr>
        <w:jc w:val="both"/>
        <w:ind w:firstLine="8"/>
        <w:spacing w:after="0" w:line="255"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above. Except as expressly set forth in the Loan Documents, Collateral Agent shall not have any duty to disclose, and shall not be liable for failure to disclose, any information relating to Borrower or any of its Subsidiaries that is communicated to or obtained by IMMY Funding LLC or any of its Affiliates in any capacity.</w:t>
      </w:r>
    </w:p>
    <w:p>
      <w:pPr>
        <w:spacing w:after="0" w:line="186" w:lineRule="exact"/>
        <w:rPr>
          <w:sz w:val="20"/>
          <w:szCs w:val="20"/>
          <w:color w:val="auto"/>
        </w:rPr>
      </w:pPr>
    </w:p>
    <w:p>
      <w:pPr>
        <w:ind w:left="840" w:hanging="184"/>
        <w:spacing w:after="0"/>
        <w:tabs>
          <w:tab w:leader="none" w:pos="8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Use of Discretion; E-Systems.</w:t>
      </w:r>
    </w:p>
    <w:p>
      <w:pPr>
        <w:spacing w:after="0" w:line="229" w:lineRule="exact"/>
        <w:rPr>
          <w:rFonts w:ascii="Arial" w:cs="Arial" w:eastAsia="Arial" w:hAnsi="Arial"/>
          <w:sz w:val="18"/>
          <w:szCs w:val="18"/>
          <w:b w:val="1"/>
          <w:bCs w:val="1"/>
          <w:color w:val="auto"/>
        </w:rPr>
      </w:pPr>
    </w:p>
    <w:p>
      <w:pPr>
        <w:jc w:val="both"/>
        <w:ind w:firstLine="1305"/>
        <w:spacing w:after="0" w:line="276" w:lineRule="auto"/>
        <w:tabs>
          <w:tab w:leader="none" w:pos="1543" w:val="left"/>
        </w:tabs>
        <w:numPr>
          <w:ilvl w:val="1"/>
          <w:numId w:val="57"/>
        </w:numPr>
        <w:rPr>
          <w:rFonts w:ascii="Arial" w:cs="Arial" w:eastAsia="Arial" w:hAnsi="Arial"/>
          <w:sz w:val="17"/>
          <w:szCs w:val="17"/>
          <w:color w:val="auto"/>
        </w:rPr>
      </w:pPr>
      <w:r>
        <w:rPr>
          <w:rFonts w:ascii="Arial" w:cs="Arial" w:eastAsia="Arial" w:hAnsi="Arial"/>
          <w:sz w:val="17"/>
          <w:szCs w:val="17"/>
          <w:color w:val="auto"/>
        </w:rPr>
        <w:t>Each Lender, by accepting the benefits of the Loan Documents, agrees that (i) any action taken by Collateral Agent or Required Lenders (or, if expressly required in any Loan Document, a greater proportion of the Lenders) in accordance with the provisions of the Loan Documents, (ii) any action taken by Collateral Agent in reliance upon the instructions of Required Lenders (or, where so required, such greater proportion) and (iii) the exercise by Collateral Agent or Required Lenders (or, where so required, such greater proportion) of the powers set forth herein or therein, together with such other powers as are reasonably incidental thereto, shall be authorized and binding upon all of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both"/>
        <w:ind w:left="-8" w:firstLine="1305"/>
        <w:spacing w:after="0" w:line="289" w:lineRule="auto"/>
        <w:tabs>
          <w:tab w:leader="none" w:pos="1550" w:val="left"/>
        </w:tabs>
        <w:numPr>
          <w:ilvl w:val="2"/>
          <w:numId w:val="58"/>
        </w:numPr>
        <w:rPr>
          <w:rFonts w:ascii="Arial" w:cs="Arial" w:eastAsia="Arial" w:hAnsi="Arial"/>
          <w:sz w:val="16"/>
          <w:szCs w:val="16"/>
          <w:color w:val="auto"/>
        </w:rPr>
      </w:pPr>
      <w:r>
        <w:rPr>
          <w:rFonts w:ascii="Arial" w:cs="Arial" w:eastAsia="Arial" w:hAnsi="Arial"/>
          <w:sz w:val="16"/>
          <w:szCs w:val="16"/>
          <w:color w:val="auto"/>
        </w:rPr>
        <w:t>If Collateral Agent shall request instructions from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Required Lenders or all affected Lenders, as applicable.</w:t>
      </w:r>
    </w:p>
    <w:p>
      <w:pPr>
        <w:spacing w:after="0" w:line="166" w:lineRule="exact"/>
        <w:rPr>
          <w:rFonts w:ascii="Arial" w:cs="Arial" w:eastAsia="Arial" w:hAnsi="Arial"/>
          <w:sz w:val="16"/>
          <w:szCs w:val="16"/>
          <w:color w:val="auto"/>
        </w:rPr>
      </w:pPr>
    </w:p>
    <w:p>
      <w:pPr>
        <w:jc w:val="both"/>
        <w:ind w:left="-8" w:firstLine="1305"/>
        <w:spacing w:after="0" w:line="268" w:lineRule="auto"/>
        <w:tabs>
          <w:tab w:leader="none" w:pos="1536" w:val="left"/>
        </w:tabs>
        <w:numPr>
          <w:ilvl w:val="2"/>
          <w:numId w:val="58"/>
        </w:numPr>
        <w:rPr>
          <w:rFonts w:ascii="Arial" w:cs="Arial" w:eastAsia="Arial" w:hAnsi="Arial"/>
          <w:sz w:val="17"/>
          <w:szCs w:val="17"/>
          <w:color w:val="auto"/>
        </w:rPr>
      </w:pPr>
      <w:r>
        <w:rPr>
          <w:rFonts w:ascii="Arial" w:cs="Arial" w:eastAsia="Arial" w:hAnsi="Arial"/>
          <w:sz w:val="17"/>
          <w:szCs w:val="17"/>
          <w:color w:val="auto"/>
        </w:rPr>
        <w:t>Collateral Agent is hereby authorized by Borrower and each Lender to establish procedures (and to amend such procedures from time to time) to facilitate administration and servicing of the Term Loans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spacing w:after="0" w:line="179" w:lineRule="exact"/>
        <w:rPr>
          <w:rFonts w:ascii="Arial" w:cs="Arial" w:eastAsia="Arial" w:hAnsi="Arial"/>
          <w:sz w:val="17"/>
          <w:szCs w:val="17"/>
          <w:color w:val="auto"/>
        </w:rPr>
      </w:pPr>
    </w:p>
    <w:p>
      <w:pPr>
        <w:jc w:val="both"/>
        <w:ind w:left="-8" w:firstLine="656"/>
        <w:spacing w:after="0" w:line="293" w:lineRule="auto"/>
        <w:tabs>
          <w:tab w:leader="none" w:pos="820"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Collateral Agent’s Reliance, Etc. </w:t>
      </w:r>
      <w:r>
        <w:rPr>
          <w:rFonts w:ascii="Arial" w:cs="Arial" w:eastAsia="Arial" w:hAnsi="Arial"/>
          <w:sz w:val="16"/>
          <w:szCs w:val="16"/>
          <w:color w:val="auto"/>
        </w:rPr>
        <w:t>Collateral Agent may, without incurring any liability hereunder, (a) consult with any of its Related Persons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selected by it, any other advisors, accountants and other experts (including advisors to, and accountants and experts engaged by, Borrower) and</w:t>
      </w:r>
    </w:p>
    <w:p>
      <w:pPr>
        <w:spacing w:after="0" w:line="1" w:lineRule="exact"/>
        <w:rPr>
          <w:rFonts w:ascii="Arial" w:cs="Arial" w:eastAsia="Arial" w:hAnsi="Arial"/>
          <w:sz w:val="16"/>
          <w:szCs w:val="16"/>
          <w:b w:val="1"/>
          <w:bCs w:val="1"/>
          <w:color w:val="auto"/>
        </w:rPr>
      </w:pPr>
    </w:p>
    <w:p>
      <w:pPr>
        <w:jc w:val="both"/>
        <w:ind w:left="-8" w:firstLine="8"/>
        <w:spacing w:after="0" w:line="283" w:lineRule="auto"/>
        <w:tabs>
          <w:tab w:leader="none" w:pos="25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rely and act upon any document and information (including those transmitted by electronic transmission) and any telephone message or conversation, in each case believed by it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 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Collateral Agent shall promptly give notice of such receipt to all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Collateral Agent shall not be liable to any Lender for any failure to do so, except to the extent that such failure is attributable to Collateral Agent’s gross negligence or willful misconduct as determined by a final non-appealable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45" w:name="page46"/>
    <w:bookmarkEnd w:id="45"/>
    <w:p>
      <w:pPr>
        <w:jc w:val="both"/>
        <w:ind w:left="-8" w:firstLine="656"/>
        <w:spacing w:after="0" w:line="295" w:lineRule="auto"/>
        <w:tabs>
          <w:tab w:leader="none" w:pos="838" w:val="left"/>
        </w:tabs>
        <w:numPr>
          <w:ilvl w:val="1"/>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Collateral Agent Individually. </w:t>
      </w:r>
      <w:r>
        <w:rPr>
          <w:rFonts w:ascii="Arial" w:cs="Arial" w:eastAsia="Arial" w:hAnsi="Arial"/>
          <w:sz w:val="16"/>
          <w:szCs w:val="16"/>
          <w:color w:val="auto"/>
        </w:rPr>
        <w:t>Collateral Agent and its Affiliates may make loans and other extensions of credit to, acquire stock and stock</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of, engage in any kind of business with, Borrower or any Affiliate of Borrower as though it were not acting as Collateral Agent and may receive separate fees and other payments therefor. To the extent Collateral Agent or any of its Affiliates makes any Term Loans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55" w:lineRule="exact"/>
        <w:rPr>
          <w:rFonts w:ascii="Arial" w:cs="Arial" w:eastAsia="Arial" w:hAnsi="Arial"/>
          <w:sz w:val="16"/>
          <w:szCs w:val="16"/>
          <w:b w:val="1"/>
          <w:bCs w:val="1"/>
          <w:color w:val="auto"/>
        </w:rPr>
      </w:pPr>
    </w:p>
    <w:p>
      <w:pPr>
        <w:jc w:val="both"/>
        <w:ind w:left="-8" w:firstLine="656"/>
        <w:spacing w:after="0" w:line="283" w:lineRule="auto"/>
        <w:tabs>
          <w:tab w:leader="none" w:pos="827" w:val="left"/>
        </w:tabs>
        <w:numPr>
          <w:ilvl w:val="1"/>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Lender Credit Decision; Collateral Agent Report. </w:t>
      </w:r>
      <w:r>
        <w:rPr>
          <w:rFonts w:ascii="Arial" w:cs="Arial" w:eastAsia="Arial" w:hAnsi="Arial"/>
          <w:sz w:val="16"/>
          <w:szCs w:val="16"/>
          <w:color w:val="auto"/>
        </w:rPr>
        <w:t>Each Lender acknowledges that it shall, independently and without reliance upon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 “</w:t>
      </w:r>
      <w:r>
        <w:rPr>
          <w:rFonts w:ascii="Arial" w:cs="Arial" w:eastAsia="Arial" w:hAnsi="Arial"/>
          <w:sz w:val="16"/>
          <w:szCs w:val="16"/>
          <w:b w:val="1"/>
          <w:bCs w:val="1"/>
          <w:color w:val="auto"/>
        </w:rPr>
        <w:t>Collateral Agent Report</w:t>
      </w:r>
      <w:r>
        <w:rPr>
          <w:rFonts w:ascii="Arial" w:cs="Arial" w:eastAsia="Arial" w:hAnsi="Arial"/>
          <w:sz w:val="16"/>
          <w:szCs w:val="16"/>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 (iii) the scope or adequacy of Collateral Agent’s and its Related Persons’ due diligence, or the presence or absence of any errors or omissions contained in any Collateral Agent Report or in any related documentation, and</w:t>
      </w:r>
    </w:p>
    <w:p>
      <w:pPr>
        <w:spacing w:after="0" w:line="4" w:lineRule="exact"/>
        <w:rPr>
          <w:rFonts w:ascii="Arial" w:cs="Arial" w:eastAsia="Arial" w:hAnsi="Arial"/>
          <w:sz w:val="16"/>
          <w:szCs w:val="16"/>
          <w:b w:val="1"/>
          <w:bCs w:val="1"/>
          <w:color w:val="auto"/>
        </w:rPr>
      </w:pPr>
    </w:p>
    <w:p>
      <w:pPr>
        <w:jc w:val="both"/>
        <w:ind w:left="-8" w:firstLine="8"/>
        <w:spacing w:after="0" w:line="268" w:lineRule="auto"/>
        <w:tabs>
          <w:tab w:leader="none" w:pos="309"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work performed by Collateral Agent or Collateral Agent’s Related Persons in connection with or using any Collateral 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1" w:right="239" w:bottom="1440" w:gutter="0" w:footer="0" w:header="0"/>
        </w:sectPr>
      </w:pPr>
    </w:p>
    <w:bookmarkStart w:id="46" w:name="page47"/>
    <w:bookmarkEnd w:id="46"/>
    <w:p>
      <w:pPr>
        <w:jc w:val="both"/>
        <w:ind w:left="-656" w:firstLine="656"/>
        <w:spacing w:after="0" w:line="284" w:lineRule="auto"/>
        <w:tabs>
          <w:tab w:leader="none" w:pos="17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Each Lender agrees to reimburse Collateral Agent and each of its Related Persons (to the extent not reimbursed by Borrower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under the Loan Documents)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Collateral Agent or any of its Related Persons under this Section 6 of this Exhibit B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Internal Revenue Service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Exhibit B.</w:t>
      </w:r>
    </w:p>
    <w:p>
      <w:pPr>
        <w:spacing w:after="0" w:line="176" w:lineRule="exact"/>
        <w:rPr>
          <w:rFonts w:ascii="Arial" w:cs="Arial" w:eastAsia="Arial" w:hAnsi="Arial"/>
          <w:sz w:val="16"/>
          <w:szCs w:val="16"/>
          <w:b w:val="1"/>
          <w:bCs w:val="1"/>
          <w:color w:val="auto"/>
        </w:rPr>
      </w:pPr>
    </w:p>
    <w:p>
      <w:pPr>
        <w:jc w:val="both"/>
        <w:ind w:left="-656" w:firstLine="656"/>
        <w:spacing w:after="0" w:line="287" w:lineRule="auto"/>
        <w:tabs>
          <w:tab w:leader="none" w:pos="195"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Collateral Agent. </w:t>
      </w:r>
      <w:r>
        <w:rPr>
          <w:rFonts w:ascii="Arial" w:cs="Arial" w:eastAsia="Arial" w:hAnsi="Arial"/>
          <w:sz w:val="16"/>
          <w:szCs w:val="16"/>
          <w:color w:val="auto"/>
        </w:rPr>
        <w:t>Collateral Agent may resign at any time by delivering notice of such resignation to the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 the date set forth in such notice or, if no such date is set forth therein, upon the date such notice shall be effective, in accordance with the terms of this Section 7 of this Exhibit B. If Collateral Agent delivers any such notice, the Required Lenders shall have the right to appoint a successor Collateral Agent. If, after 30 days after the date of the retiring Collateral Agent’s notice of resignation, no successor Collateral Agent has been appointed by the Required Lenders that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 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 (iv) subject to its rights under Section 2(b) of this Exhibit B,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253365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1" w:right="239" w:bottom="1440" w:gutter="0" w:footer="0" w:header="0"/>
        </w:sectPr>
      </w:pPr>
    </w:p>
    <w:bookmarkStart w:id="47" w:name="page48"/>
    <w:bookmarkEnd w:id="47"/>
    <w:p>
      <w:pPr>
        <w:ind w:firstLine="656"/>
        <w:spacing w:after="0" w:line="282" w:lineRule="auto"/>
        <w:tabs>
          <w:tab w:leader="none" w:pos="83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Release of Collateral. </w:t>
      </w:r>
      <w:r>
        <w:rPr>
          <w:rFonts w:ascii="Arial" w:cs="Arial" w:eastAsia="Arial" w:hAnsi="Arial"/>
          <w:sz w:val="18"/>
          <w:szCs w:val="18"/>
          <w:color w:val="auto"/>
        </w:rPr>
        <w:t>Each Lender hereby consents to the release and hereby directs Collateral Agent to release (or in the case of clause (b)(ii)</w:t>
      </w:r>
      <w:r>
        <w:rPr>
          <w:rFonts w:ascii="Arial" w:cs="Arial" w:eastAsia="Arial" w:hAnsi="Arial"/>
          <w:sz w:val="18"/>
          <w:szCs w:val="18"/>
          <w:b w:val="1"/>
          <w:bCs w:val="1"/>
          <w:color w:val="auto"/>
        </w:rPr>
        <w:t xml:space="preserve"> </w:t>
      </w:r>
      <w:r>
        <w:rPr>
          <w:rFonts w:ascii="Arial" w:cs="Arial" w:eastAsia="Arial" w:hAnsi="Arial"/>
          <w:sz w:val="18"/>
          <w:szCs w:val="18"/>
          <w:color w:val="auto"/>
        </w:rPr>
        <w:t>below, release or subordinate) the following:</w:t>
      </w:r>
    </w:p>
    <w:p>
      <w:pPr>
        <w:spacing w:after="0" w:line="165" w:lineRule="exact"/>
        <w:rPr>
          <w:rFonts w:ascii="Arial" w:cs="Arial" w:eastAsia="Arial" w:hAnsi="Arial"/>
          <w:sz w:val="18"/>
          <w:szCs w:val="18"/>
          <w:b w:val="1"/>
          <w:bCs w:val="1"/>
          <w:color w:val="auto"/>
        </w:rPr>
      </w:pPr>
    </w:p>
    <w:p>
      <w:pPr>
        <w:jc w:val="both"/>
        <w:ind w:firstLine="1305"/>
        <w:spacing w:after="0" w:line="264" w:lineRule="auto"/>
        <w:tabs>
          <w:tab w:leader="none" w:pos="155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Guarantor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54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Lien held by Collateral Agent for the benefit of itself and the Lenders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 (A) termination of all of the Commitments, (B) payment in full in cash of all of the Obligations that Collateral Agent has theretofore been notified in writing by the holder of such Obligation are then due and payable,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jc w:val="both"/>
        <w:ind w:firstLine="656"/>
        <w:spacing w:after="0" w:line="286" w:lineRule="auto"/>
        <w:tabs>
          <w:tab w:leader="none" w:pos="83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Setoff and Sharing of Payments. </w:t>
      </w:r>
      <w:r>
        <w:rPr>
          <w:rFonts w:ascii="Arial" w:cs="Arial" w:eastAsia="Arial" w:hAnsi="Arial"/>
          <w:sz w:val="16"/>
          <w:szCs w:val="16"/>
          <w:color w:val="auto"/>
        </w:rPr>
        <w:t>In addition to any rights now or hereafter granted under any applicable requirement of law and not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 of any such rights, upon the occurrence and during the continuance of any Event of Default and subject to Section 10(d) of this Exhibit B,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Loans made or other Obligations held by other Lenders or holders may exercise all rights of offset, bankers’ lien, counterclaim or similar rights with respect to such participation as fully as if such Lender or holder were a direct holder of the Term Loans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68" w:lineRule="exact"/>
        <w:rPr>
          <w:rFonts w:ascii="Arial" w:cs="Arial" w:eastAsia="Arial" w:hAnsi="Arial"/>
          <w:sz w:val="16"/>
          <w:szCs w:val="16"/>
          <w:b w:val="1"/>
          <w:bCs w:val="1"/>
          <w:color w:val="auto"/>
        </w:rPr>
      </w:pPr>
    </w:p>
    <w:p>
      <w:pPr>
        <w:ind w:left="920" w:hanging="264"/>
        <w:spacing w:after="0"/>
        <w:tabs>
          <w:tab w:leader="none" w:pos="9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Advances; Payments; Non-Funding Lenders; Actions in Concert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540" w:hanging="235"/>
        <w:spacing w:after="0"/>
        <w:tabs>
          <w:tab w:leader="none" w:pos="154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Advances; Payments</w:t>
      </w:r>
      <w:r>
        <w:rPr>
          <w:rFonts w:ascii="Arial" w:cs="Arial" w:eastAsia="Arial" w:hAnsi="Arial"/>
          <w:sz w:val="16"/>
          <w:szCs w:val="16"/>
          <w:color w:val="auto"/>
        </w:rPr>
        <w:t>. If Collateral Agent receives any payment with respect to a Term Loan for the account of Lenders on or prior to</w:t>
      </w:r>
    </w:p>
    <w:p>
      <w:pPr>
        <w:spacing w:after="0" w:line="46"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color w:val="auto"/>
        </w:rPr>
        <w:t>2:00 p.m. (New York time) on any Business Day, Collateral Agent shall pay to each applicable Lender such Lender’s Pro Rata Share of such payment on such Business Day. If Collateral Agent receives any payment with respect to a Term Loan for the account of Lenders after 2:00 p.m. (New York time) on any Business Day, Collateral Agent shall pay to each applicable Lender such Lender’s Pro Rata Share of such payment on the next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ind w:left="360" w:hanging="255"/>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953"/>
        <w:spacing w:after="0" w:line="259" w:lineRule="auto"/>
        <w:tabs>
          <w:tab w:leader="none" w:pos="9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Collateral Agent pays an amount to a Lender under this Agreement in the belief or expectation that a related payment has been or will be received by Collateral Agent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86" w:lineRule="exact"/>
        <w:rPr>
          <w:rFonts w:ascii="Arial" w:cs="Arial" w:eastAsia="Arial" w:hAnsi="Arial"/>
          <w:sz w:val="18"/>
          <w:szCs w:val="18"/>
          <w:color w:val="auto"/>
        </w:rPr>
      </w:pPr>
    </w:p>
    <w:p>
      <w:pPr>
        <w:jc w:val="both"/>
        <w:ind w:left="-1200" w:firstLine="1953"/>
        <w:spacing w:after="0" w:line="273" w:lineRule="auto"/>
        <w:tabs>
          <w:tab w:leader="none" w:pos="1023"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78" w:lineRule="exact"/>
        <w:rPr>
          <w:rFonts w:ascii="Arial" w:cs="Arial" w:eastAsia="Arial" w:hAnsi="Arial"/>
          <w:sz w:val="17"/>
          <w:szCs w:val="17"/>
          <w:color w:val="auto"/>
        </w:rPr>
      </w:pPr>
    </w:p>
    <w:p>
      <w:pPr>
        <w:ind w:left="340" w:hanging="235"/>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Non-Funding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00" w:firstLine="1953"/>
        <w:spacing w:after="0" w:line="289" w:lineRule="auto"/>
        <w:tabs>
          <w:tab w:leader="none" w:pos="966" w:val="left"/>
        </w:tabs>
        <w:numPr>
          <w:ilvl w:val="1"/>
          <w:numId w:val="66"/>
        </w:numPr>
        <w:rPr>
          <w:rFonts w:ascii="Arial" w:cs="Arial" w:eastAsia="Arial" w:hAnsi="Arial"/>
          <w:sz w:val="16"/>
          <w:szCs w:val="16"/>
          <w:color w:val="auto"/>
        </w:rPr>
      </w:pPr>
      <w:r>
        <w:rPr>
          <w:rFonts w:ascii="Arial" w:cs="Arial" w:eastAsia="Arial" w:hAnsi="Arial"/>
          <w:sz w:val="16"/>
          <w:szCs w:val="16"/>
          <w:color w:val="auto"/>
        </w:rPr>
        <w:t>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Exhibit B,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66" w:lineRule="exact"/>
        <w:rPr>
          <w:rFonts w:ascii="Arial" w:cs="Arial" w:eastAsia="Arial" w:hAnsi="Arial"/>
          <w:sz w:val="16"/>
          <w:szCs w:val="16"/>
          <w:color w:val="auto"/>
        </w:rPr>
      </w:pPr>
    </w:p>
    <w:p>
      <w:pPr>
        <w:jc w:val="both"/>
        <w:ind w:left="-1200" w:firstLine="1953"/>
        <w:spacing w:after="0" w:line="286" w:lineRule="auto"/>
        <w:tabs>
          <w:tab w:leader="none" w:pos="1007"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6"/>
          <w:szCs w:val="16"/>
          <w:b w:val="1"/>
          <w:bCs w:val="1"/>
          <w:color w:val="auto"/>
        </w:rPr>
        <w:t>Non-Funding Lender</w:t>
      </w:r>
      <w:r>
        <w:rPr>
          <w:rFonts w:ascii="Arial" w:cs="Arial" w:eastAsia="Arial" w:hAnsi="Arial"/>
          <w:sz w:val="16"/>
          <w:szCs w:val="16"/>
          <w:color w:val="auto"/>
        </w:rPr>
        <w:t>”), Collateral Agent shall be entitled to set off the funding short-fall against that Non-Funding Lender’s Pro Rata Share of all payments received from Borrower. The failure of any Non-Funding Lender to make any Term Loan or any payment required by it hereunder shall not relieve any other Lender (each such other Lender, an “</w:t>
      </w:r>
      <w:r>
        <w:rPr>
          <w:rFonts w:ascii="Arial" w:cs="Arial" w:eastAsia="Arial" w:hAnsi="Arial"/>
          <w:sz w:val="16"/>
          <w:szCs w:val="16"/>
          <w:b w:val="1"/>
          <w:bCs w:val="1"/>
          <w:color w:val="auto"/>
        </w:rPr>
        <w:t>Other Lender</w:t>
      </w:r>
      <w:r>
        <w:rPr>
          <w:rFonts w:ascii="Arial" w:cs="Arial" w:eastAsia="Arial" w:hAnsi="Arial"/>
          <w:sz w:val="16"/>
          <w:szCs w:val="16"/>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pacing w:after="0" w:line="171" w:lineRule="exact"/>
        <w:rPr>
          <w:rFonts w:ascii="Arial" w:cs="Arial" w:eastAsia="Arial" w:hAnsi="Arial"/>
          <w:sz w:val="16"/>
          <w:szCs w:val="16"/>
          <w:color w:val="auto"/>
        </w:rPr>
      </w:pPr>
    </w:p>
    <w:p>
      <w:pPr>
        <w:jc w:val="both"/>
        <w:ind w:left="-1200" w:firstLine="1305"/>
        <w:spacing w:after="0" w:line="279" w:lineRule="auto"/>
        <w:tabs>
          <w:tab w:leader="none" w:pos="351"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Actions in Concert</w:t>
      </w:r>
      <w:r>
        <w:rPr>
          <w:rFonts w:ascii="Arial" w:cs="Arial" w:eastAsia="Arial" w:hAnsi="Arial"/>
          <w:sz w:val="17"/>
          <w:szCs w:val="17"/>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255270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4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rPr>
              <w:t>EXHIBIT C</w:t>
            </w: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00" w:type="dxa"/>
            <w:vAlign w:val="bottom"/>
            <w:gridSpan w:val="6"/>
          </w:tcPr>
          <w:p>
            <w:pPr>
              <w:jc w:val="center"/>
              <w:ind w:right="3180"/>
              <w:spacing w:after="0"/>
              <w:rPr>
                <w:sz w:val="20"/>
                <w:szCs w:val="20"/>
                <w:color w:val="auto"/>
              </w:rPr>
            </w:pPr>
            <w:r>
              <w:rPr>
                <w:rFonts w:ascii="Arial" w:cs="Arial" w:eastAsia="Arial" w:hAnsi="Arial"/>
                <w:sz w:val="18"/>
                <w:szCs w:val="18"/>
                <w:b w:val="1"/>
                <w:bCs w:val="1"/>
                <w:color w:val="auto"/>
                <w:w w:val="90"/>
              </w:rPr>
              <w:t>Loan Payment Request Form</w:t>
            </w:r>
          </w:p>
        </w:tc>
        <w:tc>
          <w:tcPr>
            <w:tcW w:w="0" w:type="dxa"/>
            <w:vAlign w:val="bottom"/>
          </w:tcPr>
          <w:p>
            <w:pPr>
              <w:spacing w:after="0"/>
              <w:rPr>
                <w:sz w:val="1"/>
                <w:szCs w:val="1"/>
                <w:color w:val="auto"/>
              </w:rPr>
            </w:pP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color w:val="auto"/>
              </w:rPr>
              <w:t>Fax To:</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2"/>
          </w:tcPr>
          <w:p>
            <w:pPr>
              <w:ind w:left="940"/>
              <w:spacing w:after="0"/>
              <w:rPr>
                <w:sz w:val="20"/>
                <w:szCs w:val="20"/>
                <w:color w:val="auto"/>
              </w:rPr>
            </w:pPr>
            <w:r>
              <w:rPr>
                <w:rFonts w:ascii="Arial" w:cs="Arial" w:eastAsia="Arial" w:hAnsi="Arial"/>
                <w:sz w:val="18"/>
                <w:szCs w:val="18"/>
                <w:color w:val="auto"/>
                <w:w w:val="90"/>
              </w:rPr>
              <w:t>Date: _____________________</w:t>
            </w:r>
          </w:p>
        </w:tc>
        <w:tc>
          <w:tcPr>
            <w:tcW w:w="0" w:type="dxa"/>
            <w:vAlign w:val="bottom"/>
          </w:tcPr>
          <w:p>
            <w:pPr>
              <w:spacing w:after="0"/>
              <w:rPr>
                <w:sz w:val="1"/>
                <w:szCs w:val="1"/>
                <w:color w:val="auto"/>
              </w:rPr>
            </w:pP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color w:val="auto"/>
              </w:rPr>
              <w:t>:</w:t>
            </w:r>
          </w:p>
        </w:tc>
        <w:tc>
          <w:tcPr>
            <w:tcW w:w="2700" w:type="dxa"/>
            <w:vAlign w:val="bottom"/>
            <w:gridSpan w:val="4"/>
            <w:vMerge w:val="restart"/>
          </w:tcPr>
          <w:p>
            <w:pPr>
              <w:jc w:val="center"/>
              <w:ind w:left="50"/>
              <w:spacing w:after="0"/>
              <w:rPr>
                <w:sz w:val="20"/>
                <w:szCs w:val="20"/>
                <w:color w:val="auto"/>
              </w:rPr>
            </w:pPr>
            <w:r>
              <w:rPr>
                <w:rFonts w:ascii="Arial" w:cs="Arial" w:eastAsia="Arial" w:hAnsi="Arial"/>
                <w:sz w:val="18"/>
                <w:szCs w:val="18"/>
                <w:color w:val="auto"/>
                <w:w w:val="91"/>
              </w:rPr>
              <w:t>[________________________]</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43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40" w:type="dxa"/>
            <w:vAlign w:val="bottom"/>
            <w:gridSpan w:val="4"/>
          </w:tcPr>
          <w:p>
            <w:pPr>
              <w:ind w:left="400"/>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(Deposit Account #)</w:t>
            </w:r>
          </w:p>
        </w:tc>
        <w:tc>
          <w:tcPr>
            <w:tcW w:w="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(Loan Account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660" w:type="dxa"/>
            <w:vAlign w:val="bottom"/>
          </w:tcPr>
          <w:p>
            <w:pPr>
              <w:spacing w:after="0"/>
              <w:rPr>
                <w:sz w:val="20"/>
                <w:szCs w:val="20"/>
                <w:color w:val="auto"/>
              </w:rPr>
            </w:pPr>
            <w:r>
              <w:rPr>
                <w:rFonts w:ascii="Arial" w:cs="Arial" w:eastAsia="Arial" w:hAnsi="Arial"/>
                <w:sz w:val="18"/>
                <w:szCs w:val="18"/>
                <w:color w:val="auto"/>
              </w:rPr>
              <w:t>Principal $</w:t>
            </w:r>
          </w:p>
        </w:tc>
        <w:tc>
          <w:tcPr>
            <w:tcW w:w="264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gridSpan w:val="2"/>
          </w:tcPr>
          <w:p>
            <w:pPr>
              <w:ind w:left="400"/>
              <w:spacing w:after="0"/>
              <w:rPr>
                <w:sz w:val="20"/>
                <w:szCs w:val="20"/>
                <w:color w:val="auto"/>
              </w:rPr>
            </w:pPr>
            <w:r>
              <w:rPr>
                <w:rFonts w:ascii="Arial" w:cs="Arial" w:eastAsia="Arial" w:hAnsi="Arial"/>
                <w:sz w:val="18"/>
                <w:szCs w:val="18"/>
                <w:color w:val="auto"/>
              </w:rPr>
              <w:t>and/or Interest $</w:t>
            </w: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jc w:val="center"/>
              <w:ind w:right="210"/>
              <w:spacing w:after="0"/>
              <w:rPr>
                <w:sz w:val="20"/>
                <w:szCs w:val="20"/>
                <w:color w:val="auto"/>
              </w:rPr>
            </w:pPr>
            <w:r>
              <w:rPr>
                <w:rFonts w:ascii="Arial" w:cs="Arial" w:eastAsia="Arial" w:hAnsi="Arial"/>
                <w:sz w:val="18"/>
                <w:szCs w:val="18"/>
                <w:color w:val="auto"/>
                <w:w w:val="88"/>
              </w:rPr>
              <w:t>Phone Number:</w:t>
            </w:r>
          </w:p>
        </w:tc>
        <w:tc>
          <w:tcPr>
            <w:tcW w:w="350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60" w:type="dxa"/>
            <w:vAlign w:val="bottom"/>
          </w:tcPr>
          <w:p>
            <w:pPr>
              <w:spacing w:after="0"/>
              <w:rPr>
                <w:sz w:val="20"/>
                <w:szCs w:val="20"/>
                <w:color w:val="auto"/>
              </w:rPr>
            </w:pPr>
            <w:r>
              <w:rPr>
                <w:rFonts w:ascii="Arial" w:cs="Arial" w:eastAsia="Arial" w:hAnsi="Arial"/>
                <w:sz w:val="18"/>
                <w:szCs w:val="18"/>
                <w:color w:val="auto"/>
              </w:rPr>
              <w:t>Print Name/Title:</w:t>
            </w:r>
          </w:p>
        </w:tc>
        <w:tc>
          <w:tcPr>
            <w:tcW w:w="2640" w:type="dxa"/>
            <w:vAlign w:val="bottom"/>
            <w:tcBorders>
              <w:bottom w:val="single" w:sz="8" w:color="auto"/>
            </w:tcBorders>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6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To Account #</w:t>
            </w:r>
          </w:p>
        </w:tc>
      </w:tr>
      <w:tr>
        <w:trPr>
          <w:trHeight w:val="230"/>
        </w:trPr>
        <w:tc>
          <w:tcPr>
            <w:tcW w:w="166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(Loan Account #)</w:t>
            </w:r>
          </w:p>
        </w:tc>
        <w:tc>
          <w:tcPr>
            <w:tcW w:w="2040" w:type="dxa"/>
            <w:vAlign w:val="bottom"/>
          </w:tcPr>
          <w:p>
            <w:pPr>
              <w:spacing w:after="0"/>
              <w:rPr>
                <w:sz w:val="20"/>
                <w:szCs w:val="20"/>
                <w:color w:val="auto"/>
              </w:rPr>
            </w:pPr>
          </w:p>
        </w:tc>
        <w:tc>
          <w:tcPr>
            <w:tcW w:w="32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(Deposit Account #)</w:t>
            </w:r>
          </w:p>
        </w:tc>
      </w:tr>
      <w:tr>
        <w:trPr>
          <w:trHeight w:val="452"/>
        </w:trPr>
        <w:tc>
          <w:tcPr>
            <w:tcW w:w="20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8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6"/>
          <w:szCs w:val="16"/>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2057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0573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18268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gridSpan w:val="3"/>
          </w:tcPr>
          <w:p>
            <w:pPr>
              <w:ind w:left="100"/>
              <w:spacing w:after="0"/>
              <w:rPr>
                <w:sz w:val="20"/>
                <w:szCs w:val="20"/>
                <w:color w:val="auto"/>
              </w:rPr>
            </w:pPr>
            <w:r>
              <w:rPr>
                <w:rFonts w:ascii="Arial" w:cs="Arial" w:eastAsia="Arial" w:hAnsi="Arial"/>
                <w:sz w:val="18"/>
                <w:szCs w:val="18"/>
                <w:color w:val="auto"/>
              </w:rPr>
              <w:t>Beneficiary Name:</w:t>
            </w: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20" w:type="dxa"/>
            <w:vAlign w:val="bottom"/>
            <w:gridSpan w:val="3"/>
          </w:tcPr>
          <w:p>
            <w:pPr>
              <w:ind w:left="500"/>
              <w:spacing w:after="0"/>
              <w:rPr>
                <w:sz w:val="20"/>
                <w:szCs w:val="20"/>
                <w:color w:val="auto"/>
              </w:rPr>
            </w:pPr>
            <w:r>
              <w:rPr>
                <w:rFonts w:ascii="Arial" w:cs="Arial" w:eastAsia="Arial" w:hAnsi="Arial"/>
                <w:sz w:val="18"/>
                <w:szCs w:val="18"/>
                <w:color w:val="auto"/>
              </w:rPr>
              <w:t>Amount of Wire: $</w:t>
            </w:r>
          </w:p>
        </w:tc>
      </w:tr>
      <w:tr>
        <w:trPr>
          <w:trHeight w:val="223"/>
        </w:trPr>
        <w:tc>
          <w:tcPr>
            <w:tcW w:w="2080" w:type="dxa"/>
            <w:vAlign w:val="bottom"/>
          </w:tcPr>
          <w:p>
            <w:pPr>
              <w:ind w:left="100"/>
              <w:spacing w:after="0"/>
              <w:rPr>
                <w:sz w:val="20"/>
                <w:szCs w:val="20"/>
                <w:color w:val="auto"/>
              </w:rPr>
            </w:pPr>
            <w:r>
              <w:rPr>
                <w:rFonts w:ascii="Arial" w:cs="Arial" w:eastAsia="Arial" w:hAnsi="Arial"/>
                <w:sz w:val="18"/>
                <w:szCs w:val="18"/>
                <w:color w:val="auto"/>
              </w:rPr>
              <w:t>Beneficiary Bank:</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40" w:type="dxa"/>
            <w:vAlign w:val="bottom"/>
          </w:tcPr>
          <w:p>
            <w:pPr>
              <w:ind w:left="500"/>
              <w:spacing w:after="0"/>
              <w:rPr>
                <w:sz w:val="20"/>
                <w:szCs w:val="20"/>
                <w:color w:val="auto"/>
              </w:rPr>
            </w:pPr>
            <w:r>
              <w:rPr>
                <w:rFonts w:ascii="Arial" w:cs="Arial" w:eastAsia="Arial" w:hAnsi="Arial"/>
                <w:sz w:val="18"/>
                <w:szCs w:val="18"/>
                <w:color w:val="auto"/>
              </w:rPr>
              <w:t>Account Number:</w:t>
            </w:r>
          </w:p>
        </w:tc>
        <w:tc>
          <w:tcPr>
            <w:tcW w:w="15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r>
      <w:tr>
        <w:trPr>
          <w:trHeight w:val="223"/>
        </w:trPr>
        <w:tc>
          <w:tcPr>
            <w:tcW w:w="2080" w:type="dxa"/>
            <w:vAlign w:val="bottom"/>
          </w:tcPr>
          <w:p>
            <w:pPr>
              <w:ind w:left="100"/>
              <w:spacing w:after="0"/>
              <w:rPr>
                <w:sz w:val="20"/>
                <w:szCs w:val="20"/>
                <w:color w:val="auto"/>
              </w:rPr>
            </w:pPr>
            <w:r>
              <w:rPr>
                <w:rFonts w:ascii="Arial" w:cs="Arial" w:eastAsia="Arial" w:hAnsi="Arial"/>
                <w:sz w:val="18"/>
                <w:szCs w:val="18"/>
                <w:color w:val="auto"/>
              </w:rPr>
              <w:t>City and State: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66"/>
        </w:trPr>
        <w:tc>
          <w:tcPr>
            <w:tcW w:w="3200" w:type="dxa"/>
            <w:vAlign w:val="bottom"/>
            <w:gridSpan w:val="3"/>
          </w:tcPr>
          <w:p>
            <w:pPr>
              <w:spacing w:after="0"/>
              <w:rPr>
                <w:sz w:val="20"/>
                <w:szCs w:val="20"/>
                <w:color w:val="auto"/>
              </w:rPr>
            </w:pPr>
            <w:r>
              <w:rPr>
                <w:rFonts w:ascii="Arial" w:cs="Arial" w:eastAsia="Arial" w:hAnsi="Arial"/>
                <w:sz w:val="18"/>
                <w:szCs w:val="18"/>
                <w:color w:val="auto"/>
              </w:rPr>
              <w:t>Beneficiary Bank Transit (ABA) #:</w:t>
            </w:r>
          </w:p>
        </w:tc>
        <w:tc>
          <w:tcPr>
            <w:tcW w:w="1340" w:type="dxa"/>
            <w:vAlign w:val="bottom"/>
          </w:tcPr>
          <w:p>
            <w:pPr>
              <w:spacing w:after="0"/>
              <w:rPr>
                <w:sz w:val="24"/>
                <w:szCs w:val="24"/>
                <w:color w:val="auto"/>
              </w:rPr>
            </w:pPr>
          </w:p>
        </w:tc>
        <w:tc>
          <w:tcPr>
            <w:tcW w:w="5740" w:type="dxa"/>
            <w:vAlign w:val="bottom"/>
            <w:gridSpan w:val="4"/>
          </w:tcPr>
          <w:p>
            <w:pPr>
              <w:ind w:left="100"/>
              <w:spacing w:after="0"/>
              <w:rPr>
                <w:sz w:val="20"/>
                <w:szCs w:val="20"/>
                <w:color w:val="auto"/>
              </w:rPr>
            </w:pPr>
            <w:r>
              <w:rPr>
                <w:rFonts w:ascii="Arial" w:cs="Arial" w:eastAsia="Arial" w:hAnsi="Arial"/>
                <w:sz w:val="18"/>
                <w:szCs w:val="18"/>
                <w:color w:val="auto"/>
              </w:rPr>
              <w:t>Beneficiary Bank Code (Swift, Sort, Chip, etc.):</w:t>
            </w:r>
          </w:p>
        </w:tc>
      </w:tr>
      <w:tr>
        <w:trPr>
          <w:trHeight w:val="207"/>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80" w:type="dxa"/>
            <w:vAlign w:val="bottom"/>
            <w:gridSpan w:val="2"/>
          </w:tcPr>
          <w:p>
            <w:pPr>
              <w:ind w:left="1340"/>
              <w:spacing w:after="0"/>
              <w:rPr>
                <w:sz w:val="20"/>
                <w:szCs w:val="20"/>
                <w:color w:val="auto"/>
              </w:rPr>
            </w:pPr>
            <w:r>
              <w:rPr>
                <w:rFonts w:ascii="Arial" w:cs="Arial" w:eastAsia="Arial" w:hAnsi="Arial"/>
                <w:sz w:val="18"/>
                <w:szCs w:val="18"/>
                <w:b w:val="1"/>
                <w:bCs w:val="1"/>
                <w:color w:val="auto"/>
              </w:rPr>
              <w:t>(For International Wire Only)</w:t>
            </w:r>
          </w:p>
        </w:tc>
        <w:tc>
          <w:tcPr>
            <w:tcW w:w="1340" w:type="dxa"/>
            <w:vAlign w:val="bottom"/>
            <w:tcBorders>
              <w:top w:val="single" w:sz="8" w:color="auto"/>
            </w:tcBorders>
          </w:tcPr>
          <w:p>
            <w:pPr>
              <w:spacing w:after="0"/>
              <w:rPr>
                <w:sz w:val="18"/>
                <w:szCs w:val="18"/>
                <w:color w:val="auto"/>
              </w:rPr>
            </w:pPr>
          </w:p>
        </w:tc>
      </w:tr>
      <w:tr>
        <w:trPr>
          <w:trHeight w:val="475"/>
        </w:trPr>
        <w:tc>
          <w:tcPr>
            <w:tcW w:w="3200" w:type="dxa"/>
            <w:vAlign w:val="bottom"/>
            <w:gridSpan w:val="3"/>
          </w:tcPr>
          <w:p>
            <w:pPr>
              <w:ind w:left="100"/>
              <w:spacing w:after="0"/>
              <w:rPr>
                <w:sz w:val="20"/>
                <w:szCs w:val="20"/>
                <w:color w:val="auto"/>
              </w:rPr>
            </w:pPr>
            <w:r>
              <w:rPr>
                <w:rFonts w:ascii="Arial" w:cs="Arial" w:eastAsia="Arial" w:hAnsi="Arial"/>
                <w:sz w:val="18"/>
                <w:szCs w:val="18"/>
                <w:color w:val="auto"/>
              </w:rPr>
              <w:t>Intermediary Bank:</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20" w:type="dxa"/>
            <w:vAlign w:val="bottom"/>
            <w:gridSpan w:val="3"/>
          </w:tcPr>
          <w:p>
            <w:pPr>
              <w:ind w:left="500"/>
              <w:spacing w:after="0"/>
              <w:rPr>
                <w:sz w:val="20"/>
                <w:szCs w:val="20"/>
                <w:color w:val="auto"/>
              </w:rPr>
            </w:pPr>
            <w:r>
              <w:rPr>
                <w:rFonts w:ascii="Arial" w:cs="Arial" w:eastAsia="Arial" w:hAnsi="Arial"/>
                <w:sz w:val="18"/>
                <w:szCs w:val="18"/>
                <w:color w:val="auto"/>
              </w:rPr>
              <w:t>Transit (ABA) #:</w:t>
            </w:r>
          </w:p>
        </w:tc>
      </w:tr>
      <w:tr>
        <w:trPr>
          <w:trHeight w:val="223"/>
        </w:trPr>
        <w:tc>
          <w:tcPr>
            <w:tcW w:w="2280" w:type="dxa"/>
            <w:vAlign w:val="bottom"/>
            <w:gridSpan w:val="2"/>
          </w:tcPr>
          <w:p>
            <w:pPr>
              <w:ind w:left="100"/>
              <w:spacing w:after="0"/>
              <w:rPr>
                <w:sz w:val="20"/>
                <w:szCs w:val="20"/>
                <w:color w:val="auto"/>
              </w:rPr>
            </w:pPr>
            <w:r>
              <w:rPr>
                <w:rFonts w:ascii="Arial" w:cs="Arial" w:eastAsia="Arial" w:hAnsi="Arial"/>
                <w:sz w:val="18"/>
                <w:szCs w:val="18"/>
                <w:color w:val="auto"/>
              </w:rPr>
              <w:t>For Further Credit to:</w:t>
            </w:r>
          </w:p>
        </w:tc>
        <w:tc>
          <w:tcPr>
            <w:tcW w:w="9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bl>
    <w:p>
      <w:pPr>
        <w:spacing w:after="0" w:line="202" w:lineRule="exact"/>
        <w:rPr>
          <w:sz w:val="20"/>
          <w:szCs w:val="20"/>
          <w:color w:val="auto"/>
        </w:rPr>
      </w:pPr>
    </w:p>
    <w:p>
      <w:pPr>
        <w:spacing w:after="0"/>
        <w:tabs>
          <w:tab w:leader="none" w:pos="700" w:val="left"/>
          <w:tab w:leader="none" w:pos="1700" w:val="left"/>
          <w:tab w:leader="none" w:pos="9080" w:val="left"/>
          <w:tab w:leader="none" w:pos="9460" w:val="left"/>
          <w:tab w:leader="none" w:pos="10180" w:val="left"/>
          <w:tab w:leader="none" w:pos="10820" w:val="left"/>
          <w:tab w:leader="none" w:pos="11080" w:val="left"/>
        </w:tabs>
        <w:rPr>
          <w:sz w:val="20"/>
          <w:szCs w:val="20"/>
          <w:color w:val="auto"/>
        </w:rPr>
      </w:pPr>
      <w:r>
        <w:rPr>
          <w:rFonts w:ascii="Arial" w:cs="Arial" w:eastAsia="Arial" w:hAnsi="Arial"/>
          <w:sz w:val="18"/>
          <w:szCs w:val="18"/>
          <w:color w:val="auto"/>
        </w:rPr>
        <w:t>Special</w:t>
        <w:tab/>
        <w:t>Instruction:</w:t>
      </w:r>
      <w:r>
        <w:rPr>
          <w:sz w:val="20"/>
          <w:szCs w:val="20"/>
          <w:color w:val="auto"/>
        </w:rPr>
        <w:tab/>
      </w:r>
      <w:r>
        <w:rPr>
          <w:rFonts w:ascii="Arial" w:cs="Arial" w:eastAsia="Arial" w:hAnsi="Arial"/>
          <w:sz w:val="17"/>
          <w:szCs w:val="17"/>
          <w:color w:val="auto"/>
        </w:rPr>
        <w:t>________________________________________________________________________________</w:t>
      </w:r>
      <w:r>
        <w:rPr>
          <w:sz w:val="20"/>
          <w:szCs w:val="20"/>
          <w:color w:val="auto"/>
        </w:rPr>
        <w:tab/>
      </w:r>
      <w:r>
        <w:rPr>
          <w:rFonts w:ascii="Arial" w:cs="Arial" w:eastAsia="Arial" w:hAnsi="Arial"/>
          <w:sz w:val="18"/>
          <w:szCs w:val="18"/>
          <w:i w:val="1"/>
          <w:iCs w:val="1"/>
          <w:color w:val="auto"/>
        </w:rPr>
        <w:t>By</w:t>
        <w:tab/>
        <w:t>signing</w:t>
        <w:tab/>
        <w:t>below,</w:t>
        <w:tab/>
        <w:t>I</w:t>
      </w:r>
      <w:r>
        <w:rPr>
          <w:sz w:val="20"/>
          <w:szCs w:val="20"/>
          <w:color w:val="auto"/>
        </w:rPr>
        <w:tab/>
      </w:r>
      <w:r>
        <w:rPr>
          <w:rFonts w:ascii="Arial" w:cs="Arial" w:eastAsia="Arial" w:hAnsi="Arial"/>
          <w:sz w:val="16"/>
          <w:szCs w:val="16"/>
          <w:i w:val="1"/>
          <w:iCs w:val="1"/>
          <w:color w:val="auto"/>
        </w:rPr>
        <w:t>(we)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ectPr>
          <w:pgSz w:w="11900" w:h="16838" w:orient="portrait"/>
          <w:cols w:equalWidth="0" w:num="1">
            <w:col w:w="11420"/>
          </w:cols>
          <w:pgMar w:left="240" w:top="661" w:right="2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Print Name/Title: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Telephone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Signature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-17780</wp:posOffset>
            </wp:positionV>
            <wp:extent cx="15608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0830" cy="1714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-17780</wp:posOffset>
            </wp:positionV>
            <wp:extent cx="18268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4445</wp:posOffset>
            </wp:positionV>
            <wp:extent cx="15608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0830" cy="1714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4445</wp:posOffset>
            </wp:positionV>
            <wp:extent cx="18268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14605</wp:posOffset>
            </wp:positionV>
            <wp:extent cx="15608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0830" cy="1714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14605</wp:posOffset>
            </wp:positionV>
            <wp:extent cx="18268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1714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323850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640" w:space="720"/>
            <w:col w:w="6060"/>
          </w:cols>
          <w:pgMar w:left="240" w:top="661"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IMMY FUNDING LLC, as Collateral Agent and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IMPRIMIS PHARMACEUTICALS, INC., as Borrower</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undersigned authorized officer (“</w:t>
      </w:r>
      <w:r>
        <w:rPr>
          <w:rFonts w:ascii="Arial" w:cs="Arial" w:eastAsia="Arial" w:hAnsi="Arial"/>
          <w:sz w:val="16"/>
          <w:szCs w:val="16"/>
          <w:b w:val="1"/>
          <w:bCs w:val="1"/>
          <w:color w:val="auto"/>
        </w:rPr>
        <w:t>Officer</w:t>
      </w:r>
      <w:r>
        <w:rPr>
          <w:rFonts w:ascii="Arial" w:cs="Arial" w:eastAsia="Arial" w:hAnsi="Arial"/>
          <w:sz w:val="16"/>
          <w:szCs w:val="16"/>
          <w:color w:val="auto"/>
        </w:rPr>
        <w:t>”) of Imprimis Pharmaceuticals, Inc. (“</w:t>
      </w:r>
      <w:r>
        <w:rPr>
          <w:rFonts w:ascii="Arial" w:cs="Arial" w:eastAsia="Arial" w:hAnsi="Arial"/>
          <w:sz w:val="16"/>
          <w:szCs w:val="16"/>
          <w:b w:val="1"/>
          <w:bCs w:val="1"/>
          <w:color w:val="auto"/>
        </w:rPr>
        <w:t>Borrower</w:t>
      </w:r>
      <w:r>
        <w:rPr>
          <w:rFonts w:ascii="Arial" w:cs="Arial" w:eastAsia="Arial" w:hAnsi="Arial"/>
          <w:sz w:val="16"/>
          <w:szCs w:val="16"/>
          <w:color w:val="auto"/>
        </w:rPr>
        <w:t>”), hereby certifies that in accordance with the terms and conditions of the Loan and Security Agreement dated as of May 11, 2015, by and among Borrower, Collateral Agent, and the Lenders from time to time party thereto (the “</w:t>
      </w:r>
      <w:r>
        <w:rPr>
          <w:rFonts w:ascii="Arial" w:cs="Arial" w:eastAsia="Arial" w:hAnsi="Arial"/>
          <w:sz w:val="16"/>
          <w:szCs w:val="16"/>
          <w:b w:val="1"/>
          <w:bCs w:val="1"/>
          <w:color w:val="auto"/>
        </w:rPr>
        <w:t>Loan Agreement</w:t>
      </w:r>
      <w:r>
        <w:rPr>
          <w:rFonts w:ascii="Arial" w:cs="Arial" w:eastAsia="Arial" w:hAnsi="Arial"/>
          <w:sz w:val="16"/>
          <w:szCs w:val="16"/>
          <w:color w:val="auto"/>
        </w:rPr>
        <w:t>;” capitalized terms used but not otherwise defined herein shall have the meanings given them in the Loan Agreement),</w:t>
      </w:r>
    </w:p>
    <w:p>
      <w:pPr>
        <w:spacing w:after="0" w:line="146" w:lineRule="exact"/>
        <w:rPr>
          <w:sz w:val="20"/>
          <w:szCs w:val="20"/>
          <w:color w:val="auto"/>
        </w:rPr>
      </w:pPr>
    </w:p>
    <w:p>
      <w:pPr>
        <w:ind w:left="900" w:hanging="244"/>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 with all required covenants except as noted below;</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are no Defaults or Events of Default, except as noted below;</w:t>
      </w:r>
    </w:p>
    <w:p>
      <w:pPr>
        <w:spacing w:after="0" w:line="225" w:lineRule="exact"/>
        <w:rPr>
          <w:rFonts w:ascii="Arial" w:cs="Arial" w:eastAsia="Arial" w:hAnsi="Arial"/>
          <w:sz w:val="18"/>
          <w:szCs w:val="18"/>
          <w:color w:val="auto"/>
        </w:rPr>
      </w:pPr>
    </w:p>
    <w:p>
      <w:pPr>
        <w:jc w:val="both"/>
        <w:ind w:firstLine="656"/>
        <w:spacing w:after="0" w:line="279"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9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25" w:lineRule="exact"/>
        <w:rPr>
          <w:sz w:val="20"/>
          <w:szCs w:val="20"/>
          <w:color w:val="auto"/>
        </w:rPr>
      </w:pPr>
    </w:p>
    <w:p>
      <w:pPr>
        <w:ind w:left="1460"/>
        <w:spacing w:after="0"/>
        <w:tabs>
          <w:tab w:leader="none" w:pos="5720" w:val="left"/>
          <w:tab w:leader="none" w:pos="8480" w:val="left"/>
          <w:tab w:leader="none" w:pos="10020" w:val="left"/>
        </w:tabs>
        <w:rPr>
          <w:sz w:val="20"/>
          <w:szCs w:val="20"/>
          <w:color w:val="auto"/>
        </w:rPr>
      </w:pPr>
      <w:r>
        <w:rPr>
          <w:rFonts w:ascii="Arial" w:cs="Arial" w:eastAsia="Arial" w:hAnsi="Arial"/>
          <w:sz w:val="18"/>
          <w:szCs w:val="18"/>
          <w:b w:val="1"/>
          <w:bCs w:val="1"/>
          <w:color w:val="auto"/>
        </w:rPr>
        <w:t>Reporting Covenant</w:t>
      </w:r>
      <w:r>
        <w:rPr>
          <w:sz w:val="20"/>
          <w:szCs w:val="20"/>
          <w:color w:val="auto"/>
        </w:rPr>
        <w:tab/>
      </w:r>
      <w:r>
        <w:rPr>
          <w:rFonts w:ascii="Arial" w:cs="Arial" w:eastAsia="Arial" w:hAnsi="Arial"/>
          <w:sz w:val="18"/>
          <w:szCs w:val="18"/>
          <w:b w:val="1"/>
          <w:bCs w:val="1"/>
          <w:color w:val="auto"/>
        </w:rPr>
        <w:t>Requirement</w:t>
      </w:r>
      <w:r>
        <w:rPr>
          <w:sz w:val="20"/>
          <w:szCs w:val="20"/>
          <w:color w:val="auto"/>
        </w:rPr>
        <w:tab/>
      </w:r>
      <w:r>
        <w:rPr>
          <w:rFonts w:ascii="Arial" w:cs="Arial" w:eastAsia="Arial" w:hAnsi="Arial"/>
          <w:sz w:val="18"/>
          <w:szCs w:val="18"/>
          <w:b w:val="1"/>
          <w:bCs w:val="1"/>
          <w:color w:val="auto"/>
        </w:rPr>
        <w:t>Actual</w:t>
      </w:r>
      <w:r>
        <w:rPr>
          <w:sz w:val="20"/>
          <w:szCs w:val="20"/>
          <w:color w:val="auto"/>
        </w:rPr>
        <w:tab/>
      </w:r>
      <w:r>
        <w:rPr>
          <w:rFonts w:ascii="Arial" w:cs="Arial" w:eastAsia="Arial" w:hAnsi="Arial"/>
          <w:sz w:val="15"/>
          <w:szCs w:val="15"/>
          <w:b w:val="1"/>
          <w:bCs w:val="1"/>
          <w:color w:val="auto"/>
        </w:rPr>
        <w:t>Complies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702373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3735"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p>
      <w:pPr>
        <w:spacing w:after="0" w:line="256"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Annual (CPA Audited) statements</w:t>
      </w:r>
    </w:p>
    <w:p>
      <w:pPr>
        <w:spacing w:after="0" w:line="225" w:lineRule="exact"/>
        <w:rPr>
          <w:rFonts w:ascii="Arial" w:cs="Arial" w:eastAsia="Arial" w:hAnsi="Arial"/>
          <w:sz w:val="18"/>
          <w:szCs w:val="18"/>
          <w:b w:val="1"/>
          <w:bCs w:val="1"/>
          <w:color w:val="auto"/>
        </w:rPr>
      </w:pPr>
    </w:p>
    <w:p>
      <w:pPr>
        <w:ind w:left="360" w:hanging="352"/>
        <w:spacing w:after="0" w:line="277" w:lineRule="auto"/>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Annual Financial Projections/Budget (prepared on a monthly basis)</w:t>
      </w:r>
    </w:p>
    <w:p>
      <w:pPr>
        <w:spacing w:after="0" w:line="386" w:lineRule="exact"/>
        <w:rPr>
          <w:rFonts w:ascii="Arial" w:cs="Arial" w:eastAsia="Arial" w:hAnsi="Arial"/>
          <w:sz w:val="18"/>
          <w:szCs w:val="18"/>
          <w:b w:val="1"/>
          <w:bCs w:val="1"/>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8-K, 10-K and 10-Q Filings</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Compliance Certificate</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IP Report</w:t>
      </w:r>
    </w:p>
    <w:p>
      <w:pPr>
        <w:spacing w:after="0" w:line="225" w:lineRule="exact"/>
        <w:rPr>
          <w:rFonts w:ascii="Arial" w:cs="Arial" w:eastAsia="Arial" w:hAnsi="Arial"/>
          <w:sz w:val="18"/>
          <w:szCs w:val="18"/>
          <w:b w:val="1"/>
          <w:bCs w:val="1"/>
          <w:color w:val="auto"/>
        </w:rPr>
      </w:pPr>
    </w:p>
    <w:p>
      <w:pPr>
        <w:ind w:left="360" w:right="440" w:hanging="352"/>
        <w:spacing w:after="0" w:line="264" w:lineRule="auto"/>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Total amount of Borrower’s cash and cash equivalents at the last day of the measurement period</w:t>
      </w:r>
    </w:p>
    <w:p>
      <w:pPr>
        <w:spacing w:after="0" w:line="194" w:lineRule="exact"/>
        <w:rPr>
          <w:rFonts w:ascii="Arial" w:cs="Arial" w:eastAsia="Arial" w:hAnsi="Arial"/>
          <w:sz w:val="18"/>
          <w:szCs w:val="18"/>
          <w:b w:val="1"/>
          <w:bCs w:val="1"/>
          <w:color w:val="auto"/>
        </w:rPr>
      </w:pPr>
    </w:p>
    <w:p>
      <w:pPr>
        <w:jc w:val="both"/>
        <w:ind w:left="360" w:right="80" w:hanging="352"/>
        <w:spacing w:after="0" w:line="264" w:lineRule="auto"/>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Total amount of Borrower’s Subsidiaries’ cash and cash equivalents at the last day of the measurement period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Quarterly within 45 days</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Within 90 days after FYE</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418"/>
        </w:trPr>
        <w:tc>
          <w:tcPr>
            <w:tcW w:w="4800" w:type="dxa"/>
            <w:vAlign w:val="bottom"/>
            <w:gridSpan w:val="2"/>
          </w:tcPr>
          <w:p>
            <w:pPr>
              <w:spacing w:after="0"/>
              <w:rPr>
                <w:sz w:val="20"/>
                <w:szCs w:val="20"/>
                <w:color w:val="auto"/>
              </w:rPr>
            </w:pPr>
            <w:r>
              <w:rPr>
                <w:rFonts w:ascii="Arial" w:cs="Arial" w:eastAsia="Arial" w:hAnsi="Arial"/>
                <w:sz w:val="18"/>
                <w:szCs w:val="18"/>
                <w:color w:val="auto"/>
              </w:rPr>
              <w:t>Annually (within earlier 10 days of approval or 60</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days of FYE), and when revised (no later than 7</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days of approval)</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If applicable, within 5 days of filing</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Monthly within 30 days</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When required</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851"/>
        </w:trPr>
        <w:tc>
          <w:tcPr>
            <w:tcW w:w="480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27"/>
        </w:trPr>
        <w:tc>
          <w:tcPr>
            <w:tcW w:w="4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851"/>
        </w:trPr>
        <w:tc>
          <w:tcPr>
            <w:tcW w:w="4800" w:type="dxa"/>
            <w:vAlign w:val="bottom"/>
            <w:gridSpan w:val="2"/>
          </w:tcPr>
          <w:p>
            <w:pPr>
              <w:ind w:left="4000"/>
              <w:spacing w:after="0"/>
              <w:rPr>
                <w:sz w:val="20"/>
                <w:szCs w:val="20"/>
                <w:color w:val="auto"/>
              </w:rPr>
            </w:pPr>
            <w:r>
              <w:rPr>
                <w:rFonts w:ascii="Arial" w:cs="Arial" w:eastAsia="Arial" w:hAnsi="Arial"/>
                <w:sz w:val="18"/>
                <w:szCs w:val="18"/>
                <w:color w:val="auto"/>
              </w:rPr>
              <w:t>$</w:t>
            </w:r>
          </w:p>
        </w:tc>
        <w:tc>
          <w:tcPr>
            <w:tcW w:w="920" w:type="dxa"/>
            <w:vAlign w:val="bottom"/>
          </w:tcPr>
          <w:p>
            <w:pPr>
              <w:ind w:left="44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20" w:type="dxa"/>
            <w:vAlign w:val="bottom"/>
          </w:tcPr>
          <w:p>
            <w:pPr>
              <w:ind w:left="200"/>
              <w:spacing w:after="0"/>
              <w:rPr>
                <w:sz w:val="20"/>
                <w:szCs w:val="20"/>
                <w:color w:val="auto"/>
              </w:rPr>
            </w:pPr>
            <w:r>
              <w:rPr>
                <w:rFonts w:ascii="Arial" w:cs="Arial" w:eastAsia="Arial" w:hAnsi="Arial"/>
                <w:sz w:val="18"/>
                <w:szCs w:val="18"/>
                <w:color w:val="auto"/>
                <w:w w:val="99"/>
              </w:rPr>
              <w:t>N/A</w:t>
            </w:r>
          </w:p>
        </w:tc>
      </w:tr>
      <w:tr>
        <w:trPr>
          <w:trHeight w:val="27"/>
        </w:trPr>
        <w:tc>
          <w:tcPr>
            <w:tcW w:w="4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-2898140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-2623820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-2348865</wp:posOffset>
            </wp:positionV>
            <wp:extent cx="72466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-1800225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-1525905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-1251585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-977265</wp:posOffset>
            </wp:positionV>
            <wp:extent cx="72466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2466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274320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120" w:space="240"/>
            <w:col w:w="7060"/>
          </w:cols>
          <w:pgMar w:left="240" w:top="661"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9400" w:type="dxa"/>
            <w:vAlign w:val="bottom"/>
            <w:gridSpan w:val="4"/>
          </w:tcPr>
          <w:p>
            <w:pPr>
              <w:spacing w:after="0"/>
              <w:rPr>
                <w:sz w:val="20"/>
                <w:szCs w:val="20"/>
                <w:color w:val="auto"/>
              </w:rPr>
            </w:pPr>
            <w:r>
              <w:rPr>
                <w:rFonts w:ascii="Arial" w:cs="Arial" w:eastAsia="Arial" w:hAnsi="Arial"/>
                <w:sz w:val="18"/>
                <w:szCs w:val="18"/>
                <w:b w:val="1"/>
                <w:bCs w:val="1"/>
                <w:color w:val="auto"/>
              </w:rPr>
              <w:t>Negative Covenant Compliance</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9"/>
        </w:trPr>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80" w:type="dxa"/>
            <w:vAlign w:val="bottom"/>
            <w:tcBorders>
              <w:bottom w:val="single" w:sz="8" w:color="auto"/>
            </w:tcBorders>
          </w:tcPr>
          <w:p>
            <w:pPr>
              <w:ind w:left="3600"/>
              <w:spacing w:after="0"/>
              <w:rPr>
                <w:sz w:val="20"/>
                <w:szCs w:val="20"/>
                <w:color w:val="auto"/>
              </w:rPr>
            </w:pPr>
            <w:r>
              <w:rPr>
                <w:rFonts w:ascii="Arial" w:cs="Arial" w:eastAsia="Arial" w:hAnsi="Arial"/>
                <w:sz w:val="18"/>
                <w:szCs w:val="18"/>
                <w:b w:val="1"/>
                <w:bCs w:val="1"/>
                <w:color w:val="auto"/>
              </w:rPr>
              <w:t>Negative Covenant</w:t>
            </w:r>
          </w:p>
        </w:tc>
        <w:tc>
          <w:tcPr>
            <w:tcW w:w="2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Complies</w:t>
            </w:r>
          </w:p>
        </w:tc>
        <w:tc>
          <w:tcPr>
            <w:tcW w:w="580" w:type="dxa"/>
            <w:vAlign w:val="bottom"/>
            <w:tcBorders>
              <w:bottom w:val="single" w:sz="8" w:color="auto"/>
            </w:tcBorders>
          </w:tcPr>
          <w:p>
            <w:pPr>
              <w:spacing w:after="0"/>
              <w:rPr>
                <w:sz w:val="24"/>
                <w:szCs w:val="24"/>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Dispositions (§ 7.1)</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2)</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Changes in Business, Management, Ownership, or Business Locations (§ 7.2)</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3)</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Mergers or Acquisitions (§ 7.3)</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4)</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Indebtedness (§ 7.4)</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5)</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Encumbrance (§ 7.5)</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Maintenance of Collateral Accounts (§ 7.6)</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7)</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Restricted Payments (§ 7.7)</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8)</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Investments (§ 7.8)</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9)</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Transactions with Affiliates (§ 7.9)</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Subordinated Debt (§ 7.10)</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Compliance (§ 7.11)</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Compliance with Anti-Terrorism Laws (§ 7.12)</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32"/>
        </w:trPr>
        <w:tc>
          <w:tcPr>
            <w:tcW w:w="3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9020" w:type="dxa"/>
            <w:vAlign w:val="bottom"/>
            <w:gridSpan w:val="3"/>
          </w:tcPr>
          <w:p>
            <w:pPr>
              <w:ind w:left="120"/>
              <w:spacing w:after="0"/>
              <w:rPr>
                <w:sz w:val="20"/>
                <w:szCs w:val="20"/>
                <w:color w:val="auto"/>
              </w:rPr>
            </w:pPr>
            <w:r>
              <w:rPr>
                <w:rFonts w:ascii="Arial" w:cs="Arial" w:eastAsia="Arial" w:hAnsi="Arial"/>
                <w:sz w:val="18"/>
                <w:szCs w:val="18"/>
                <w:color w:val="auto"/>
              </w:rPr>
              <w:t>Material Agreements (§ 7.13)</w:t>
            </w:r>
          </w:p>
        </w:tc>
        <w:tc>
          <w:tcPr>
            <w:tcW w:w="560" w:type="dxa"/>
            <w:vAlign w:val="bottom"/>
          </w:tcPr>
          <w:p>
            <w:pPr>
              <w:ind w:left="200"/>
              <w:spacing w:after="0"/>
              <w:rPr>
                <w:sz w:val="20"/>
                <w:szCs w:val="20"/>
                <w:color w:val="auto"/>
              </w:rPr>
            </w:pPr>
            <w:r>
              <w:rPr>
                <w:rFonts w:ascii="Arial" w:cs="Arial" w:eastAsia="Arial" w:hAnsi="Arial"/>
                <w:sz w:val="18"/>
                <w:szCs w:val="18"/>
                <w:color w:val="auto"/>
              </w:rPr>
              <w:t>Yes</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80" w:type="dxa"/>
            <w:vAlign w:val="bottom"/>
          </w:tcPr>
          <w:p>
            <w:pPr>
              <w:ind w:left="80"/>
              <w:spacing w:after="0"/>
              <w:rPr>
                <w:sz w:val="20"/>
                <w:szCs w:val="20"/>
                <w:color w:val="auto"/>
              </w:rPr>
            </w:pPr>
            <w:r>
              <w:rPr>
                <w:rFonts w:ascii="Arial" w:cs="Arial" w:eastAsia="Arial" w:hAnsi="Arial"/>
                <w:sz w:val="18"/>
                <w:szCs w:val="18"/>
                <w:color w:val="auto"/>
              </w:rPr>
              <w:t>N/A</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453"/>
        </w:trPr>
        <w:tc>
          <w:tcPr>
            <w:tcW w:w="58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1"/>
              </w:rPr>
              <w:t>(Please list all accounts; attach separate sheet if additional space needed)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9"/>
        </w:trPr>
        <w:tc>
          <w:tcPr>
            <w:tcW w:w="460" w:type="dxa"/>
            <w:vAlign w:val="bottom"/>
          </w:tcPr>
          <w:p>
            <w:pPr>
              <w:spacing w:after="0"/>
              <w:rPr>
                <w:sz w:val="24"/>
                <w:szCs w:val="24"/>
                <w:color w:val="auto"/>
              </w:rPr>
            </w:pPr>
          </w:p>
        </w:tc>
        <w:tc>
          <w:tcPr>
            <w:tcW w:w="1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Institution Name</w:t>
            </w:r>
          </w:p>
        </w:tc>
        <w:tc>
          <w:tcPr>
            <w:tcW w:w="240" w:type="dxa"/>
            <w:vAlign w:val="bottom"/>
            <w:gridSpan w:val="2"/>
          </w:tcPr>
          <w:p>
            <w:pPr>
              <w:spacing w:after="0"/>
              <w:rPr>
                <w:sz w:val="24"/>
                <w:szCs w:val="24"/>
                <w:color w:val="auto"/>
              </w:rPr>
            </w:pPr>
          </w:p>
        </w:tc>
        <w:tc>
          <w:tcPr>
            <w:tcW w:w="1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Account Number</w:t>
            </w:r>
          </w:p>
        </w:tc>
        <w:tc>
          <w:tcPr>
            <w:tcW w:w="220" w:type="dxa"/>
            <w:vAlign w:val="bottom"/>
          </w:tcPr>
          <w:p>
            <w:pPr>
              <w:spacing w:after="0"/>
              <w:rPr>
                <w:sz w:val="24"/>
                <w:szCs w:val="24"/>
                <w:color w:val="auto"/>
              </w:rPr>
            </w:pPr>
          </w:p>
        </w:tc>
        <w:tc>
          <w:tcPr>
            <w:tcW w:w="22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New Account?</w:t>
            </w:r>
          </w:p>
        </w:tc>
        <w:tc>
          <w:tcPr>
            <w:tcW w:w="220" w:type="dxa"/>
            <w:vAlign w:val="bottom"/>
          </w:tcPr>
          <w:p>
            <w:pPr>
              <w:spacing w:after="0"/>
              <w:rPr>
                <w:sz w:val="24"/>
                <w:szCs w:val="24"/>
                <w:color w:val="auto"/>
              </w:rPr>
            </w:pPr>
          </w:p>
        </w:tc>
        <w:tc>
          <w:tcPr>
            <w:tcW w:w="4320" w:type="dxa"/>
            <w:vAlign w:val="bottom"/>
            <w:tcBorders>
              <w:bottom w:val="single" w:sz="8" w:color="auto"/>
            </w:tcBorders>
            <w:gridSpan w:val="2"/>
          </w:tcPr>
          <w:p>
            <w:pPr>
              <w:ind w:left="700"/>
              <w:spacing w:after="0"/>
              <w:rPr>
                <w:sz w:val="20"/>
                <w:szCs w:val="20"/>
                <w:color w:val="auto"/>
              </w:rPr>
            </w:pPr>
            <w:r>
              <w:rPr>
                <w:rFonts w:ascii="Arial" w:cs="Arial" w:eastAsia="Arial" w:hAnsi="Arial"/>
                <w:sz w:val="18"/>
                <w:szCs w:val="18"/>
                <w:b w:val="1"/>
                <w:bCs w:val="1"/>
                <w:color w:val="auto"/>
              </w:rPr>
              <w:t>Account Control Agreement in place?</w:t>
            </w:r>
          </w:p>
        </w:tc>
      </w:tr>
      <w:tr>
        <w:trPr>
          <w:trHeight w:val="414"/>
        </w:trPr>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1)</w:t>
            </w: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Yes</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No</w:t>
            </w: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c>
          <w:tcPr>
            <w:tcW w:w="2160" w:type="dxa"/>
            <w:vAlign w:val="bottom"/>
          </w:tcPr>
          <w:p>
            <w:pPr>
              <w:ind w:left="960"/>
              <w:spacing w:after="0"/>
              <w:rPr>
                <w:sz w:val="20"/>
                <w:szCs w:val="20"/>
                <w:color w:val="auto"/>
              </w:rPr>
            </w:pPr>
            <w:r>
              <w:rPr>
                <w:rFonts w:ascii="Arial" w:cs="Arial" w:eastAsia="Arial" w:hAnsi="Arial"/>
                <w:sz w:val="18"/>
                <w:szCs w:val="18"/>
                <w:color w:val="auto"/>
              </w:rPr>
              <w:t>No</w:t>
            </w:r>
          </w:p>
        </w:tc>
      </w:tr>
      <w:tr>
        <w:trPr>
          <w:trHeight w:val="216"/>
        </w:trPr>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2)</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Yes</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No</w:t>
            </w: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c>
          <w:tcPr>
            <w:tcW w:w="2160" w:type="dxa"/>
            <w:vAlign w:val="bottom"/>
          </w:tcPr>
          <w:p>
            <w:pPr>
              <w:ind w:left="960"/>
              <w:spacing w:after="0"/>
              <w:rPr>
                <w:sz w:val="20"/>
                <w:szCs w:val="20"/>
                <w:color w:val="auto"/>
              </w:rPr>
            </w:pPr>
            <w:r>
              <w:rPr>
                <w:rFonts w:ascii="Arial" w:cs="Arial" w:eastAsia="Arial" w:hAnsi="Arial"/>
                <w:sz w:val="18"/>
                <w:szCs w:val="18"/>
                <w:color w:val="auto"/>
              </w:rPr>
              <w:t>No</w:t>
            </w:r>
          </w:p>
        </w:tc>
      </w:tr>
      <w:tr>
        <w:trPr>
          <w:trHeight w:val="216"/>
        </w:trPr>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3)</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Yes</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No</w:t>
            </w: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c>
          <w:tcPr>
            <w:tcW w:w="2160" w:type="dxa"/>
            <w:vAlign w:val="bottom"/>
          </w:tcPr>
          <w:p>
            <w:pPr>
              <w:ind w:left="960"/>
              <w:spacing w:after="0"/>
              <w:rPr>
                <w:sz w:val="20"/>
                <w:szCs w:val="20"/>
                <w:color w:val="auto"/>
              </w:rPr>
            </w:pPr>
            <w:r>
              <w:rPr>
                <w:rFonts w:ascii="Arial" w:cs="Arial" w:eastAsia="Arial" w:hAnsi="Arial"/>
                <w:sz w:val="18"/>
                <w:szCs w:val="18"/>
                <w:color w:val="auto"/>
              </w:rPr>
              <w:t>No</w:t>
            </w:r>
          </w:p>
        </w:tc>
      </w:tr>
      <w:tr>
        <w:trPr>
          <w:trHeight w:val="234"/>
        </w:trPr>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4)</w:t>
            </w: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ind w:left="440"/>
              <w:spacing w:after="0"/>
              <w:rPr>
                <w:sz w:val="20"/>
                <w:szCs w:val="20"/>
                <w:color w:val="auto"/>
              </w:rPr>
            </w:pPr>
            <w:r>
              <w:rPr>
                <w:rFonts w:ascii="Arial" w:cs="Arial" w:eastAsia="Arial" w:hAnsi="Arial"/>
                <w:sz w:val="18"/>
                <w:szCs w:val="18"/>
                <w:color w:val="auto"/>
              </w:rPr>
              <w:t>Yes</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No</w:t>
            </w:r>
          </w:p>
        </w:tc>
        <w:tc>
          <w:tcPr>
            <w:tcW w:w="2160" w:type="dxa"/>
            <w:vAlign w:val="bottom"/>
          </w:tcPr>
          <w:p>
            <w:pPr>
              <w:ind w:left="940"/>
              <w:spacing w:after="0"/>
              <w:rPr>
                <w:sz w:val="20"/>
                <w:szCs w:val="20"/>
                <w:color w:val="auto"/>
              </w:rPr>
            </w:pPr>
            <w:r>
              <w:rPr>
                <w:rFonts w:ascii="Arial" w:cs="Arial" w:eastAsia="Arial" w:hAnsi="Arial"/>
                <w:sz w:val="18"/>
                <w:szCs w:val="18"/>
                <w:color w:val="auto"/>
              </w:rPr>
              <w:t>Yes</w:t>
            </w:r>
          </w:p>
        </w:tc>
        <w:tc>
          <w:tcPr>
            <w:tcW w:w="2160" w:type="dxa"/>
            <w:vAlign w:val="bottom"/>
          </w:tcPr>
          <w:p>
            <w:pPr>
              <w:ind w:left="960"/>
              <w:spacing w:after="0"/>
              <w:rPr>
                <w:sz w:val="20"/>
                <w:szCs w:val="20"/>
                <w:color w:val="auto"/>
              </w:rPr>
            </w:pPr>
            <w:r>
              <w:rPr>
                <w:rFonts w:ascii="Arial" w:cs="Arial" w:eastAsia="Arial" w:hAnsi="Arial"/>
                <w:sz w:val="18"/>
                <w:szCs w:val="18"/>
                <w:color w:val="auto"/>
              </w:rPr>
              <w:t>No</w:t>
            </w:r>
          </w:p>
        </w:tc>
      </w:tr>
      <w:tr>
        <w:trPr>
          <w:trHeight w:val="466"/>
        </w:trPr>
        <w:tc>
          <w:tcPr>
            <w:tcW w:w="4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9" w:lineRule="exact"/>
        <w:rPr>
          <w:sz w:val="20"/>
          <w:szCs w:val="20"/>
          <w:color w:val="auto"/>
        </w:rPr>
      </w:pPr>
    </w:p>
    <w:p>
      <w:pPr>
        <w:ind w:left="460" w:hanging="41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Have there been any changes in any Key Person since the last Compliance Certificate?</w:t>
      </w:r>
    </w:p>
    <w:p>
      <w:pPr>
        <w:spacing w:after="0" w:line="225" w:lineRule="exact"/>
        <w:rPr>
          <w:rFonts w:ascii="Arial" w:cs="Arial" w:eastAsia="Arial" w:hAnsi="Arial"/>
          <w:sz w:val="18"/>
          <w:szCs w:val="18"/>
          <w:b w:val="1"/>
          <w:bCs w:val="1"/>
          <w:color w:val="auto"/>
        </w:rPr>
      </w:pPr>
    </w:p>
    <w:p>
      <w:pPr>
        <w:ind w:left="460" w:right="80" w:hanging="412"/>
        <w:spacing w:after="0" w:line="182" w:lineRule="auto"/>
        <w:tabs>
          <w:tab w:leader="none" w:pos="460" w:val="left"/>
        </w:tabs>
        <w:numPr>
          <w:ilvl w:val="0"/>
          <w:numId w:val="69"/>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transfers/sales/disposals/retirement of Collateral or IP prohibited by the Loan Agreement?</w:t>
      </w:r>
    </w:p>
    <w:p>
      <w:pPr>
        <w:spacing w:after="0" w:line="203" w:lineRule="exact"/>
        <w:rPr>
          <w:rFonts w:ascii="Arial" w:cs="Arial" w:eastAsia="Arial" w:hAnsi="Arial"/>
          <w:sz w:val="34"/>
          <w:szCs w:val="34"/>
          <w:b w:val="1"/>
          <w:bCs w:val="1"/>
          <w:color w:val="auto"/>
          <w:vertAlign w:val="subscript"/>
        </w:rPr>
      </w:pPr>
    </w:p>
    <w:p>
      <w:pPr>
        <w:ind w:left="460" w:right="80" w:hanging="412"/>
        <w:spacing w:after="0" w:line="182" w:lineRule="auto"/>
        <w:tabs>
          <w:tab w:leader="none" w:pos="460" w:val="left"/>
        </w:tabs>
        <w:numPr>
          <w:ilvl w:val="0"/>
          <w:numId w:val="69"/>
        </w:numPr>
        <w:rPr>
          <w:rFonts w:ascii="Arial" w:cs="Arial" w:eastAsia="Arial" w:hAnsi="Arial"/>
          <w:sz w:val="34"/>
          <w:szCs w:val="34"/>
          <w:b w:val="1"/>
          <w:bCs w:val="1"/>
          <w:color w:val="auto"/>
          <w:vertAlign w:val="subscript"/>
        </w:rPr>
      </w:pPr>
      <w:r>
        <w:rPr>
          <w:rFonts w:ascii="Arial" w:cs="Arial" w:eastAsia="Arial" w:hAnsi="Arial"/>
          <w:sz w:val="17"/>
          <w:szCs w:val="17"/>
          <w:color w:val="auto"/>
        </w:rPr>
        <w:t>Have there been any new or pending claims or causes of action against Borrower that involve more than Two Hundred Fifty Thousand Dollars ($250,000.00)?</w:t>
      </w:r>
    </w:p>
    <w:p>
      <w:pPr>
        <w:spacing w:after="0" w:line="203" w:lineRule="exact"/>
        <w:rPr>
          <w:rFonts w:ascii="Arial" w:cs="Arial" w:eastAsia="Arial" w:hAnsi="Arial"/>
          <w:sz w:val="34"/>
          <w:szCs w:val="34"/>
          <w:b w:val="1"/>
          <w:bCs w:val="1"/>
          <w:color w:val="auto"/>
          <w:vertAlign w:val="subscript"/>
        </w:rPr>
      </w:pPr>
    </w:p>
    <w:p>
      <w:pPr>
        <w:ind w:left="460"/>
        <w:spacing w:after="0"/>
        <w:rPr>
          <w:rFonts w:ascii="Arial" w:cs="Arial" w:eastAsia="Arial" w:hAnsi="Arial"/>
          <w:sz w:val="34"/>
          <w:szCs w:val="34"/>
          <w:b w:val="1"/>
          <w:bCs w:val="1"/>
          <w:color w:val="auto"/>
          <w:vertAlign w:val="subscript"/>
        </w:rPr>
      </w:pPr>
      <w:r>
        <w:rPr>
          <w:rFonts w:ascii="Arial" w:cs="Arial" w:eastAsia="Arial" w:hAnsi="Arial"/>
          <w:sz w:val="16"/>
          <w:szCs w:val="16"/>
          <w:color w:val="auto"/>
        </w:rPr>
        <w:t>Have there been any amendments of or other changes to the capitalization table of Borrower and to the</w:t>
      </w:r>
    </w:p>
    <w:p>
      <w:pPr>
        <w:spacing w:after="0" w:line="46" w:lineRule="exact"/>
        <w:rPr>
          <w:rFonts w:ascii="Arial" w:cs="Arial" w:eastAsia="Arial" w:hAnsi="Arial"/>
          <w:sz w:val="34"/>
          <w:szCs w:val="34"/>
          <w:b w:val="1"/>
          <w:bCs w:val="1"/>
          <w:color w:val="auto"/>
          <w:vertAlign w:val="subscript"/>
        </w:rPr>
      </w:pPr>
    </w:p>
    <w:p>
      <w:pPr>
        <w:ind w:left="460" w:right="80" w:hanging="412"/>
        <w:spacing w:after="0" w:line="261" w:lineRule="auto"/>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Operating Documents of Borrower or any of its Subsidiaries? If yes, provide copies of any such amendments or changes with this Compliance Certificate.</w:t>
      </w:r>
    </w:p>
    <w:p>
      <w:pPr>
        <w:spacing w:after="0" w:line="183" w:lineRule="exact"/>
        <w:rPr>
          <w:rFonts w:ascii="Arial" w:cs="Arial" w:eastAsia="Arial" w:hAnsi="Arial"/>
          <w:sz w:val="18"/>
          <w:szCs w:val="18"/>
          <w:b w:val="1"/>
          <w:bCs w:val="1"/>
          <w:color w:val="auto"/>
        </w:rPr>
      </w:pPr>
    </w:p>
    <w:p>
      <w:pPr>
        <w:ind w:left="460" w:right="80" w:hanging="412"/>
        <w:spacing w:after="0" w:line="182" w:lineRule="auto"/>
        <w:tabs>
          <w:tab w:leader="none" w:pos="460" w:val="left"/>
        </w:tabs>
        <w:numPr>
          <w:ilvl w:val="0"/>
          <w:numId w:val="69"/>
        </w:numPr>
        <w:rPr>
          <w:rFonts w:ascii="Arial" w:cs="Arial" w:eastAsia="Arial" w:hAnsi="Arial"/>
          <w:sz w:val="34"/>
          <w:szCs w:val="34"/>
          <w:b w:val="1"/>
          <w:bCs w:val="1"/>
          <w:color w:val="auto"/>
          <w:vertAlign w:val="subscript"/>
        </w:rPr>
      </w:pPr>
      <w:r>
        <w:rPr>
          <w:rFonts w:ascii="Arial" w:cs="Arial" w:eastAsia="Arial" w:hAnsi="Arial"/>
          <w:sz w:val="17"/>
          <w:szCs w:val="17"/>
          <w:color w:val="auto"/>
        </w:rPr>
        <w:t>Has Borrower or any Subsidiary entered into or amended any Material Agreement? If yes, please explain and provide a copy of the Material Agreement(s) and/or amendment(s).</w:t>
      </w:r>
    </w:p>
    <w:p>
      <w:pPr>
        <w:spacing w:after="0" w:line="203" w:lineRule="exact"/>
        <w:rPr>
          <w:rFonts w:ascii="Arial" w:cs="Arial" w:eastAsia="Arial" w:hAnsi="Arial"/>
          <w:sz w:val="34"/>
          <w:szCs w:val="34"/>
          <w:b w:val="1"/>
          <w:bCs w:val="1"/>
          <w:color w:val="auto"/>
          <w:vertAlign w:val="subscript"/>
        </w:rPr>
      </w:pPr>
    </w:p>
    <w:p>
      <w:pPr>
        <w:ind w:left="460" w:right="80" w:hanging="412"/>
        <w:spacing w:after="0" w:line="182" w:lineRule="auto"/>
        <w:tabs>
          <w:tab w:leader="none" w:pos="460" w:val="left"/>
        </w:tabs>
        <w:numPr>
          <w:ilvl w:val="0"/>
          <w:numId w:val="69"/>
        </w:numPr>
        <w:rPr>
          <w:rFonts w:ascii="Arial" w:cs="Arial" w:eastAsia="Arial" w:hAnsi="Arial"/>
          <w:sz w:val="34"/>
          <w:szCs w:val="34"/>
          <w:b w:val="1"/>
          <w:bCs w:val="1"/>
          <w:color w:val="auto"/>
          <w:vertAlign w:val="subscript"/>
        </w:rPr>
      </w:pPr>
      <w:r>
        <w:rPr>
          <w:rFonts w:ascii="Arial" w:cs="Arial" w:eastAsia="Arial" w:hAnsi="Arial"/>
          <w:sz w:val="17"/>
          <w:szCs w:val="17"/>
          <w:color w:val="auto"/>
        </w:rPr>
        <w:t>Has Borrower provided the Collateral Agent with all notices required to be delivered under Sections 6.2(a) and 6.2(b) of the Loan Agreement?</w:t>
      </w:r>
    </w:p>
    <w:p>
      <w:pPr>
        <w:spacing w:after="0" w:line="1" w:lineRule="exact"/>
        <w:rPr>
          <w:rFonts w:ascii="Arial" w:cs="Arial" w:eastAsia="Arial" w:hAnsi="Arial"/>
          <w:sz w:val="34"/>
          <w:szCs w:val="34"/>
          <w:b w:val="1"/>
          <w:bCs w:val="1"/>
          <w:color w:val="auto"/>
          <w:vertAlign w:val="subscript"/>
        </w:rPr>
      </w:pPr>
    </w:p>
    <w:p>
      <w:pPr>
        <w:ind w:left="460" w:right="80" w:hanging="412"/>
        <w:spacing w:after="0" w:line="180" w:lineRule="auto"/>
        <w:tabs>
          <w:tab w:leader="none" w:pos="460" w:val="left"/>
        </w:tabs>
        <w:numPr>
          <w:ilvl w:val="0"/>
          <w:numId w:val="69"/>
        </w:numPr>
        <w:rPr>
          <w:rFonts w:ascii="Arial" w:cs="Arial" w:eastAsia="Arial" w:hAnsi="Arial"/>
          <w:sz w:val="33"/>
          <w:szCs w:val="33"/>
          <w:b w:val="1"/>
          <w:bCs w:val="1"/>
          <w:color w:val="auto"/>
          <w:vertAlign w:val="subscript"/>
        </w:rPr>
      </w:pPr>
      <w:r>
        <w:rPr>
          <w:rFonts w:ascii="Arial" w:cs="Arial" w:eastAsia="Arial" w:hAnsi="Arial"/>
          <w:sz w:val="17"/>
          <w:szCs w:val="17"/>
          <w:color w:val="auto"/>
        </w:rPr>
        <w:t>Have there been any material updates to the contents of the Perfection Certificate last delivered? If yes, please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345"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53"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361"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00" w:lineRule="exact"/>
        <w:rPr>
          <w:sz w:val="20"/>
          <w:szCs w:val="20"/>
          <w:color w:val="auto"/>
        </w:rPr>
      </w:pPr>
    </w:p>
    <w:p>
      <w:pPr>
        <w:spacing w:after="0" w:line="253"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pacing w:after="0" w:line="237"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8300" w:space="720"/>
            <w:col w:w="1820"/>
          </w:cols>
          <w:pgMar w:left="240" w:top="661" w:right="8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gridSpan w:val="3"/>
          </w:tcPr>
          <w:p>
            <w:pPr>
              <w:ind w:left="5720"/>
              <w:spacing w:after="0"/>
              <w:rPr>
                <w:sz w:val="20"/>
                <w:szCs w:val="20"/>
                <w:color w:val="auto"/>
              </w:rPr>
            </w:pPr>
            <w:r>
              <w:rPr>
                <w:rFonts w:ascii="Arial" w:cs="Arial" w:eastAsia="Arial" w:hAnsi="Arial"/>
                <w:sz w:val="18"/>
                <w:szCs w:val="18"/>
                <w:b w:val="1"/>
                <w:bCs w:val="1"/>
                <w:color w:val="auto"/>
              </w:rPr>
              <w:t>COLLATERAL AGENT USE ONLY</w:t>
            </w:r>
          </w:p>
        </w:tc>
        <w:tc>
          <w:tcPr>
            <w:tcW w:w="1920" w:type="dxa"/>
            <w:vAlign w:val="bottom"/>
          </w:tcPr>
          <w:p>
            <w:pPr>
              <w:spacing w:after="0"/>
              <w:rPr>
                <w:sz w:val="20"/>
                <w:szCs w:val="20"/>
                <w:color w:val="auto"/>
              </w:rPr>
            </w:pPr>
          </w:p>
        </w:tc>
      </w:tr>
      <w:tr>
        <w:trPr>
          <w:trHeight w:val="432"/>
        </w:trPr>
        <w:tc>
          <w:tcPr>
            <w:tcW w:w="9500" w:type="dxa"/>
            <w:vAlign w:val="bottom"/>
            <w:gridSpan w:val="3"/>
          </w:tcPr>
          <w:p>
            <w:pPr>
              <w:ind w:left="5720"/>
              <w:spacing w:after="0"/>
              <w:rPr>
                <w:sz w:val="20"/>
                <w:szCs w:val="20"/>
                <w:color w:val="auto"/>
              </w:rPr>
            </w:pPr>
            <w:r>
              <w:rPr>
                <w:rFonts w:ascii="Arial" w:cs="Arial" w:eastAsia="Arial" w:hAnsi="Arial"/>
                <w:sz w:val="18"/>
                <w:szCs w:val="18"/>
                <w:color w:val="auto"/>
              </w:rPr>
              <w:t>Received by: _________________________</w:t>
            </w:r>
          </w:p>
        </w:tc>
        <w:tc>
          <w:tcPr>
            <w:tcW w:w="1920" w:type="dxa"/>
            <w:vAlign w:val="bottom"/>
          </w:tcPr>
          <w:p>
            <w:pPr>
              <w:ind w:left="560"/>
              <w:spacing w:after="0"/>
              <w:rPr>
                <w:sz w:val="20"/>
                <w:szCs w:val="20"/>
                <w:color w:val="auto"/>
              </w:rPr>
            </w:pPr>
            <w:r>
              <w:rPr>
                <w:rFonts w:ascii="Arial" w:cs="Arial" w:eastAsia="Arial" w:hAnsi="Arial"/>
                <w:sz w:val="18"/>
                <w:szCs w:val="18"/>
                <w:color w:val="auto"/>
              </w:rPr>
              <w:t>Date: _______</w:t>
            </w:r>
          </w:p>
        </w:tc>
      </w:tr>
      <w:tr>
        <w:trPr>
          <w:trHeight w:val="432"/>
        </w:trPr>
        <w:tc>
          <w:tcPr>
            <w:tcW w:w="9500" w:type="dxa"/>
            <w:vAlign w:val="bottom"/>
            <w:gridSpan w:val="3"/>
          </w:tcPr>
          <w:p>
            <w:pPr>
              <w:ind w:left="5720"/>
              <w:spacing w:after="0"/>
              <w:rPr>
                <w:sz w:val="20"/>
                <w:szCs w:val="20"/>
                <w:color w:val="auto"/>
              </w:rPr>
            </w:pPr>
            <w:r>
              <w:rPr>
                <w:rFonts w:ascii="Arial" w:cs="Arial" w:eastAsia="Arial" w:hAnsi="Arial"/>
                <w:sz w:val="18"/>
                <w:szCs w:val="18"/>
                <w:color w:val="auto"/>
              </w:rPr>
              <w:t>Verified by: __________________________</w:t>
            </w:r>
          </w:p>
        </w:tc>
        <w:tc>
          <w:tcPr>
            <w:tcW w:w="1920" w:type="dxa"/>
            <w:vAlign w:val="bottom"/>
          </w:tcPr>
          <w:p>
            <w:pPr>
              <w:ind w:left="560"/>
              <w:spacing w:after="0"/>
              <w:rPr>
                <w:sz w:val="20"/>
                <w:szCs w:val="20"/>
                <w:color w:val="auto"/>
              </w:rPr>
            </w:pPr>
            <w:r>
              <w:rPr>
                <w:rFonts w:ascii="Arial" w:cs="Arial" w:eastAsia="Arial" w:hAnsi="Arial"/>
                <w:sz w:val="18"/>
                <w:szCs w:val="18"/>
                <w:color w:val="auto"/>
              </w:rPr>
              <w:t>Date: _______</w:t>
            </w:r>
          </w:p>
        </w:tc>
      </w:tr>
      <w:tr>
        <w:trPr>
          <w:trHeight w:val="432"/>
        </w:trPr>
        <w:tc>
          <w:tcPr>
            <w:tcW w:w="7360" w:type="dxa"/>
            <w:vAlign w:val="bottom"/>
          </w:tcPr>
          <w:p>
            <w:pPr>
              <w:ind w:left="5720"/>
              <w:spacing w:after="0"/>
              <w:rPr>
                <w:sz w:val="20"/>
                <w:szCs w:val="20"/>
                <w:color w:val="auto"/>
              </w:rPr>
            </w:pPr>
            <w:r>
              <w:rPr>
                <w:rFonts w:ascii="Arial" w:cs="Arial" w:eastAsia="Arial" w:hAnsi="Arial"/>
                <w:sz w:val="18"/>
                <w:szCs w:val="18"/>
                <w:color w:val="auto"/>
              </w:rPr>
              <w:t>Compliance Status:</w:t>
            </w:r>
          </w:p>
        </w:tc>
        <w:tc>
          <w:tcPr>
            <w:tcW w:w="740" w:type="dxa"/>
            <w:vAlign w:val="bottom"/>
          </w:tcPr>
          <w:p>
            <w:pPr>
              <w:ind w:left="260"/>
              <w:spacing w:after="0"/>
              <w:rPr>
                <w:sz w:val="20"/>
                <w:szCs w:val="20"/>
                <w:color w:val="auto"/>
              </w:rPr>
            </w:pPr>
            <w:r>
              <w:rPr>
                <w:rFonts w:ascii="Arial" w:cs="Arial" w:eastAsia="Arial" w:hAnsi="Arial"/>
                <w:sz w:val="18"/>
                <w:szCs w:val="18"/>
                <w:color w:val="auto"/>
              </w:rPr>
              <w:t>Yes</w:t>
            </w:r>
          </w:p>
        </w:tc>
        <w:tc>
          <w:tcPr>
            <w:tcW w:w="1400" w:type="dxa"/>
            <w:vAlign w:val="bottom"/>
          </w:tcPr>
          <w:p>
            <w:pPr>
              <w:ind w:left="220"/>
              <w:spacing w:after="0"/>
              <w:rPr>
                <w:sz w:val="20"/>
                <w:szCs w:val="20"/>
                <w:color w:val="auto"/>
              </w:rPr>
            </w:pPr>
            <w:r>
              <w:rPr>
                <w:rFonts w:ascii="Arial" w:cs="Arial" w:eastAsia="Arial" w:hAnsi="Arial"/>
                <w:sz w:val="18"/>
                <w:szCs w:val="18"/>
                <w:color w:val="auto"/>
              </w:rPr>
              <w:t>No</w:t>
            </w:r>
          </w:p>
        </w:tc>
        <w:tc>
          <w:tcPr>
            <w:tcW w:w="1920" w:type="dxa"/>
            <w:vAlign w:val="bottom"/>
          </w:tcPr>
          <w:p>
            <w:pPr>
              <w:spacing w:after="0"/>
              <w:rPr>
                <w:sz w:val="24"/>
                <w:szCs w:val="24"/>
                <w:color w:val="auto"/>
              </w:rPr>
            </w:pPr>
          </w:p>
        </w:tc>
      </w:tr>
      <w:tr>
        <w:trPr>
          <w:trHeight w:val="439"/>
        </w:trPr>
        <w:tc>
          <w:tcPr>
            <w:tcW w:w="7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4" w:name="page55"/>
    <w:bookmarkEnd w:id="5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7020" w:type="dxa"/>
            <w:vAlign w:val="bottom"/>
            <w:gridSpan w:val="4"/>
          </w:tcPr>
          <w:p>
            <w:pPr>
              <w:ind w:left="980"/>
              <w:spacing w:after="0"/>
              <w:rPr>
                <w:sz w:val="20"/>
                <w:szCs w:val="20"/>
                <w:color w:val="auto"/>
              </w:rPr>
            </w:pPr>
            <w:r>
              <w:rPr>
                <w:rFonts w:ascii="Arial" w:cs="Arial" w:eastAsia="Arial" w:hAnsi="Arial"/>
                <w:sz w:val="18"/>
                <w:szCs w:val="18"/>
                <w:b w:val="1"/>
                <w:bCs w:val="1"/>
                <w:color w:val="auto"/>
              </w:rPr>
              <w:t>WARRANT TO PURCHASE STOCK</w:t>
            </w:r>
          </w:p>
        </w:tc>
      </w:tr>
      <w:tr>
        <w:trPr>
          <w:trHeight w:val="418"/>
        </w:trPr>
        <w:tc>
          <w:tcPr>
            <w:tcW w:w="2120" w:type="dxa"/>
            <w:vAlign w:val="bottom"/>
          </w:tcPr>
          <w:p>
            <w:pPr>
              <w:spacing w:after="0"/>
              <w:rPr>
                <w:sz w:val="20"/>
                <w:szCs w:val="20"/>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w:t>
            </w: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rPr>
              <w:t>Imprimis Pharmaceuticals, Inc.</w:t>
            </w: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w:t>
            </w:r>
          </w:p>
        </w:tc>
        <w:tc>
          <w:tcPr>
            <w:tcW w:w="2040" w:type="dxa"/>
            <w:vAlign w:val="bottom"/>
          </w:tcPr>
          <w:p>
            <w:pPr>
              <w:ind w:left="640"/>
              <w:spacing w:after="0"/>
              <w:rPr>
                <w:sz w:val="20"/>
                <w:szCs w:val="20"/>
                <w:color w:val="auto"/>
              </w:rPr>
            </w:pPr>
            <w:r>
              <w:rPr>
                <w:rFonts w:ascii="Arial" w:cs="Arial" w:eastAsia="Arial" w:hAnsi="Arial"/>
                <w:sz w:val="18"/>
                <w:szCs w:val="18"/>
                <w:color w:val="auto"/>
              </w:rPr>
              <w:t>125,000</w:t>
            </w: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Type/Series of Stock</w:t>
            </w:r>
            <w:r>
              <w:rPr>
                <w:rFonts w:ascii="Arial" w:cs="Arial" w:eastAsia="Arial" w:hAnsi="Arial"/>
                <w:sz w:val="18"/>
                <w:szCs w:val="18"/>
                <w:color w:val="auto"/>
              </w:rPr>
              <w:t>:</w:t>
            </w: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rPr>
              <w:t>Common Stock, par value $0.001 per share</w:t>
            </w: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Warrant Price</w:t>
            </w:r>
            <w:r>
              <w:rPr>
                <w:rFonts w:ascii="Arial" w:cs="Arial" w:eastAsia="Arial" w:hAnsi="Arial"/>
                <w:sz w:val="18"/>
                <w:szCs w:val="18"/>
                <w:color w:val="auto"/>
              </w:rPr>
              <w:t>:</w:t>
            </w: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rPr>
              <w:t>$7.85 per share</w:t>
            </w: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Issue Date</w:t>
            </w:r>
            <w:r>
              <w:rPr>
                <w:rFonts w:ascii="Arial" w:cs="Arial" w:eastAsia="Arial" w:hAnsi="Arial"/>
                <w:sz w:val="18"/>
                <w:szCs w:val="18"/>
                <w:color w:val="auto"/>
              </w:rPr>
              <w:t>:</w:t>
            </w: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rPr>
              <w:t>May 11, 2015</w:t>
            </w:r>
          </w:p>
        </w:tc>
      </w:tr>
      <w:tr>
        <w:trPr>
          <w:trHeight w:val="216"/>
        </w:trPr>
        <w:tc>
          <w:tcPr>
            <w:tcW w:w="2120" w:type="dxa"/>
            <w:vAlign w:val="bottom"/>
          </w:tcPr>
          <w:p>
            <w:pPr>
              <w:spacing w:after="0"/>
              <w:rPr>
                <w:sz w:val="20"/>
                <w:szCs w:val="20"/>
                <w:color w:val="auto"/>
              </w:rPr>
            </w:pPr>
            <w:r>
              <w:rPr>
                <w:rFonts w:ascii="Arial" w:cs="Arial" w:eastAsia="Arial" w:hAnsi="Arial"/>
                <w:sz w:val="18"/>
                <w:szCs w:val="18"/>
                <w:i w:val="1"/>
                <w:iCs w:val="1"/>
                <w:color w:val="auto"/>
              </w:rPr>
              <w:t>Expiration Date</w:t>
            </w:r>
            <w:r>
              <w:rPr>
                <w:rFonts w:ascii="Arial" w:cs="Arial" w:eastAsia="Arial" w:hAnsi="Arial"/>
                <w:sz w:val="18"/>
                <w:szCs w:val="18"/>
                <w:color w:val="auto"/>
              </w:rPr>
              <w:t>:</w:t>
            </w: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rPr>
              <w:t>May 11, 2025 (See also Section 5.1(b))</w:t>
            </w:r>
          </w:p>
        </w:tc>
      </w:tr>
      <w:tr>
        <w:trPr>
          <w:trHeight w:val="190"/>
        </w:trPr>
        <w:tc>
          <w:tcPr>
            <w:tcW w:w="2120" w:type="dxa"/>
            <w:vAlign w:val="bottom"/>
          </w:tcPr>
          <w:p>
            <w:pPr>
              <w:spacing w:after="0" w:line="190" w:lineRule="exact"/>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w:t>
            </w:r>
          </w:p>
        </w:tc>
        <w:tc>
          <w:tcPr>
            <w:tcW w:w="7020" w:type="dxa"/>
            <w:vAlign w:val="bottom"/>
            <w:gridSpan w:val="4"/>
          </w:tcPr>
          <w:p>
            <w:pPr>
              <w:ind w:left="640"/>
              <w:spacing w:after="0" w:line="190" w:lineRule="exact"/>
              <w:rPr>
                <w:sz w:val="20"/>
                <w:szCs w:val="20"/>
                <w:color w:val="auto"/>
              </w:rPr>
            </w:pPr>
            <w:r>
              <w:rPr>
                <w:rFonts w:ascii="Arial" w:cs="Arial" w:eastAsia="Arial" w:hAnsi="Arial"/>
                <w:sz w:val="18"/>
                <w:szCs w:val="18"/>
                <w:color w:val="auto"/>
                <w:w w:val="95"/>
              </w:rPr>
              <w:t>This Warrant to Purchase Stock (“Warrant”) is issued in connection with that certain</w:t>
            </w:r>
          </w:p>
        </w:tc>
      </w:tr>
      <w:tr>
        <w:trPr>
          <w:trHeight w:val="20"/>
        </w:trPr>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22"/>
        </w:trPr>
        <w:tc>
          <w:tcPr>
            <w:tcW w:w="2120" w:type="dxa"/>
            <w:vAlign w:val="bottom"/>
          </w:tcPr>
          <w:p>
            <w:pPr>
              <w:spacing w:after="0"/>
              <w:rPr>
                <w:sz w:val="19"/>
                <w:szCs w:val="19"/>
                <w:color w:val="auto"/>
              </w:rPr>
            </w:pPr>
          </w:p>
        </w:tc>
        <w:tc>
          <w:tcPr>
            <w:tcW w:w="7020" w:type="dxa"/>
            <w:vAlign w:val="bottom"/>
            <w:gridSpan w:val="4"/>
          </w:tcPr>
          <w:p>
            <w:pPr>
              <w:ind w:left="640"/>
              <w:spacing w:after="0"/>
              <w:rPr>
                <w:sz w:val="20"/>
                <w:szCs w:val="20"/>
                <w:color w:val="auto"/>
              </w:rPr>
            </w:pPr>
            <w:r>
              <w:rPr>
                <w:rFonts w:ascii="Arial" w:cs="Arial" w:eastAsia="Arial" w:hAnsi="Arial"/>
                <w:sz w:val="18"/>
                <w:szCs w:val="18"/>
                <w:color w:val="auto"/>
                <w:w w:val="93"/>
              </w:rPr>
              <w:t>Loan and Security Agreement of even date herewith between IMMY Funding LLC and</w:t>
            </w:r>
          </w:p>
        </w:tc>
      </w:tr>
      <w:tr>
        <w:trPr>
          <w:trHeight w:val="190"/>
        </w:trPr>
        <w:tc>
          <w:tcPr>
            <w:tcW w:w="2120" w:type="dxa"/>
            <w:vAlign w:val="bottom"/>
          </w:tcPr>
          <w:p>
            <w:pPr>
              <w:spacing w:after="0"/>
              <w:rPr>
                <w:sz w:val="16"/>
                <w:szCs w:val="16"/>
                <w:color w:val="auto"/>
              </w:rPr>
            </w:pPr>
          </w:p>
        </w:tc>
        <w:tc>
          <w:tcPr>
            <w:tcW w:w="7020" w:type="dxa"/>
            <w:vAlign w:val="bottom"/>
            <w:gridSpan w:val="4"/>
          </w:tcPr>
          <w:p>
            <w:pPr>
              <w:ind w:left="640"/>
              <w:spacing w:after="0" w:line="190" w:lineRule="exact"/>
              <w:rPr>
                <w:sz w:val="20"/>
                <w:szCs w:val="20"/>
                <w:color w:val="auto"/>
              </w:rPr>
            </w:pPr>
            <w:r>
              <w:rPr>
                <w:rFonts w:ascii="Arial" w:cs="Arial" w:eastAsia="Arial" w:hAnsi="Arial"/>
                <w:sz w:val="18"/>
                <w:szCs w:val="18"/>
                <w:color w:val="auto"/>
              </w:rPr>
              <w:t>the Company (the “Loan Agreement”).</w:t>
            </w:r>
          </w:p>
        </w:tc>
      </w:tr>
      <w:tr>
        <w:trPr>
          <w:trHeight w:val="20"/>
        </w:trPr>
        <w:tc>
          <w:tcPr>
            <w:tcW w:w="2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WARRANT CERTIFIES THAT, for good and valuable consideration, IMMY Funding LLC, a Delaware limited liability company with an office located at 50 Main Street, Suite 1000, White Plains, NY 10606 (together with any successor or permitted assignee or transferee of this Warrant or of any shares issued upon exercise hereof, “</w:t>
      </w:r>
      <w:r>
        <w:rPr>
          <w:rFonts w:ascii="Arial" w:cs="Arial" w:eastAsia="Arial" w:hAnsi="Arial"/>
          <w:sz w:val="17"/>
          <w:szCs w:val="17"/>
          <w:u w:val="single" w:color="auto"/>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u w:val="single" w:color="auto"/>
          <w:color w:val="auto"/>
        </w:rPr>
        <w:t>Class</w:t>
      </w:r>
      <w:r>
        <w:rPr>
          <w:rFonts w:ascii="Arial" w:cs="Arial" w:eastAsia="Arial" w:hAnsi="Arial"/>
          <w:sz w:val="17"/>
          <w:szCs w:val="17"/>
          <w:color w:val="auto"/>
        </w:rPr>
        <w:t>”) of the above-named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both"/>
        <w:ind w:firstLine="1297"/>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Shares to be issued to the Holder;</w:t>
      </w:r>
    </w:p>
    <w:p>
      <w:pPr>
        <w:spacing w:after="0" w:line="211" w:lineRule="exact"/>
        <w:rPr>
          <w:sz w:val="20"/>
          <w:szCs w:val="20"/>
          <w:color w:val="auto"/>
        </w:rPr>
      </w:pPr>
    </w:p>
    <w:p>
      <w:pPr>
        <w:ind w:left="2280" w:hanging="323"/>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(as determined pursuant to Section 1.3 below) of one Share; 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Class of the Company’s capital stock is then traded or quoted on a nationally recognized securities exchange, inter-dealer quotation system or over-the-counter market (a “</w:t>
      </w:r>
      <w:r>
        <w:rPr>
          <w:rFonts w:ascii="Arial" w:cs="Arial" w:eastAsia="Arial" w:hAnsi="Arial"/>
          <w:sz w:val="18"/>
          <w:szCs w:val="18"/>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Class of the Company’s capital stock is not then traded in a Trading Market, the Board of Directors of the Company shall determine the fair market value of a Share in its reasonable good faith judgment.</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Promptly after Holder exercises this Warrant in the manner set forth in Section 1.1 or 1.2 above, the Company shall deliver or cause to be delivered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5" w:lineRule="exact"/>
        <w:rPr>
          <w:sz w:val="20"/>
          <w:szCs w:val="20"/>
          <w:color w:val="auto"/>
        </w:rPr>
      </w:pPr>
    </w:p>
    <w:p>
      <w:pPr>
        <w:jc w:val="both"/>
        <w:ind w:firstLine="1953"/>
        <w:spacing w:after="0" w:line="271" w:lineRule="auto"/>
        <w:tabs>
          <w:tab w:leader="none" w:pos="218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xml:space="preserve"> For the purpose of this Warrant, “</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each case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the completion of any purchase offer, tender offer or exchange offer (whether by the Company or another person or entity) pursuant to which holders of shares of the Company’s capital stock representing 50% or more of the then-total outstanding combined voting power of the Company sell, tender or exchange their shares for other securities, cash or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ind w:left="2200" w:hanging="247"/>
        <w:spacing w:after="0"/>
        <w:tabs>
          <w:tab w:leader="none" w:pos="22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87" w:lineRule="auto"/>
        <w:tabs>
          <w:tab w:leader="none" w:pos="2811"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u w:val="single" w:color="auto"/>
          <w:color w:val="auto"/>
        </w:rPr>
        <w:t>Cash/Public Acquisition</w:t>
      </w:r>
      <w:r>
        <w:rPr>
          <w:rFonts w:ascii="Arial" w:cs="Arial" w:eastAsia="Arial" w:hAnsi="Arial"/>
          <w:sz w:val="16"/>
          <w:szCs w:val="16"/>
          <w:color w:val="auto"/>
        </w:rPr>
        <w:t>”), either (A) Holder shall exercise this Warrant pursuant to Section 1.1 and/or 1.2 and such exercise will be deemed effective immediately prior to and contingent upon the consummation of such Acquisition or (B) if Holder elects not to exercise the Warrant, this Warrant will expire immediately prior to the consummation of such Acquisition. The Company shall provide Holder with written notice of any Cash/Public Acquisition (together with such reasonable information as Holder may reasonably require regarding the treatment of this Warrant in connection with such contemplated Cash/Public Acquisition giving rise to such notice), which, subject to Section 3.2, is to be delivered to Holder not less than seven (7)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172" w:lineRule="exact"/>
        <w:rPr>
          <w:rFonts w:ascii="Arial" w:cs="Arial" w:eastAsia="Arial" w:hAnsi="Arial"/>
          <w:sz w:val="16"/>
          <w:szCs w:val="16"/>
          <w:color w:val="auto"/>
        </w:rPr>
      </w:pPr>
    </w:p>
    <w:p>
      <w:pPr>
        <w:jc w:val="both"/>
        <w:ind w:firstLine="2601"/>
        <w:spacing w:after="0" w:line="279" w:lineRule="auto"/>
        <w:tabs>
          <w:tab w:leader="none" w:pos="2861" w:val="left"/>
        </w:tabs>
        <w:numPr>
          <w:ilvl w:val="1"/>
          <w:numId w:val="71"/>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71" w:lineRule="exact"/>
        <w:rPr>
          <w:rFonts w:ascii="Arial" w:cs="Arial" w:eastAsia="Arial" w:hAnsi="Arial"/>
          <w:sz w:val="17"/>
          <w:szCs w:val="17"/>
          <w:color w:val="auto"/>
        </w:rPr>
      </w:pPr>
    </w:p>
    <w:p>
      <w:pPr>
        <w:ind w:left="2220" w:hanging="267"/>
        <w:spacing w:after="0"/>
        <w:tabs>
          <w:tab w:leader="none" w:pos="222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Marketable Securities</w:t>
      </w:r>
      <w:r>
        <w:rPr>
          <w:rFonts w:ascii="Arial" w:cs="Arial" w:eastAsia="Arial" w:hAnsi="Arial"/>
          <w:sz w:val="17"/>
          <w:szCs w:val="17"/>
          <w:color w:val="auto"/>
        </w:rPr>
        <w:t>. For purposes of this Warrant, “</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securities meeting all of the following</w:t>
      </w:r>
    </w:p>
    <w:p>
      <w:pPr>
        <w:spacing w:after="0" w:line="34" w:lineRule="exact"/>
        <w:rPr>
          <w:rFonts w:ascii="Arial" w:cs="Arial" w:eastAsia="Arial" w:hAnsi="Arial"/>
          <w:sz w:val="17"/>
          <w:szCs w:val="17"/>
          <w:color w:val="auto"/>
        </w:rPr>
      </w:pPr>
    </w:p>
    <w:p>
      <w:pPr>
        <w:jc w:val="both"/>
        <w:spacing w:after="0" w:line="288" w:lineRule="auto"/>
        <w:rPr>
          <w:rFonts w:ascii="Arial" w:cs="Arial" w:eastAsia="Arial" w:hAnsi="Arial"/>
          <w:sz w:val="17"/>
          <w:szCs w:val="17"/>
          <w:color w:val="auto"/>
        </w:rPr>
      </w:pPr>
      <w:r>
        <w:rPr>
          <w:rFonts w:ascii="Arial" w:cs="Arial" w:eastAsia="Arial" w:hAnsi="Arial"/>
          <w:sz w:val="16"/>
          <w:szCs w:val="16"/>
          <w:color w:val="auto"/>
        </w:rPr>
        <w:t>requirements: (i) the issuer thereof is then subject to the reporting requirements of Section 13 or Section 15(d)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Holder would be able to publicly resell pursuant to Rule 144 promulgated under the Act, after six (6) months following the closing of such Acquisition, all of the issuer’s shares and/or other securities that would be received by Holder in such Acquisition were Holder to exercise this Warrant in full on or prior to the closing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Holder is not then and within the preceding three (3) months has not been an affiliate of such issuer, as defined in Rule 144, and the other requirements of such rule are then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at any time while this Warrant is outstanding,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to the extent that a fractional Share interest arises upon any exercise of this Warrant, the number of Shares to be issued upon such exercise shall be rounded down to the nearest whole Share. If a fractional Share interest arises upon any exercise of the Warrant, the Company shall eliminate such fractional Share interest by paying Holder in cash the amount computed by multiplying the fractional interest by (a) the fair market value (as determined in accordance with Section 1.3 above) of a full Share, less (b) the then-effective Warrant Price.</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officer, including computations of such adjustment and the Warrant Price, Class and number of Shares in effect upon the date of such adjustment.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right="20" w:firstLine="1953"/>
        <w:spacing w:after="0" w:line="277" w:lineRule="auto"/>
        <w:tabs>
          <w:tab w:leader="none" w:pos="21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equal to the arithmetic average of the volume-weighted average price of the Shares on each of the ten (10) Business Days immediately preceding the Issue Date.</w:t>
      </w:r>
    </w:p>
    <w:p>
      <w:pPr>
        <w:spacing w:after="0" w:line="170" w:lineRule="exact"/>
        <w:rPr>
          <w:rFonts w:ascii="Arial" w:cs="Arial" w:eastAsia="Arial" w:hAnsi="Arial"/>
          <w:sz w:val="18"/>
          <w:szCs w:val="18"/>
          <w:color w:val="auto"/>
        </w:rPr>
      </w:pPr>
    </w:p>
    <w:p>
      <w:pPr>
        <w:jc w:val="both"/>
        <w:ind w:firstLine="1953"/>
        <w:spacing w:after="0" w:line="279" w:lineRule="auto"/>
        <w:tabs>
          <w:tab w:leader="none" w:pos="2192"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firstLine="1953"/>
        <w:spacing w:after="0" w:line="277" w:lineRule="auto"/>
        <w:tabs>
          <w:tab w:leader="none" w:pos="22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953"/>
        <w:spacing w:after="0" w:line="277" w:lineRule="auto"/>
        <w:tabs>
          <w:tab w:leader="none" w:pos="2206"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220" w:hanging="267"/>
        <w:spacing w:after="0"/>
        <w:tabs>
          <w:tab w:leader="none" w:pos="22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 or</w:t>
      </w:r>
    </w:p>
    <w:p>
      <w:pPr>
        <w:spacing w:after="0" w:line="210" w:lineRule="exact"/>
        <w:rPr>
          <w:rFonts w:ascii="Arial" w:cs="Arial" w:eastAsia="Arial" w:hAnsi="Arial"/>
          <w:sz w:val="16"/>
          <w:szCs w:val="16"/>
          <w:color w:val="auto"/>
        </w:rPr>
      </w:pPr>
    </w:p>
    <w:p>
      <w:pPr>
        <w:ind w:left="2200" w:hanging="247"/>
        <w:spacing w:after="0"/>
        <w:tabs>
          <w:tab w:leader="none" w:pos="22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effect an Acquisition or liquidate, dissolve or wind 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firstLine="2601"/>
        <w:spacing w:after="0" w:line="286" w:lineRule="auto"/>
        <w:tabs>
          <w:tab w:leader="none" w:pos="2823"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the matters referred to in clause (a) and (b) of this Section 3.2, 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such matters; and</w:t>
      </w:r>
    </w:p>
    <w:p>
      <w:pPr>
        <w:spacing w:after="0" w:line="165" w:lineRule="exact"/>
        <w:rPr>
          <w:rFonts w:ascii="Arial" w:cs="Arial" w:eastAsia="Arial" w:hAnsi="Arial"/>
          <w:sz w:val="17"/>
          <w:szCs w:val="17"/>
          <w:color w:val="auto"/>
        </w:rPr>
      </w:pPr>
    </w:p>
    <w:p>
      <w:pPr>
        <w:jc w:val="both"/>
        <w:ind w:firstLine="2601"/>
        <w:spacing w:after="0" w:line="264" w:lineRule="auto"/>
        <w:tabs>
          <w:tab w:leader="none" w:pos="28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the matters referred to in clause (c) and (d) of this Section 3.2,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spacing w:after="0" w:line="290" w:lineRule="auto"/>
        <w:rPr>
          <w:sz w:val="20"/>
          <w:szCs w:val="20"/>
          <w:color w:val="auto"/>
        </w:rPr>
      </w:pPr>
      <w:r>
        <w:rPr>
          <w:rFonts w:ascii="Arial" w:cs="Arial" w:eastAsia="Arial" w:hAnsi="Arial"/>
          <w:sz w:val="16"/>
          <w:szCs w:val="16"/>
          <w:color w:val="auto"/>
        </w:rPr>
        <w:t xml:space="preserve">Reference is made to Section 1.6(b), pursuant to which this Warrant will be deemed to be exercised pursuant to Section 1.2 hereof if the Company does not give written notice to Holder of a Cash/Public Acquisition as required by the terms hereof. The Company will also provide information requested by Holder that is reasonably necessary to enable Holder to comply with Holder’s accounting or reporting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provide Holder any trade secret of the Company. Except as required by law, Holder shall (and shall cause its directors, officers, employees, agents and advisors, including, without limitation, financial advisors, attorneys and accountants (collectively,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to) maintain as confidential and not disclose to any other person or entity, other than its Representatives, or use for any purpose other than as authorized herein any confidential information that is disclosed by the Company to Holder pursuant to the terms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Holder shall be responsible to the Company in all respects for any disclosure or use of any such information by its Representatives that is in violation of the terms of this Warrant.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COVENANTS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and agrees with, the Company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5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130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xml:space="preserve"> Holder is an “accredited investor” within the meaning of Regulation D promulgated under the Act.</w:t>
      </w:r>
    </w:p>
    <w:p>
      <w:pPr>
        <w:spacing w:after="0" w:line="237"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and other representations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Except as expressly set forth herein, Holder, as a Holder of this Warrant, will not have any voting rights or dividend or other rights as a stockholder of the Company unless and until the exercise of this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225" w:lineRule="exact"/>
        <w:rPr>
          <w:sz w:val="20"/>
          <w:szCs w:val="20"/>
          <w:color w:val="auto"/>
        </w:rPr>
      </w:pPr>
    </w:p>
    <w:p>
      <w:pPr>
        <w:ind w:firstLine="1953"/>
        <w:spacing w:after="0" w:line="277" w:lineRule="auto"/>
        <w:tabs>
          <w:tab w:leader="none" w:pos="218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170" w:lineRule="exact"/>
        <w:rPr>
          <w:sz w:val="20"/>
          <w:szCs w:val="20"/>
          <w:color w:val="auto"/>
        </w:rPr>
      </w:pPr>
    </w:p>
    <w:p>
      <w:pPr>
        <w:jc w:val="both"/>
        <w:ind w:left="1300" w:right="130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IMMY FUNDING LLC DATED MAY 11, 2015, MAY NOT BE OFFERED, SOLD, PLEDGED OR OTHERWISE TRANSFERRED UNLESS AND UNTIL REGISTERED UNDER SAID ACT AND LAWS OR IN FORM AND SUBSTANCE SATISFACTORY TO THE ISSUER, SUCH OFFER, SALE, PLEDGE OR OTHER TRANSFER IS EXEMPT FROM SUCH REGISTRATION.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jc w:val="both"/>
        <w:ind w:firstLine="1297"/>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affiliate of Holder and the securities being transferred continue to bear the legend set forth on the face of this Warrant or in Section 5.2 hereof, as applicable. Additionally, the Company shall not require the transferor or transferee to deliver an opinion of counsel if there is no material question as to the availability of Rule 144 promulgated under the Act.</w:t>
      </w:r>
    </w:p>
    <w:p>
      <w:pPr>
        <w:spacing w:after="0" w:line="18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xml:space="preserve"> Subject to the provisions of Section 5.3 and upon providing the Company with prior written notice, Holder may transfer all or part of this Warrant or the Shares issuable upon exercise of this Warrant to any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connection with any such transfer, Holder will give the Company prior written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subsequent transferee shall agree in writing with the Company to be bound by all of the terms and conditions of this Warrant.</w:t>
      </w:r>
    </w:p>
    <w:p>
      <w:pPr>
        <w:spacing w:after="0" w:line="15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w:t>
      </w:r>
    </w:p>
    <w:p>
      <w:pPr>
        <w:spacing w:after="0" w:line="147"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(a) when given personally, (b) on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after being mailed by first-class registered or certified mail, postage prepaid, (c)</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upon actual receipt if given by facsimile or electronic mail and such receipt is confirmed in writing by the recipient, or (d) on the first (1</w:t>
      </w:r>
      <w:r>
        <w:rPr>
          <w:rFonts w:ascii="Arial" w:cs="Arial" w:eastAsia="Arial" w:hAnsi="Arial"/>
          <w:sz w:val="28"/>
          <w:szCs w:val="28"/>
          <w:color w:val="auto"/>
          <w:vertAlign w:val="superscript"/>
        </w:rPr>
        <w:t>st</w:t>
      </w:r>
      <w:r>
        <w:rPr>
          <w:rFonts w:ascii="Arial" w:cs="Arial" w:eastAsia="Arial" w:hAnsi="Arial"/>
          <w:sz w:val="17"/>
          <w:szCs w:val="17"/>
          <w:color w:val="auto"/>
        </w:rPr>
        <w: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5.6. All notices to Holder shall be addressed as follows until the Company receives notice of a change of address in connection with a transfer or otherwise: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For purposes of this Warrant, a “</w:t>
      </w:r>
      <w:r>
        <w:rPr>
          <w:rFonts w:ascii="Arial" w:cs="Arial" w:eastAsia="Arial" w:hAnsi="Arial"/>
          <w:sz w:val="18"/>
          <w:szCs w:val="18"/>
          <w:u w:val="single" w:color="auto"/>
          <w:color w:val="auto"/>
        </w:rPr>
        <w:t>Business Day</w:t>
      </w:r>
      <w:r>
        <w:rPr>
          <w:rFonts w:ascii="Arial" w:cs="Arial" w:eastAsia="Arial" w:hAnsi="Arial"/>
          <w:sz w:val="18"/>
          <w:szCs w:val="18"/>
          <w:color w:val="auto"/>
        </w:rPr>
        <w:t>” is any day that is not a Saturday, Sunday or a day on which banks in New York, New York are closed.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ind w:right="9740"/>
        <w:spacing w:after="0"/>
        <w:rPr>
          <w:sz w:val="20"/>
          <w:szCs w:val="20"/>
          <w:color w:val="auto"/>
        </w:rPr>
      </w:pPr>
      <w:r>
        <w:rPr>
          <w:rFonts w:ascii="Arial" w:cs="Arial" w:eastAsia="Arial" w:hAnsi="Arial"/>
          <w:sz w:val="17"/>
          <w:szCs w:val="17"/>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22225</wp:posOffset>
            </wp:positionV>
            <wp:extent cx="32588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8" w:lineRule="exact"/>
        <w:rPr>
          <w:sz w:val="20"/>
          <w:szCs w:val="20"/>
          <w:color w:val="auto"/>
        </w:rPr>
      </w:pPr>
    </w:p>
    <w:p>
      <w:pPr>
        <w:jc w:val="center"/>
        <w:ind w:right="976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IMMY FUNDING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32588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APPENDIX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EXERCISE</w:t>
      </w:r>
    </w:p>
    <w:p>
      <w:pPr>
        <w:spacing w:after="0" w:line="225" w:lineRule="exact"/>
        <w:rPr>
          <w:sz w:val="20"/>
          <w:szCs w:val="20"/>
          <w:color w:val="auto"/>
        </w:rPr>
      </w:pPr>
    </w:p>
    <w:p>
      <w:pPr>
        <w:ind w:left="-20" w:firstLine="656"/>
        <w:spacing w:after="0" w:line="342" w:lineRule="auto"/>
        <w:tabs>
          <w:tab w:leader="none" w:pos="82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___________ shares of the Common Stock of Imprimis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in accordance with the attached Warrant To Purchase Stock, and tenders payment of the aggregate Warrant Price for such shares as follows:</w:t>
      </w:r>
    </w:p>
    <w:p>
      <w:pPr>
        <w:spacing w:after="0" w:line="124" w:lineRule="exact"/>
        <w:rPr>
          <w:sz w:val="20"/>
          <w:szCs w:val="20"/>
          <w:color w:val="auto"/>
        </w:rPr>
      </w:pPr>
    </w:p>
    <w:p>
      <w:pPr>
        <w:ind w:left="780" w:hanging="14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check in the amount of $________ payable to order of the Company enclosed herewith</w:t>
      </w:r>
    </w:p>
    <w:p>
      <w:pPr>
        <w:spacing w:after="0" w:line="225" w:lineRule="exact"/>
        <w:rPr>
          <w:rFonts w:ascii="Arial" w:cs="Arial" w:eastAsia="Arial" w:hAnsi="Arial"/>
          <w:sz w:val="18"/>
          <w:szCs w:val="18"/>
          <w:color w:val="auto"/>
        </w:rPr>
      </w:pPr>
    </w:p>
    <w:p>
      <w:pPr>
        <w:ind w:left="780" w:hanging="14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Wire transfer of immediately available funds to the Company’s account</w:t>
      </w:r>
    </w:p>
    <w:p>
      <w:pPr>
        <w:spacing w:after="0" w:line="225" w:lineRule="exact"/>
        <w:rPr>
          <w:rFonts w:ascii="Arial" w:cs="Arial" w:eastAsia="Arial" w:hAnsi="Arial"/>
          <w:sz w:val="18"/>
          <w:szCs w:val="18"/>
          <w:color w:val="auto"/>
        </w:rPr>
      </w:pPr>
    </w:p>
    <w:p>
      <w:pPr>
        <w:ind w:left="780" w:hanging="14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225" w:lineRule="exact"/>
        <w:rPr>
          <w:rFonts w:ascii="Arial" w:cs="Arial" w:eastAsia="Arial" w:hAnsi="Arial"/>
          <w:sz w:val="18"/>
          <w:szCs w:val="18"/>
          <w:color w:val="auto"/>
        </w:rPr>
      </w:pPr>
    </w:p>
    <w:p>
      <w:pPr>
        <w:ind w:left="780" w:hanging="144"/>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Other [Describe] __________________________________________</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2. 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289560</wp:posOffset>
            </wp:positionV>
            <wp:extent cx="36188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598170</wp:posOffset>
            </wp:positionV>
            <wp:extent cx="36188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289560</wp:posOffset>
            </wp:positionV>
            <wp:extent cx="36188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20" w:firstLine="656"/>
        <w:spacing w:after="0" w:line="277" w:lineRule="auto"/>
        <w:tabs>
          <w:tab w:leader="none" w:pos="8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152400</wp:posOffset>
            </wp:positionV>
            <wp:extent cx="32588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14605</wp:posOffset>
            </wp:positionV>
            <wp:extent cx="32588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1" w:right="23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431925" cy="643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431925" cy="643255"/>
                    </a:xfrm>
                    <a:prstGeom prst="rect">
                      <a:avLst/>
                    </a:prstGeom>
                    <a:noFill/>
                  </pic:spPr>
                </pic:pic>
              </a:graphicData>
            </a:graphic>
          </wp:anchor>
        </w:drawing>
      </w:r>
    </w:p>
    <w:p>
      <w:pPr>
        <w:ind w:left="1028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$15 Million Term Loan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Life Sciences Alternative Funding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Funds to be used to accelerate the expansion and growth of the company’s proprietary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ophthalmology and urology businesses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San Diego, CA – May 12, 2015 — Imprimis Pharmaceuticals, Inc. (NASDAQ: IMMY), a pharmaceutical company focused on the development and commercialization of proprietary compounded drug formulations, today announced it has entered into a loan agreement with IMMY Funding LLC, an affiliate of Life Sciences Alternative Funding LLC (LSAF), a leading provider of debt capital to fund growth for commercial-stage life sciences companies. The agreement provides Imprimis with up to $15 million of available borrowing capacity.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terms of the agreement, LSAF, through its affiliate, provided Imprimis with $10 million on the initial closing date of May 11, 2015. Up to an additional $5 million will be available to Imprimis, at its option, on or before May 11, 2016, subject to Imprimis achieving certain revenue milestones within 12 months of the initial closing date. The agreement has an initial term of up to five years and bears interest at 12.5% per annum with monthly interest-only payments for the first three years. The interest-only period may be reduced to twenty months if Imprimis fails to achieve certain minimum revenue or cash balance requirements. Imprimis intends to use the proceeds from the loan for working capital and general corporate purposes.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have LSAF as our strategic financing partner. This funding will provide us with capital to execute on our business strategy, move towards profitability and continue to grow value for our stockholders,” stated Mark L. Baum, CEO of Imprimis. “We chose LSAF not only because of its ability to provide a debt financing structure that we believe is attractive and suited for our needs, but also because we respect and admire its extensive healthcare experience, thorough understanding of our business and strong belief in our long-term growth potential.”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Steve DeNelsky, President of Life Science Alternative Funding, added, “We are impressed with Imprimis’ progress to date and this funding should help accelerate the expansion of its growing ophthalmology business and bolster the commercialization efforts of its newly-launched urology franchise. The rapid adoption of Dropless Therapy since it was launched a year ago is impressive and we believe Imprimis is well-positioned to accelerate growth in both their ophthalmology and urology platforms. We have high regards for the Imprimis team and believe in their ability to achieve their vision of delivering high quality and innovative medicines to physicians and patients at affordable prices. The funding of Imprimis further highlights LSAF’s continued focus of providing non-dilutive capital to rapidly growing commercial-stage companies in the life sciences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ABOUT LIFE SCIENCES ALTERNATIVE FUNDING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LSAF provides long-term, non-dilutive debt capital exclusively to fund the growth of commercial-stage life sciences companies. Over the last three years, LSAF’s principals, Rich Gumer and Steve DeNelsky, have been involved in over $200 million of structured debt financings for life science companies, and LSAF has closed $100 million of debt commitments since inception in mid-2013. LSAF is majority-owned by affiliates of the Perella Weinberg Partners Asset Based Value Strategy, which manages more than $1.8 billion in equity capital. For more information, please visit www.lsafunding.com/.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San Diego-based Imprimis Pharmaceuticals, Inc. (NASDAQ: IMMY) is a pharmaceutical company dedicated to delivering high quality and innovative medicines to physicians and patients at accessible prices. Imprimis’ business is focused on its proprietary ophthalmology and urology drug formulations. The company’s pioneering ophthalmology formulation portfolio is disrupting the multi-billion dollar eye drop market, addressing patient compliance issues and providing other medical and economic benefits to patients. Imprimis recently launched its urology business, which includes a patented formulation to address patients suffering from interstitial cystitis. For more information about Imprimis, please visit the company’s corporate website at www.ImprimisPharma.com; ophthalmology business websites at www.GoDropless.com and www.LessDrops.com; and urology business website at www.DefeatIC.com.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forward-looking statements, including statements regarding Imprimis’ potential opportunity to obtain additional proceeds under the loan agreement, Imprimis’ intended use of the loan proceeds and Imprimis’ expectations regarding its ability to execute on its business strategy, move towards profitability and grow value for its stockholders. Forward-looking statements are based on management’s current views, assumptions and expectations and are subject to risks and uncertainties that may cause results to differ materially and adversely from the forward-looking statements contained herein. Some of the potential risks and uncertainties that could cause actual results to differ from those predicted include, among others, risks and uncertainties related to Imprimis’ ability to make commercially available its compounded formulations and technologies in a timely manner or at all; physician interest in prescribing its newly launched urology formulations and its other proprietary formulations; the success of its compounding pharmacy operations; the success of its strategic alliances and partnerships, including arrangements with investors and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its ability to achieve profitability; the success of its research and development activities; the projected size of the potential market for its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1)"/>
      <w:numFmt w:val="lowerRoman"/>
      <w:start w:val="2"/>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1)"/>
      <w:numFmt w:val="lowerLetter"/>
      <w:start w:val="3"/>
    </w:lvl>
  </w:abstractNum>
  <w:abstractNum w:abstractNumId="4">
    <w:nsid w:val="3855585C"/>
    <w:multiLevelType w:val="hybridMultilevel"/>
    <w:lvl w:ilvl="0">
      <w:lvlJc w:val="left"/>
      <w:lvlText w:val="(%1)"/>
      <w:numFmt w:val="lowerLetter"/>
      <w:start w:val="1"/>
    </w:lvl>
  </w:abstractNum>
  <w:abstractNum w:abstractNumId="5">
    <w:nsid w:val="70A64E2A"/>
    <w:multiLevelType w:val="hybridMultilevel"/>
    <w:lvl w:ilvl="0">
      <w:lvlJc w:val="left"/>
      <w:lvlText w:val="(%1)"/>
      <w:numFmt w:val="lowerLetter"/>
      <w:start w:val="8"/>
    </w:lvl>
  </w:abstractNum>
  <w:abstractNum w:abstractNumId="6">
    <w:nsid w:val="6A2342EC"/>
    <w:multiLevelType w:val="hybridMultilevel"/>
    <w:lvl w:ilvl="0">
      <w:lvlJc w:val="left"/>
      <w:lvlText w:val="%1"/>
      <w:numFmt w:val="upperLetter"/>
      <w:start w:val="1"/>
    </w:lvl>
    <w:lvl w:ilvl="1">
      <w:lvlJc w:val="left"/>
      <w:lvlText w:val="(%2)"/>
      <w:numFmt w:val="lowerLetter"/>
      <w:start w:val="1"/>
    </w:lvl>
  </w:abstractNum>
  <w:abstractNum w:abstractNumId="7">
    <w:nsid w:val="2A487CB0"/>
    <w:multiLevelType w:val="hybridMultilevel"/>
    <w:lvl w:ilvl="0">
      <w:lvlJc w:val="left"/>
      <w:lvlText w:val="(%1)"/>
      <w:numFmt w:val="upperLetter"/>
      <w:start w:val="2"/>
    </w:lvl>
    <w:lvl w:ilvl="1">
      <w:lvlJc w:val="left"/>
      <w:lvlText w:val="%2"/>
      <w:numFmt w:val="lowerLetter"/>
      <w:start w:val="1"/>
    </w:lvl>
  </w:abstractNum>
  <w:abstractNum w:abstractNumId="8">
    <w:nsid w:val="1D4ED43B"/>
    <w:multiLevelType w:val="hybridMultilevel"/>
    <w:lvl w:ilvl="0">
      <w:lvlJc w:val="left"/>
      <w:lvlText w:val="(%1)"/>
      <w:numFmt w:val="lowerLetter"/>
      <w:start w:val="7"/>
    </w:lvl>
  </w:abstractNum>
  <w:abstractNum w:abstractNumId="9">
    <w:nsid w:val="725A06FB"/>
    <w:multiLevelType w:val="hybridMultilevel"/>
    <w:lvl w:ilvl="0">
      <w:lvlJc w:val="left"/>
      <w:lvlText w:val="(%1)"/>
      <w:numFmt w:val="lowerRoman"/>
      <w:start w:val="2"/>
    </w:lvl>
  </w:abstractNum>
  <w:abstractNum w:abstractNumId="10">
    <w:nsid w:val="2CD89A32"/>
    <w:multiLevelType w:val="hybridMultilevel"/>
    <w:lvl w:ilvl="0">
      <w:lvlJc w:val="left"/>
      <w:lvlText w:val="(%1)"/>
      <w:numFmt w:val="lowerLetter"/>
      <w:start w:val="2"/>
    </w:lvl>
  </w:abstractNum>
  <w:abstractNum w:abstractNumId="11">
    <w:nsid w:val="57E4CCAF"/>
    <w:multiLevelType w:val="hybridMultilevel"/>
    <w:lvl w:ilvl="0">
      <w:lvlJc w:val="left"/>
      <w:lvlText w:val="%1"/>
      <w:numFmt w:val="upperLetter"/>
      <w:start w:val="1"/>
    </w:lvl>
    <w:lvl w:ilvl="1">
      <w:lvlJc w:val="left"/>
      <w:lvlText w:val="(%2)"/>
      <w:numFmt w:val="lowerLetter"/>
      <w:start w:val="4"/>
    </w:lvl>
  </w:abstractNum>
  <w:abstractNum w:abstractNumId="12">
    <w:nsid w:val="7A6D8D3C"/>
    <w:multiLevelType w:val="hybridMultilevel"/>
    <w:lvl w:ilvl="0">
      <w:lvlJc w:val="left"/>
      <w:lvlText w:val="(%1)"/>
      <w:numFmt w:val="upperLetter"/>
      <w:start w:val="2"/>
    </w:lvl>
    <w:lvl w:ilvl="1">
      <w:lvlJc w:val="left"/>
      <w:lvlText w:val="%2"/>
      <w:numFmt w:val="lowerLetter"/>
      <w:start w:val="1"/>
    </w:lvl>
  </w:abstractNum>
  <w:abstractNum w:abstractNumId="13">
    <w:nsid w:val="4B588F54"/>
    <w:multiLevelType w:val="hybridMultilevel"/>
    <w:lvl w:ilvl="0">
      <w:lvlJc w:val="left"/>
      <w:lvlText w:val="%1."/>
      <w:numFmt w:val="decimal"/>
      <w:start w:val="2"/>
    </w:lvl>
  </w:abstractNum>
  <w:abstractNum w:abstractNumId="14">
    <w:nsid w:val="542289EC"/>
    <w:multiLevelType w:val="hybridMultilevel"/>
    <w:lvl w:ilvl="0">
      <w:lvlJc w:val="left"/>
      <w:lvlText w:val="(%1)"/>
      <w:numFmt w:val="lowerLetter"/>
      <w:start w:val="1"/>
    </w:lvl>
    <w:lvl w:ilvl="1">
      <w:lvlJc w:val="left"/>
      <w:lvlText w:val="(%2)"/>
      <w:numFmt w:val="lowerLetter"/>
      <w:start w:val="35"/>
    </w:lvl>
  </w:abstractNum>
  <w:abstractNum w:abstractNumId="15">
    <w:nsid w:val="6DE91B18"/>
    <w:multiLevelType w:val="hybridMultilevel"/>
    <w:lvl w:ilvl="0">
      <w:lvlJc w:val="left"/>
      <w:lvlText w:val="(%1)"/>
      <w:numFmt w:val="lowerLetter"/>
      <w:start w:val="2"/>
    </w:lvl>
  </w:abstractNum>
  <w:abstractNum w:abstractNumId="16">
    <w:nsid w:val="38437FDB"/>
    <w:multiLevelType w:val="hybridMultilevel"/>
    <w:lvl w:ilvl="0">
      <w:lvlJc w:val="left"/>
      <w:lvlText w:val="(%1)"/>
      <w:numFmt w:val="lowerLetter"/>
      <w:start w:val="1"/>
    </w:lvl>
  </w:abstractNum>
  <w:abstractNum w:abstractNumId="17">
    <w:nsid w:val="7644A45C"/>
    <w:multiLevelType w:val="hybridMultilevel"/>
    <w:lvl w:ilvl="0">
      <w:lvlJc w:val="left"/>
      <w:lvlText w:val="(%1)"/>
      <w:numFmt w:val="lowerLetter"/>
      <w:start w:val="2"/>
    </w:lvl>
  </w:abstractNum>
  <w:abstractNum w:abstractNumId="18">
    <w:nsid w:val="32FFF902"/>
    <w:multiLevelType w:val="hybridMultilevel"/>
    <w:lvl w:ilvl="0">
      <w:lvlJc w:val="left"/>
      <w:lvlText w:val="(%1)"/>
      <w:numFmt w:val="lowerLetter"/>
      <w:start w:val="4"/>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decimal"/>
      <w:start w:val="3"/>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1)"/>
      <w:numFmt w:val="lowerLetter"/>
      <w:start w:val="3"/>
    </w:lvl>
  </w:abstractNum>
  <w:abstractNum w:abstractNumId="24">
    <w:nsid w:val="79A1DEAA"/>
    <w:multiLevelType w:val="hybridMultilevel"/>
    <w:lvl w:ilvl="0">
      <w:lvlJc w:val="left"/>
      <w:lvlText w:val="%1"/>
      <w:numFmt w:val="decimal"/>
      <w:start w:val="1"/>
    </w:lvl>
    <w:lvl w:ilvl="1">
      <w:lvlJc w:val="left"/>
      <w:lvlText w:val="(%2)"/>
      <w:numFmt w:val="lowerLetter"/>
      <w:start w:val="1"/>
    </w:lvl>
  </w:abstractNum>
  <w:abstractNum w:abstractNumId="25">
    <w:nsid w:val="75C6C33A"/>
    <w:multiLevelType w:val="hybridMultilevel"/>
    <w:lvl w:ilvl="0">
      <w:lvlJc w:val="left"/>
      <w:lvlText w:val="%1."/>
      <w:numFmt w:val="decimal"/>
      <w:start w:val="4"/>
    </w:lvl>
    <w:lvl w:ilvl="1">
      <w:lvlJc w:val="left"/>
      <w:lvlText w:val="%2"/>
      <w:numFmt w:val="lowerLetter"/>
      <w:start w:val="1"/>
    </w:lvl>
  </w:abstractNum>
  <w:abstractNum w:abstractNumId="26">
    <w:nsid w:val="12E685FB"/>
    <w:multiLevelType w:val="hybridMultilevel"/>
    <w:lvl w:ilvl="0">
      <w:lvlJc w:val="left"/>
      <w:lvlText w:val="%1."/>
      <w:numFmt w:val="decimal"/>
      <w:start w:val="5"/>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decimal"/>
      <w:start w:val="6"/>
    </w:lvl>
  </w:abstractNum>
  <w:abstractNum w:abstractNumId="29">
    <w:nsid w:val="374A3FE6"/>
    <w:multiLevelType w:val="hybridMultilevel"/>
    <w:lvl w:ilvl="0">
      <w:lvlJc w:val="left"/>
      <w:lvlText w:val="(%1)"/>
      <w:numFmt w:val="lowerLetter"/>
      <w:start w:val="1"/>
    </w:lvl>
  </w:abstractNum>
  <w:abstractNum w:abstractNumId="30">
    <w:nsid w:val="4F4EF005"/>
    <w:multiLevelType w:val="hybridMultilevel"/>
    <w:lvl w:ilvl="0">
      <w:lvlJc w:val="left"/>
      <w:lvlText w:val="(%1)"/>
      <w:numFmt w:val="lowerLetter"/>
      <w:start w:val="1"/>
    </w:lvl>
    <w:lvl w:ilvl="1">
      <w:lvlJc w:val="left"/>
      <w:lvlText w:val="(%2)"/>
      <w:numFmt w:val="lowerRoman"/>
      <w:start w:val="1"/>
    </w:lvl>
  </w:abstractNum>
  <w:abstractNum w:abstractNumId="31">
    <w:nsid w:val="23F9C13C"/>
    <w:multiLevelType w:val="hybridMultilevel"/>
    <w:lvl w:ilvl="0">
      <w:lvlJc w:val="left"/>
      <w:lvlText w:val="(%1)"/>
      <w:numFmt w:val="lowerRoman"/>
      <w:start w:val="3"/>
    </w:lvl>
  </w:abstractNum>
  <w:abstractNum w:abstractNumId="32">
    <w:nsid w:val="649BB77C"/>
    <w:multiLevelType w:val="hybridMultilevel"/>
    <w:lvl w:ilvl="0">
      <w:lvlJc w:val="left"/>
      <w:lvlText w:val="(%1)"/>
      <w:numFmt w:val="lowerRoman"/>
      <w:start w:val="14"/>
    </w:lvl>
  </w:abstractNum>
  <w:abstractNum w:abstractNumId="33">
    <w:nsid w:val="275AC794"/>
    <w:multiLevelType w:val="hybridMultilevel"/>
    <w:lvl w:ilvl="0">
      <w:lvlJc w:val="left"/>
      <w:lvlText w:val="(%1)"/>
      <w:numFmt w:val="lowerLetter"/>
      <w:start w:val="2"/>
    </w:lvl>
    <w:lvl w:ilvl="1">
      <w:lvlJc w:val="left"/>
      <w:lvlText w:val="(%2)"/>
      <w:numFmt w:val="lowerRoman"/>
      <w:start w:val="1"/>
    </w:lvl>
  </w:abstractNum>
  <w:abstractNum w:abstractNumId="34">
    <w:nsid w:val="39386575"/>
    <w:multiLevelType w:val="hybridMultilevel"/>
    <w:lvl w:ilvl="0">
      <w:lvlJc w:val="left"/>
      <w:lvlText w:val="(%1)"/>
      <w:numFmt w:val="lowerLetter"/>
      <w:start w:val="1"/>
    </w:lvl>
  </w:abstractNum>
  <w:abstractNum w:abstractNumId="35">
    <w:nsid w:val="1CF10FD8"/>
    <w:multiLevelType w:val="hybridMultilevel"/>
    <w:lvl w:ilvl="0">
      <w:lvlJc w:val="left"/>
      <w:lvlText w:val="%1."/>
      <w:numFmt w:val="decimal"/>
      <w:start w:val="7"/>
    </w:lvl>
  </w:abstractNum>
  <w:abstractNum w:abstractNumId="36">
    <w:nsid w:val="180115BE"/>
    <w:multiLevelType w:val="hybridMultilevel"/>
    <w:lvl w:ilvl="0">
      <w:lvlJc w:val="left"/>
      <w:lvlText w:val="%1."/>
      <w:numFmt w:val="decimal"/>
      <w:start w:val="8"/>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decimal"/>
      <w:start w:val="9"/>
    </w:lvl>
  </w:abstractNum>
  <w:abstractNum w:abstractNumId="40">
    <w:nsid w:val="15B5AF5C"/>
    <w:multiLevelType w:val="hybridMultilevel"/>
    <w:lvl w:ilvl="0">
      <w:lvlJc w:val="left"/>
      <w:lvlText w:val="(%1)"/>
      <w:numFmt w:val="lowerLetter"/>
      <w:start w:val="1"/>
    </w:lvl>
    <w:lvl w:ilvl="1">
      <w:lvlJc w:val="left"/>
      <w:lvlText w:val="(%2)"/>
      <w:numFmt w:val="lowerRoman"/>
      <w:start w:val="1"/>
    </w:lvl>
  </w:abstractNum>
  <w:abstractNum w:abstractNumId="41">
    <w:nsid w:val="741226BB"/>
    <w:multiLevelType w:val="hybridMultilevel"/>
    <w:lvl w:ilvl="0">
      <w:lvlJc w:val="left"/>
      <w:lvlText w:val="%1"/>
      <w:numFmt w:val="lowerLetter"/>
      <w:start w:val="1"/>
    </w:lvl>
    <w:lvl w:ilvl="1">
      <w:lvlJc w:val="left"/>
      <w:lvlText w:val="(%2)"/>
      <w:numFmt w:val="lowerLetter"/>
      <w:start w:val="61"/>
    </w:lvl>
  </w:abstractNum>
  <w:abstractNum w:abstractNumId="42">
    <w:nsid w:val="D34B6A8"/>
    <w:multiLevelType w:val="hybridMultilevel"/>
    <w:lvl w:ilvl="0">
      <w:lvlJc w:val="left"/>
      <w:lvlText w:val="(%1)"/>
      <w:numFmt w:val="lowerLetter"/>
      <w:start w:val="3"/>
    </w:lvl>
    <w:lvl w:ilvl="1">
      <w:lvlJc w:val="left"/>
      <w:lvlText w:val="(%2)"/>
      <w:numFmt w:val="lowerLetter"/>
      <w:start w:val="9"/>
    </w:lvl>
  </w:abstractNum>
  <w:abstractNum w:abstractNumId="43">
    <w:nsid w:val="10233C99"/>
    <w:multiLevelType w:val="hybridMultilevel"/>
    <w:lvl w:ilvl="0">
      <w:lvlJc w:val="left"/>
      <w:lvlText w:val="(%1)"/>
      <w:numFmt w:val="lowerRoman"/>
      <w:start w:val="2"/>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decimal"/>
      <w:start w:val="10"/>
    </w:lvl>
  </w:abstractNum>
  <w:abstractNum w:abstractNumId="46">
    <w:nsid w:val="7E0C57B1"/>
    <w:multiLevelType w:val="hybridMultilevel"/>
    <w:lvl w:ilvl="0">
      <w:lvlJc w:val="left"/>
      <w:lvlText w:val="%1."/>
      <w:numFmt w:val="decimal"/>
      <w:start w:val="1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decimal"/>
      <w:start w:val="1"/>
    </w:lvl>
    <w:lvl w:ilvl="1">
      <w:lvlJc w:val="left"/>
      <w:lvlText w:val="(%2)"/>
      <w:numFmt w:val="lowerLetter"/>
      <w:start w:val="4"/>
    </w:lvl>
  </w:abstractNum>
  <w:abstractNum w:abstractNumId="49">
    <w:nsid w:val="310C50B3"/>
    <w:multiLevelType w:val="hybridMultilevel"/>
    <w:lvl w:ilvl="0">
      <w:lvlJc w:val="left"/>
      <w:lvlText w:val="%1."/>
      <w:numFmt w:val="decimal"/>
      <w:start w:val="12"/>
    </w:lvl>
    <w:lvl w:ilvl="1">
      <w:lvlJc w:val="left"/>
      <w:lvlText w:val="%2"/>
      <w:numFmt w:val="lowerLetter"/>
      <w:start w:val="1"/>
    </w:lvl>
  </w:abstractNum>
  <w:abstractNum w:abstractNumId="50">
    <w:nsid w:val="5FF87E05"/>
    <w:multiLevelType w:val="hybridMultilevel"/>
    <w:lvl w:ilvl="0">
      <w:lvlJc w:val="left"/>
      <w:lvlText w:val="%1"/>
      <w:numFmt w:val="lowerLetter"/>
      <w:start w:val="1"/>
    </w:lvl>
    <w:lvl w:ilvl="1">
      <w:lvlJc w:val="left"/>
      <w:lvlText w:val="(%2)"/>
      <w:numFmt w:val="lowerRoman"/>
      <w:start w:val="1"/>
    </w:lvl>
  </w:abstractNum>
  <w:abstractNum w:abstractNumId="51">
    <w:nsid w:val="2F305DEF"/>
    <w:multiLevelType w:val="hybridMultilevel"/>
    <w:lvl w:ilvl="0">
      <w:lvlJc w:val="left"/>
      <w:lvlText w:val="(%1)"/>
      <w:numFmt w:val="lowerLetter"/>
      <w:start w:val="2"/>
    </w:lvl>
    <w:lvl w:ilvl="1">
      <w:lvlJc w:val="left"/>
      <w:lvlText w:val="%2"/>
      <w:numFmt w:val="lowerRoman"/>
      <w:start w:val="1"/>
    </w:lvl>
  </w:abstractNum>
  <w:abstractNum w:abstractNumId="52">
    <w:nsid w:val="25A70BF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3">
    <w:nsid w:val="1DBABF0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54">
    <w:nsid w:val="4AD084E9"/>
    <w:multiLevelType w:val="hybridMultilevel"/>
    <w:lvl w:ilvl="0">
      <w:lvlJc w:val="left"/>
      <w:lvlText w:val="%1"/>
      <w:numFmt w:val="lowerLetter"/>
      <w:start w:val="1"/>
    </w:lvl>
    <w:lvl w:ilvl="1">
      <w:lvlJc w:val="left"/>
      <w:lvlText w:val="(%2)"/>
      <w:numFmt w:val="lowerLetter"/>
      <w:start w:val="3"/>
    </w:lvl>
  </w:abstractNum>
  <w:abstractNum w:abstractNumId="55">
    <w:nsid w:val="1F48EAA1"/>
    <w:multiLevelType w:val="hybridMultilevel"/>
    <w:lvl w:ilvl="0">
      <w:lvlJc w:val="left"/>
      <w:lvlText w:val="(%1)"/>
      <w:numFmt w:val="lowerLetter"/>
      <w:start w:val="61"/>
    </w:lvl>
    <w:lvl w:ilvl="1">
      <w:lvlJc w:val="left"/>
      <w:lvlText w:val="%2"/>
      <w:numFmt w:val="lowerLetter"/>
      <w:start w:val="1"/>
    </w:lvl>
  </w:abstractNum>
  <w:abstractNum w:abstractNumId="56">
    <w:nsid w:val="1381823A"/>
    <w:multiLevelType w:val="hybridMultilevel"/>
    <w:lvl w:ilvl="0">
      <w:lvlJc w:val="left"/>
      <w:lvlText w:val="%1."/>
      <w:numFmt w:val="decimal"/>
      <w:start w:val="2"/>
    </w:lvl>
    <w:lvl w:ilvl="1">
      <w:lvlJc w:val="left"/>
      <w:lvlText w:val="(%2)"/>
      <w:numFmt w:val="lowerLetter"/>
      <w:start w:val="1"/>
    </w:lvl>
  </w:abstractNum>
  <w:abstractNum w:abstractNumId="57">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58">
    <w:nsid w:val="100F8FC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9">
    <w:nsid w:val="6590700B"/>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0">
    <w:nsid w:val="15014ACB"/>
    <w:multiLevelType w:val="hybridMultilevel"/>
    <w:lvl w:ilvl="0">
      <w:lvlJc w:val="left"/>
      <w:lvlText w:val="%1"/>
      <w:numFmt w:val="lowerRoman"/>
      <w:start w:val="1"/>
    </w:lvl>
    <w:lvl w:ilvl="1">
      <w:lvlJc w:val="left"/>
      <w:lvlText w:val="%2."/>
      <w:numFmt w:val="decimal"/>
      <w:start w:val="4"/>
    </w:lvl>
  </w:abstractNum>
  <w:abstractNum w:abstractNumId="61">
    <w:nsid w:val="5F5E7FD0"/>
    <w:multiLevelType w:val="hybridMultilevel"/>
    <w:lvl w:ilvl="0">
      <w:lvlJc w:val="left"/>
      <w:lvlText w:val="(%1)"/>
      <w:numFmt w:val="lowerRoman"/>
      <w:start w:val="4"/>
    </w:lvl>
    <w:lvl w:ilvl="1">
      <w:lvlJc w:val="left"/>
      <w:lvlText w:val="%2"/>
      <w:numFmt w:val="decimal"/>
      <w:start w:val="1"/>
    </w:lvl>
  </w:abstractNum>
  <w:abstractNum w:abstractNumId="62">
    <w:nsid w:val="98A3148"/>
    <w:multiLevelType w:val="hybridMultilevel"/>
    <w:lvl w:ilvl="0">
      <w:lvlJc w:val="left"/>
      <w:lvlText w:val="%1."/>
      <w:numFmt w:val="decimal"/>
      <w:start w:val="6"/>
    </w:lvl>
  </w:abstractNum>
  <w:abstractNum w:abstractNumId="63">
    <w:nsid w:val="799D0247"/>
    <w:multiLevelType w:val="hybridMultilevel"/>
    <w:lvl w:ilvl="0">
      <w:lvlJc w:val="left"/>
      <w:lvlText w:val="%1."/>
      <w:numFmt w:val="decimal"/>
      <w:start w:val="8"/>
    </w:lvl>
    <w:lvl w:ilvl="1">
      <w:lvlJc w:val="left"/>
      <w:lvlText w:val="(%2)"/>
      <w:numFmt w:val="lowerLetter"/>
      <w:start w:val="4"/>
    </w:lvl>
  </w:abstractNum>
  <w:abstractNum w:abstractNumId="64">
    <w:nsid w:val="6B94764"/>
    <w:multiLevelType w:val="hybridMultilevel"/>
    <w:lvl w:ilvl="0">
      <w:lvlJc w:val="left"/>
      <w:lvlText w:val="%1"/>
      <w:numFmt w:val="decimal"/>
      <w:start w:val="1"/>
    </w:lvl>
    <w:lvl w:ilvl="1">
      <w:lvlJc w:val="left"/>
      <w:lvlText w:val="(%2)"/>
      <w:numFmt w:val="lowerLetter"/>
      <w:start w:val="1"/>
    </w:lvl>
  </w:abstractNum>
  <w:abstractNum w:abstractNumId="65">
    <w:nsid w:val="42C296BD"/>
    <w:multiLevelType w:val="hybridMultilevel"/>
    <w:lvl w:ilvl="0">
      <w:lvlJc w:val="left"/>
      <w:lvlText w:val="(%1)"/>
      <w:numFmt w:val="lowerLetter"/>
      <w:start w:val="2"/>
    </w:lvl>
    <w:lvl w:ilvl="1">
      <w:lvlJc w:val="left"/>
      <w:lvlText w:val="(%2)"/>
      <w:numFmt w:val="lowerRoman"/>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lowerLetter"/>
      <w:start w:val="2"/>
    </w:lvl>
    <w:lvl w:ilvl="1">
      <w:lvlJc w:val="left"/>
      <w:lvlText w:val="(%2)"/>
      <w:numFmt w:val="lowerRoman"/>
      <w:start w:val="1"/>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Roman"/>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decimal"/>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2020-01-23T14:19:19Z</dcterms:created>
  <dcterms:modified xsi:type="dcterms:W3CDTF">2020-01-23T14:19:19Z</dcterms:modified>
</cp:coreProperties>
</file>