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490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903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3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Opaleye Management Inc.</w:t>
              </w:r>
            </w:hyperlink>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HARROW HEALTH,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HROW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6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80" w:type="dxa"/>
            <w:vAlign w:val="bottom"/>
            <w:gridSpan w:val="7"/>
            <w:vMerge w:val="continue"/>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ONE BOSTON PLACE,</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Arial" w:cs="Arial" w:eastAsia="Arial" w:hAnsi="Arial"/>
                <w:sz w:val="17"/>
                <w:szCs w:val="17"/>
                <w:color w:val="0000FF"/>
              </w:rPr>
              <w:t>06/17/2021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26TH FLOOR</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8"/>
            <w:vMerge w:val="continue"/>
          </w:tcPr>
          <w:p>
            <w:pPr>
              <w:spacing w:after="0"/>
              <w:rPr>
                <w:sz w:val="8"/>
                <w:szCs w:val="8"/>
                <w:color w:val="auto"/>
              </w:rPr>
            </w:pPr>
          </w:p>
        </w:tc>
        <w:tc>
          <w:tcPr>
            <w:tcW w:w="36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4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0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gridSpan w:val="2"/>
          </w:tcPr>
          <w:p>
            <w:pPr>
              <w:ind w:left="140"/>
              <w:spacing w:after="0"/>
              <w:rPr>
                <w:sz w:val="20"/>
                <w:szCs w:val="20"/>
                <w:color w:val="auto"/>
              </w:rPr>
            </w:pPr>
            <w:r>
              <w:rPr>
                <w:rFonts w:ascii="Arial" w:cs="Arial" w:eastAsia="Arial" w:hAnsi="Arial"/>
                <w:sz w:val="17"/>
                <w:szCs w:val="17"/>
                <w:color w:val="0000FF"/>
              </w:rPr>
              <w:t>02108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20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500" w:type="dxa"/>
            <w:vAlign w:val="bottom"/>
          </w:tcPr>
          <w:p>
            <w:pPr>
              <w:ind w:left="14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gridSpan w:val="4"/>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21"/>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5"/>
                <w:szCs w:val="15"/>
                <w:color w:val="auto"/>
              </w:rPr>
            </w:pPr>
          </w:p>
        </w:tc>
        <w:tc>
          <w:tcPr>
            <w:tcW w:w="92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2"/>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gridSpan w:val="7"/>
            <w:vMerge w:val="restart"/>
          </w:tcPr>
          <w:p>
            <w:pPr>
              <w:ind w:left="60"/>
              <w:spacing w:after="0"/>
              <w:rPr>
                <w:sz w:val="20"/>
                <w:szCs w:val="20"/>
                <w:color w:val="auto"/>
              </w:rPr>
            </w:pPr>
            <w:r>
              <w:rPr>
                <w:rFonts w:ascii="Arial" w:cs="Arial" w:eastAsia="Arial" w:hAnsi="Arial"/>
                <w:sz w:val="17"/>
                <w:szCs w:val="17"/>
                <w:color w:val="0000FF"/>
                <w:w w:val="96"/>
              </w:rPr>
              <w:t>Common Stock, par value $0.0001 per</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00" w:type="dxa"/>
            <w:vAlign w:val="bottom"/>
            <w:gridSpan w:val="7"/>
            <w:vMerge w:val="continue"/>
          </w:tcPr>
          <w:p>
            <w:pPr>
              <w:spacing w:after="0"/>
              <w:rPr>
                <w:sz w:val="9"/>
                <w:szCs w:val="9"/>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7"/>
                <w:szCs w:val="17"/>
                <w:color w:val="0000FF"/>
              </w:rPr>
              <w:t>06/17/2021</w:t>
            </w: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10,800</w:t>
            </w:r>
          </w:p>
        </w:tc>
        <w:tc>
          <w:tcPr>
            <w:tcW w:w="500" w:type="dxa"/>
            <w:vAlign w:val="bottom"/>
            <w:vMerge w:val="restart"/>
          </w:tcPr>
          <w:p>
            <w:pPr>
              <w:jc w:val="center"/>
              <w:ind w:right="52"/>
              <w:spacing w:after="0"/>
              <w:rPr>
                <w:sz w:val="20"/>
                <w:szCs w:val="20"/>
                <w:color w:val="auto"/>
              </w:rPr>
            </w:pPr>
            <w:r>
              <w:rPr>
                <w:rFonts w:ascii="Arial" w:cs="Arial" w:eastAsia="Arial" w:hAnsi="Arial"/>
                <w:sz w:val="17"/>
                <w:szCs w:val="17"/>
                <w:color w:val="0000FF"/>
              </w:rPr>
              <w:t>A</w:t>
            </w:r>
          </w:p>
        </w:tc>
        <w:tc>
          <w:tcPr>
            <w:tcW w:w="760" w:type="dxa"/>
            <w:vAlign w:val="bottom"/>
            <w:gridSpan w:val="4"/>
            <w:vMerge w:val="restart"/>
          </w:tcPr>
          <w:p>
            <w:pPr>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8.3201</w:t>
            </w:r>
            <w:r>
              <w:rPr>
                <w:rFonts w:ascii="Arial" w:cs="Arial" w:eastAsia="Arial" w:hAnsi="Arial"/>
                <w:sz w:val="22"/>
                <w:szCs w:val="22"/>
                <w:color w:val="008000"/>
                <w:w w:val="93"/>
                <w:vertAlign w:val="superscript"/>
              </w:rPr>
              <w:t>(1)</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2,940,200</w:t>
            </w:r>
          </w:p>
        </w:tc>
        <w:tc>
          <w:tcPr>
            <w:tcW w:w="240" w:type="dxa"/>
            <w:vAlign w:val="bottom"/>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gridSpan w:val="7"/>
            <w:vMerge w:val="restart"/>
          </w:tcPr>
          <w:p>
            <w:pPr>
              <w:ind w:left="60"/>
              <w:spacing w:after="0"/>
              <w:rPr>
                <w:sz w:val="20"/>
                <w:szCs w:val="20"/>
                <w:color w:val="auto"/>
              </w:rPr>
            </w:pPr>
            <w:r>
              <w:rPr>
                <w:rFonts w:ascii="Arial" w:cs="Arial" w:eastAsia="Arial" w:hAnsi="Arial"/>
                <w:sz w:val="17"/>
                <w:szCs w:val="17"/>
                <w:color w:val="0000FF"/>
                <w:w w:val="96"/>
              </w:rPr>
              <w:t>Common Stock, par value $0.0001 per</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00" w:type="dxa"/>
            <w:vAlign w:val="bottom"/>
            <w:gridSpan w:val="7"/>
            <w:vMerge w:val="continue"/>
          </w:tcPr>
          <w:p>
            <w:pPr>
              <w:spacing w:after="0"/>
              <w:rPr>
                <w:sz w:val="9"/>
                <w:szCs w:val="9"/>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7"/>
                <w:szCs w:val="17"/>
                <w:color w:val="0000FF"/>
              </w:rPr>
              <w:t>06/17/2021</w:t>
            </w: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1"/>
              </w:rPr>
              <w:t>462</w:t>
            </w:r>
          </w:p>
        </w:tc>
        <w:tc>
          <w:tcPr>
            <w:tcW w:w="500" w:type="dxa"/>
            <w:vAlign w:val="bottom"/>
            <w:vMerge w:val="restart"/>
          </w:tcPr>
          <w:p>
            <w:pPr>
              <w:jc w:val="center"/>
              <w:ind w:right="52"/>
              <w:spacing w:after="0"/>
              <w:rPr>
                <w:sz w:val="20"/>
                <w:szCs w:val="20"/>
                <w:color w:val="auto"/>
              </w:rPr>
            </w:pPr>
            <w:r>
              <w:rPr>
                <w:rFonts w:ascii="Arial" w:cs="Arial" w:eastAsia="Arial" w:hAnsi="Arial"/>
                <w:sz w:val="17"/>
                <w:szCs w:val="17"/>
                <w:color w:val="0000FF"/>
              </w:rPr>
              <w:t>A</w:t>
            </w:r>
          </w:p>
        </w:tc>
        <w:tc>
          <w:tcPr>
            <w:tcW w:w="760" w:type="dxa"/>
            <w:vAlign w:val="bottom"/>
            <w:gridSpan w:val="4"/>
            <w:vMerge w:val="restart"/>
          </w:tcPr>
          <w:p>
            <w:pPr>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8.3201</w:t>
            </w:r>
            <w:r>
              <w:rPr>
                <w:rFonts w:ascii="Arial" w:cs="Arial" w:eastAsia="Arial" w:hAnsi="Arial"/>
                <w:sz w:val="22"/>
                <w:szCs w:val="22"/>
                <w:color w:val="008000"/>
                <w:w w:val="93"/>
                <w:vertAlign w:val="superscript"/>
              </w:rPr>
              <w:t>(1)</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136,478</w:t>
            </w:r>
          </w:p>
        </w:tc>
        <w:tc>
          <w:tcPr>
            <w:tcW w:w="240" w:type="dxa"/>
            <w:vAlign w:val="bottom"/>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Account</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gridSpan w:val="7"/>
            <w:vMerge w:val="restart"/>
          </w:tcPr>
          <w:p>
            <w:pPr>
              <w:ind w:left="60"/>
              <w:spacing w:after="0"/>
              <w:rPr>
                <w:sz w:val="20"/>
                <w:szCs w:val="20"/>
                <w:color w:val="auto"/>
              </w:rPr>
            </w:pPr>
            <w:r>
              <w:rPr>
                <w:rFonts w:ascii="Arial" w:cs="Arial" w:eastAsia="Arial" w:hAnsi="Arial"/>
                <w:sz w:val="17"/>
                <w:szCs w:val="17"/>
                <w:color w:val="0000FF"/>
                <w:w w:val="96"/>
              </w:rPr>
              <w:t>Common Stock, par value $0.0001 per</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00" w:type="dxa"/>
            <w:vAlign w:val="bottom"/>
            <w:gridSpan w:val="7"/>
            <w:vMerge w:val="continue"/>
          </w:tcPr>
          <w:p>
            <w:pPr>
              <w:spacing w:after="0"/>
              <w:rPr>
                <w:sz w:val="9"/>
                <w:szCs w:val="9"/>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7"/>
                <w:szCs w:val="17"/>
                <w:color w:val="0000FF"/>
              </w:rPr>
              <w:t>06/18/2021</w:t>
            </w: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59,800</w:t>
            </w:r>
          </w:p>
        </w:tc>
        <w:tc>
          <w:tcPr>
            <w:tcW w:w="500" w:type="dxa"/>
            <w:vAlign w:val="bottom"/>
            <w:vMerge w:val="restart"/>
          </w:tcPr>
          <w:p>
            <w:pPr>
              <w:jc w:val="center"/>
              <w:ind w:right="52"/>
              <w:spacing w:after="0"/>
              <w:rPr>
                <w:sz w:val="20"/>
                <w:szCs w:val="20"/>
                <w:color w:val="auto"/>
              </w:rPr>
            </w:pPr>
            <w:r>
              <w:rPr>
                <w:rFonts w:ascii="Arial" w:cs="Arial" w:eastAsia="Arial" w:hAnsi="Arial"/>
                <w:sz w:val="17"/>
                <w:szCs w:val="17"/>
                <w:color w:val="0000FF"/>
              </w:rPr>
              <w:t>A</w:t>
            </w:r>
          </w:p>
        </w:tc>
        <w:tc>
          <w:tcPr>
            <w:tcW w:w="760" w:type="dxa"/>
            <w:vAlign w:val="bottom"/>
            <w:gridSpan w:val="4"/>
            <w:vMerge w:val="restart"/>
          </w:tcPr>
          <w:p>
            <w:pPr>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8.3492</w:t>
            </w:r>
            <w:r>
              <w:rPr>
                <w:rFonts w:ascii="Arial" w:cs="Arial" w:eastAsia="Arial" w:hAnsi="Arial"/>
                <w:sz w:val="22"/>
                <w:szCs w:val="22"/>
                <w:color w:val="008000"/>
                <w:w w:val="93"/>
                <w:vertAlign w:val="superscript"/>
              </w:rPr>
              <w:t>(4)</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3,000,000</w:t>
            </w:r>
          </w:p>
        </w:tc>
        <w:tc>
          <w:tcPr>
            <w:tcW w:w="240" w:type="dxa"/>
            <w:vAlign w:val="bottom"/>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gridSpan w:val="7"/>
            <w:vMerge w:val="restart"/>
          </w:tcPr>
          <w:p>
            <w:pPr>
              <w:ind w:left="60"/>
              <w:spacing w:after="0"/>
              <w:rPr>
                <w:sz w:val="20"/>
                <w:szCs w:val="20"/>
                <w:color w:val="auto"/>
              </w:rPr>
            </w:pPr>
            <w:r>
              <w:rPr>
                <w:rFonts w:ascii="Arial" w:cs="Arial" w:eastAsia="Arial" w:hAnsi="Arial"/>
                <w:sz w:val="17"/>
                <w:szCs w:val="17"/>
                <w:color w:val="0000FF"/>
                <w:w w:val="96"/>
              </w:rPr>
              <w:t>Common Stock, par value $0.0001 per</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00" w:type="dxa"/>
            <w:vAlign w:val="bottom"/>
            <w:gridSpan w:val="7"/>
            <w:vMerge w:val="continue"/>
          </w:tcPr>
          <w:p>
            <w:pPr>
              <w:spacing w:after="0"/>
              <w:rPr>
                <w:sz w:val="9"/>
                <w:szCs w:val="9"/>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7"/>
                <w:szCs w:val="17"/>
                <w:color w:val="0000FF"/>
              </w:rPr>
              <w:t>06/18/2021</w:t>
            </w: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3"/>
              </w:rPr>
              <w:t>3,522</w:t>
            </w:r>
          </w:p>
        </w:tc>
        <w:tc>
          <w:tcPr>
            <w:tcW w:w="500" w:type="dxa"/>
            <w:vAlign w:val="bottom"/>
            <w:vMerge w:val="restart"/>
          </w:tcPr>
          <w:p>
            <w:pPr>
              <w:jc w:val="center"/>
              <w:ind w:right="52"/>
              <w:spacing w:after="0"/>
              <w:rPr>
                <w:sz w:val="20"/>
                <w:szCs w:val="20"/>
                <w:color w:val="auto"/>
              </w:rPr>
            </w:pPr>
            <w:r>
              <w:rPr>
                <w:rFonts w:ascii="Arial" w:cs="Arial" w:eastAsia="Arial" w:hAnsi="Arial"/>
                <w:sz w:val="17"/>
                <w:szCs w:val="17"/>
                <w:color w:val="0000FF"/>
              </w:rPr>
              <w:t>A</w:t>
            </w:r>
          </w:p>
        </w:tc>
        <w:tc>
          <w:tcPr>
            <w:tcW w:w="760" w:type="dxa"/>
            <w:vAlign w:val="bottom"/>
            <w:gridSpan w:val="4"/>
            <w:vMerge w:val="restart"/>
          </w:tcPr>
          <w:p>
            <w:pPr>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8.3492</w:t>
            </w:r>
            <w:r>
              <w:rPr>
                <w:rFonts w:ascii="Arial" w:cs="Arial" w:eastAsia="Arial" w:hAnsi="Arial"/>
                <w:sz w:val="22"/>
                <w:szCs w:val="22"/>
                <w:color w:val="008000"/>
                <w:w w:val="93"/>
                <w:vertAlign w:val="superscript"/>
              </w:rPr>
              <w:t>(4)</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140,000</w:t>
            </w:r>
          </w:p>
        </w:tc>
        <w:tc>
          <w:tcPr>
            <w:tcW w:w="240" w:type="dxa"/>
            <w:vAlign w:val="bottom"/>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Account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20" w:type="dxa"/>
            <w:vAlign w:val="bottom"/>
            <w:gridSpan w:val="19"/>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20" w:type="dxa"/>
            <w:vAlign w:val="bottom"/>
            <w:gridSpan w:val="15"/>
          </w:tcPr>
          <w:p>
            <w:pPr>
              <w:jc w:val="center"/>
              <w:ind w:left="16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$8.3201. The range of purchase prices on the transaction date was $8.25 to $8.35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15" w:lineRule="exact"/>
        <w:rPr>
          <w:rFonts w:ascii="Arial" w:cs="Arial" w:eastAsia="Arial" w:hAnsi="Arial"/>
          <w:sz w:val="13"/>
          <w:szCs w:val="13"/>
          <w:color w:val="008000"/>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1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$8.3492. The range of purchase prices on the transaction date was $8.3468 to $8.35 per share. The reporting person undertakes to provide, upon request by the SEC staff, the issuer, or a security holder of the issuer, full information regarding the number of shares purchased at each price.</w:t>
      </w:r>
    </w:p>
    <w:p>
      <w:pPr>
        <w:spacing w:after="0" w:line="53"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Opaleye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By: /s/ James Silverman,</w:t>
      </w:r>
      <w:r>
        <w:rPr>
          <w:sz w:val="20"/>
          <w:szCs w:val="20"/>
          <w:color w:val="auto"/>
        </w:rPr>
        <w:tab/>
      </w: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3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2021-06-22T10:46:00Z</dcterms:created>
  <dcterms:modified xsi:type="dcterms:W3CDTF">2021-06-22T10:46:00Z</dcterms:modified>
</cp:coreProperties>
</file>