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pPr>
      <w:r>
        <w:rPr/>
      </w:r>
      <w:bookmarkStart w:id="0" w:name="f13d081613_sc13d.htm"/>
      <w:bookmarkStart w:id="1" w:name="ksf13d081613_sc13d"/>
      <w:bookmarkStart w:id="2" w:name="f13d081613_sc13d.htm"/>
      <w:bookmarkStart w:id="3" w:name="ksf13d081613_sc13d"/>
      <w:bookmarkEnd w:id="2"/>
      <w:bookmarkEnd w:id="3"/>
    </w:p>
    <w:p>
      <w:pPr>
        <w:pStyle w:val="TextBody"/>
        <w:spacing w:before="0" w:after="0"/>
        <w:ind w:left="0" w:right="0" w:hanging="0"/>
        <w:jc w:val="center"/>
        <w:rPr>
          <w:b/>
        </w:rPr>
      </w:pPr>
      <w:r>
        <w:rPr>
          <w:b/>
        </w:rPr>
        <w:t>SECURITIES AND EXCHANGE COMMISSION</w:t>
      </w:r>
    </w:p>
    <w:p>
      <w:pPr>
        <w:pStyle w:val="TextBody"/>
        <w:spacing w:before="0" w:after="0"/>
        <w:ind w:left="0" w:right="0" w:hanging="0"/>
        <w:jc w:val="center"/>
        <w:rPr/>
      </w:pPr>
      <w:r>
        <w:rPr/>
        <w:t>Washington, D.C.  20549</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0"/>
        </w:rPr>
      </w:pPr>
      <w:r>
        <w:rPr>
          <w:b/>
          <w:sz w:val="20"/>
        </w:rPr>
        <w:t>SCHEDULE 13D</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Under the Securities Exchange Act of 1934</w:t>
      </w:r>
    </w:p>
    <w:p>
      <w:pPr>
        <w:pStyle w:val="TextBody"/>
        <w:spacing w:before="0" w:after="0"/>
        <w:ind w:left="0" w:right="0" w:hanging="0"/>
        <w:jc w:val="center"/>
        <w:rPr/>
      </w:pPr>
      <w:r>
        <w:rPr/>
        <w:t>(Amendment No. 1)*</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sz w:val="23"/>
        </w:rPr>
      </w:pPr>
      <w:r>
        <w:rPr>
          <w:b/>
          <w:sz w:val="23"/>
        </w:rPr>
        <w:t>IMPRIMIS PHARMACEUTICALS, INC.</w:t>
      </w:r>
    </w:p>
    <w:p>
      <w:pPr>
        <w:pStyle w:val="TextBody"/>
        <w:spacing w:before="0" w:after="0"/>
        <w:ind w:left="0" w:right="0" w:hanging="0"/>
        <w:jc w:val="center"/>
        <w:rPr/>
      </w:pPr>
      <w:r>
        <w:rPr/>
        <w:t>(Name of Issuer)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COMMON STOCK, $0.001 PAR VALUE PER SHARE</w:t>
      </w:r>
    </w:p>
    <w:p>
      <w:pPr>
        <w:pStyle w:val="TextBody"/>
        <w:spacing w:before="0" w:after="0"/>
        <w:ind w:left="0" w:right="0" w:hanging="0"/>
        <w:jc w:val="center"/>
        <w:rPr/>
      </w:pPr>
      <w:r>
        <w:rPr/>
        <w:t>(Title of Class of Securities)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45323A 201</w:t>
      </w:r>
    </w:p>
    <w:p>
      <w:pPr>
        <w:pStyle w:val="TextBody"/>
        <w:spacing w:before="0" w:after="0"/>
        <w:ind w:left="0" w:right="0" w:hanging="0"/>
        <w:jc w:val="center"/>
        <w:rPr/>
      </w:pPr>
      <w:r>
        <w:rPr/>
        <w:t>(CUSIP Number)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Dr. Robert J. Kammer</w:t>
      </w:r>
    </w:p>
    <w:p>
      <w:pPr>
        <w:pStyle w:val="TextBody"/>
        <w:spacing w:before="0" w:after="0"/>
        <w:ind w:left="0" w:right="0" w:hanging="0"/>
        <w:jc w:val="center"/>
        <w:rPr>
          <w:b/>
        </w:rPr>
      </w:pPr>
      <w:r>
        <w:rPr>
          <w:b/>
        </w:rPr>
        <w:t>C/O Imprimis Pharmaceuticals, Inc.</w:t>
      </w:r>
    </w:p>
    <w:p>
      <w:pPr>
        <w:pStyle w:val="TextBody"/>
        <w:spacing w:before="0" w:after="0"/>
        <w:ind w:left="0" w:right="0" w:hanging="0"/>
        <w:jc w:val="center"/>
        <w:rPr>
          <w:b/>
        </w:rPr>
      </w:pPr>
      <w:r>
        <w:rPr>
          <w:b/>
        </w:rPr>
        <w:t>12626 High Bluff Drive, Suite 150</w:t>
      </w:r>
    </w:p>
    <w:p>
      <w:pPr>
        <w:pStyle w:val="TextBody"/>
        <w:spacing w:before="0" w:after="0"/>
        <w:ind w:left="0" w:right="0" w:hanging="0"/>
        <w:jc w:val="center"/>
        <w:rPr>
          <w:b/>
        </w:rPr>
      </w:pPr>
      <w:r>
        <w:rPr>
          <w:b/>
        </w:rPr>
        <w:t>San Diego, CA 92130</w:t>
      </w:r>
    </w:p>
    <w:p>
      <w:pPr>
        <w:pStyle w:val="TextBody"/>
        <w:spacing w:before="0" w:after="0"/>
        <w:ind w:left="0" w:right="0" w:hanging="0"/>
        <w:jc w:val="center"/>
        <w:rPr>
          <w:b/>
        </w:rPr>
      </w:pPr>
      <w:r>
        <w:rPr>
          <w:b/>
        </w:rPr>
        <w:t>858-704-4040</w:t>
      </w:r>
    </w:p>
    <w:p>
      <w:pPr>
        <w:pStyle w:val="TextBody"/>
        <w:spacing w:before="0" w:after="0"/>
        <w:ind w:left="0" w:right="0" w:hanging="0"/>
        <w:jc w:val="center"/>
        <w:rPr/>
      </w:pPr>
      <w:r>
        <w:rPr/>
        <w:t>(Name, Address and Telephone Number of Person</w:t>
      </w:r>
    </w:p>
    <w:p>
      <w:pPr>
        <w:pStyle w:val="TextBody"/>
        <w:spacing w:before="0" w:after="0"/>
        <w:ind w:left="0" w:right="0" w:hanging="0"/>
        <w:jc w:val="center"/>
        <w:rPr/>
      </w:pPr>
      <w:r>
        <w:rPr/>
        <w:t>Authorized to Receive Notices and Communications)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b/>
        </w:rPr>
      </w:pPr>
      <w:r>
        <w:rPr>
          <w:b/>
        </w:rPr>
        <w:t>February 13, 2013</w:t>
      </w:r>
    </w:p>
    <w:p>
      <w:pPr>
        <w:pStyle w:val="TextBody"/>
        <w:spacing w:before="0" w:after="0"/>
        <w:ind w:left="0" w:right="0" w:hanging="0"/>
        <w:jc w:val="center"/>
        <w:rPr/>
      </w:pPr>
      <w:r>
        <w:rPr/>
        <w:t>(Date of Event Which Requires Filing of this Statement)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15"/>
        <w:ind w:left="0" w:right="0" w:hanging="0"/>
        <w:jc w:val="both"/>
        <w:rPr/>
      </w:pPr>
      <w:r>
        <w:rPr/>
        <w:t>If the filing person has previously filed a statement on Schedule 13G to report the acquisition that is the subject of this Schedule 13D, and is filing this schedule because of §§ 240.13d-1(e), 240.13d-1(f) or 240.13d-1(g), check the following box   </w:t>
      </w:r>
      <w:r>
        <w:rPr>
          <w:bdr w:val="single" w:sz="2" w:space="1" w:color="000000"/>
        </w:rPr>
        <w:t>     </w:t>
      </w:r>
      <w:r>
        <w:rPr>
          <w:color w:val="FFFFFF"/>
          <w:sz w:val="10"/>
        </w:rPr>
        <w:t>.</w:t>
      </w:r>
    </w:p>
    <w:p>
      <w:pPr>
        <w:pStyle w:val="TextBody"/>
        <w:spacing w:before="0" w:after="0"/>
        <w:ind w:left="0" w:right="0" w:hanging="0"/>
        <w:jc w:val="both"/>
        <w:rPr/>
      </w:pPr>
      <w:r>
        <w:rPr/>
      </w:r>
    </w:p>
    <w:p>
      <w:pPr>
        <w:pStyle w:val="TextBody"/>
        <w:spacing w:before="0" w:after="0"/>
        <w:ind w:left="0" w:right="0" w:hanging="0"/>
        <w:jc w:val="both"/>
        <w:rPr/>
      </w:pPr>
      <w:r>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ind w:left="0" w:right="0" w:hanging="0"/>
        <w:jc w:val="both"/>
        <w:rPr/>
      </w:pPr>
      <w:r>
        <w:rPr/>
      </w:r>
    </w:p>
    <w:p>
      <w:pPr>
        <w:pStyle w:val="TextBody"/>
        <w:spacing w:before="0" w:after="0"/>
        <w:ind w:left="0" w:right="0" w:hanging="0"/>
        <w:jc w:val="both"/>
        <w:rPr/>
      </w:pPr>
      <w:r>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pPr>
      <w:r>
        <w:rPr/>
        <w:t>(Continued on following pages)</w:t>
      </w:r>
    </w:p>
    <w:p>
      <w:pPr>
        <w:pStyle w:val="TextBody"/>
        <w:spacing w:before="0" w:after="0"/>
        <w:ind w:left="0" w:right="0" w:hanging="0"/>
        <w:jc w:val="center"/>
        <w:rPr/>
      </w:pPr>
      <w:r>
        <w:rPr/>
      </w:r>
    </w:p>
    <w:p>
      <w:pPr>
        <w:pStyle w:val="TextBody"/>
        <w:spacing w:before="0" w:after="0"/>
        <w:ind w:left="0" w:right="0" w:hanging="0"/>
        <w:jc w:val="center"/>
        <w:rPr/>
      </w:pPr>
      <w:r>
        <w:rPr/>
        <w:t>(Page 1 of 4 Pages)</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rPr/>
      </w:pPr>
      <w:r>
        <w:rPr/>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center"/>
        <w:rPr/>
      </w:pPr>
      <w:r>
        <w:rPr/>
        <w:br/>
      </w:r>
    </w:p>
    <w:tbl>
      <w:tblPr>
        <w:tblW w:w="10205" w:type="dxa"/>
        <w:jc w:val="left"/>
        <w:tblInd w:w="0" w:type="dxa"/>
        <w:tblCellMar>
          <w:top w:w="0" w:type="dxa"/>
          <w:left w:w="0" w:type="dxa"/>
          <w:bottom w:w="0" w:type="dxa"/>
          <w:right w:w="0" w:type="dxa"/>
        </w:tblCellMar>
      </w:tblPr>
      <w:tblGrid>
        <w:gridCol w:w="586"/>
        <w:gridCol w:w="1420"/>
        <w:gridCol w:w="424"/>
        <w:gridCol w:w="23"/>
        <w:gridCol w:w="453"/>
        <w:gridCol w:w="3241"/>
        <w:gridCol w:w="4007"/>
        <w:gridCol w:w="51"/>
      </w:tblGrid>
      <w:tr>
        <w:trPr/>
        <w:tc>
          <w:tcPr>
            <w:tcW w:w="586"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3241" w:type="dxa"/>
            <w:tcBorders/>
            <w:shd w:fill="auto" w:val="clear"/>
            <w:vAlign w:val="center"/>
          </w:tcPr>
          <w:p>
            <w:pPr>
              <w:pStyle w:val="TableContents"/>
              <w:spacing w:before="0" w:after="283"/>
              <w:rPr>
                <w:sz w:val="4"/>
                <w:szCs w:val="4"/>
              </w:rPr>
            </w:pPr>
            <w:r>
              <w:rPr>
                <w:sz w:val="4"/>
                <w:szCs w:val="4"/>
              </w:rPr>
            </w:r>
          </w:p>
        </w:tc>
        <w:tc>
          <w:tcPr>
            <w:tcW w:w="4007"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center"/>
          </w:tcPr>
          <w:p>
            <w:pPr>
              <w:pStyle w:val="TableContents"/>
              <w:spacing w:before="0" w:after="283"/>
              <w:rPr>
                <w:sz w:val="4"/>
                <w:szCs w:val="4"/>
              </w:rPr>
            </w:pPr>
            <w:r>
              <w:rPr>
                <w:sz w:val="4"/>
                <w:szCs w:val="4"/>
              </w:rPr>
            </w:r>
          </w:p>
        </w:tc>
      </w:tr>
      <w:tr>
        <w:trPr/>
        <w:tc>
          <w:tcPr>
            <w:tcW w:w="2906" w:type="dxa"/>
            <w:gridSpan w:val="5"/>
            <w:tcBorders/>
            <w:shd w:fill="auto" w:val="clear"/>
          </w:tcPr>
          <w:p>
            <w:pPr>
              <w:pStyle w:val="TableContents"/>
              <w:spacing w:before="0" w:after="0"/>
              <w:ind w:left="0" w:right="0" w:hanging="0"/>
              <w:rPr/>
            </w:pPr>
            <w:r>
              <w:rPr/>
              <w:t>CUSIP No. 45323A 201</w:t>
            </w:r>
          </w:p>
        </w:tc>
        <w:tc>
          <w:tcPr>
            <w:tcW w:w="3241" w:type="dxa"/>
            <w:tcBorders/>
            <w:shd w:fill="auto" w:val="clear"/>
          </w:tcPr>
          <w:p>
            <w:pPr>
              <w:pStyle w:val="TableContents"/>
              <w:pBdr/>
              <w:spacing w:before="0" w:after="0"/>
              <w:ind w:left="0" w:right="0" w:hanging="0"/>
              <w:jc w:val="center"/>
              <w:rPr>
                <w:b/>
              </w:rPr>
            </w:pPr>
            <w:r>
              <w:rPr>
                <w:b/>
              </w:rPr>
              <w:t>13D</w:t>
            </w:r>
          </w:p>
        </w:tc>
        <w:tc>
          <w:tcPr>
            <w:tcW w:w="4058" w:type="dxa"/>
            <w:gridSpan w:val="2"/>
            <w:tcBorders/>
            <w:shd w:fill="auto" w:val="clear"/>
          </w:tcPr>
          <w:p>
            <w:pPr>
              <w:pStyle w:val="TableContents"/>
              <w:spacing w:before="0" w:after="0"/>
              <w:ind w:left="0" w:right="0" w:hanging="0"/>
              <w:jc w:val="right"/>
              <w:rPr/>
            </w:pPr>
            <w:r>
              <w:rPr/>
              <w:t>Page 2 of 4 Pages</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NAMES OF REPORTING PERSONS</w:t>
            </w:r>
          </w:p>
          <w:p>
            <w:pPr>
              <w:pStyle w:val="TableContents"/>
              <w:spacing w:before="0" w:after="0"/>
              <w:ind w:left="0" w:right="0" w:hanging="0"/>
              <w:rPr/>
            </w:pPr>
            <w:r>
              <w:rPr/>
            </w:r>
          </w:p>
          <w:p>
            <w:pPr>
              <w:pStyle w:val="TableContents"/>
              <w:spacing w:before="0" w:after="0"/>
              <w:ind w:left="0" w:right="0" w:firstLine="720"/>
              <w:rPr/>
            </w:pPr>
            <w:r>
              <w:rPr/>
              <w:t>Dr. Robert J. Kammer</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2</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CHECK THE APPROPRIATE BOX IF A MEMBER OF A GROUP</w:t>
            </w:r>
          </w:p>
          <w:p>
            <w:pPr>
              <w:pStyle w:val="TableContents"/>
              <w:spacing w:before="0" w:after="15"/>
              <w:ind w:left="0" w:right="0" w:hanging="30"/>
              <w:rPr/>
            </w:pPr>
            <w:r>
              <w:rPr/>
              <w:t xml:space="preserve">(a) </w:t>
            </w:r>
            <w:r>
              <w:rPr>
                <w:bdr w:val="single" w:sz="2" w:space="1" w:color="000000"/>
              </w:rPr>
              <w:t>     </w:t>
            </w:r>
            <w:r>
              <w:rPr>
                <w:color w:val="FFFFFF"/>
                <w:sz w:val="10"/>
              </w:rPr>
              <w:t>.</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5572125" cy="175260"/>
                      <wp:effectExtent l="0" t="0" r="0" b="0"/>
                      <wp:wrapSquare wrapText="largest"/>
                      <wp:docPr id="1" name="Frame1"/>
                      <a:graphic xmlns:a="http://schemas.openxmlformats.org/drawingml/2006/main">
                        <a:graphicData uri="http://schemas.microsoft.com/office/word/2010/wordprocessingShape">
                          <wps:wsp>
                            <wps:cNvSpPr txBox="1"/>
                            <wps:spPr>
                              <a:xfrm>
                                <a:off x="0" y="0"/>
                                <a:ext cx="5572125" cy="175260"/>
                              </a:xfrm>
                              <a:prstGeom prst="rect"/>
                            </wps:spPr>
                            <wps:txbx>
                              <w:txbxContent>
                                <w:p>
                                  <w:pPr>
                                    <w:pStyle w:val="TableContents"/>
                                    <w:spacing w:before="0" w:after="283"/>
                                    <w:rPr/>
                                  </w:pPr>
                                  <w:r>
                                    <w:rPr/>
                                    <w:t>(see instructions)</w:t>
                                  </w:r>
                                </w:p>
                              </w:txbxContent>
                            </wps:txbx>
                            <wps:bodyPr anchor="t" lIns="0" tIns="0" rIns="0" bIns="0">
                              <a:noAutofit/>
                            </wps:bodyPr>
                          </wps:wsp>
                        </a:graphicData>
                      </a:graphic>
                    </wp:anchor>
                  </w:drawing>
                </mc:Choice>
                <mc:Fallback>
                  <w:pict>
                    <v:rect style="position:absolute;rotation:0;width:4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283"/>
                              <w:rPr/>
                            </w:pPr>
                            <w:r>
                              <w:rPr/>
                              <w:t>(see instructions)</w:t>
                            </w:r>
                          </w:p>
                        </w:txbxContent>
                      </v:textbox>
                      <w10:wrap type="square" side="right"/>
                    </v:rect>
                  </w:pict>
                </mc:Fallback>
              </mc:AlternateContent>
            </w:r>
          </w:p>
          <w:p>
            <w:pPr>
              <w:pStyle w:val="TableContents"/>
              <w:spacing w:before="0" w:after="15"/>
              <w:ind w:left="0" w:right="0" w:firstLine="8775"/>
              <w:rPr/>
            </w:pPr>
            <w:r>
              <w:rPr/>
              <w:t xml:space="preserve">(b) </w:t>
            </w:r>
            <w:r>
              <w:rPr>
                <w:bdr w:val="single" w:sz="2" w:space="1" w:color="000000"/>
              </w:rPr>
              <w:t>     </w:t>
            </w:r>
            <w:r>
              <w:rPr>
                <w:color w:val="FFFFFF"/>
                <w:sz w:val="10"/>
              </w:rPr>
              <w:t>.</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3</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SEC USE ONLY</w:t>
            </w:r>
          </w:p>
          <w:p>
            <w:pPr>
              <w:pStyle w:val="TableContents"/>
              <w:spacing w:before="0" w:after="0"/>
              <w:ind w:left="0" w:right="0" w:hanging="0"/>
              <w:rPr/>
            </w:pPr>
            <w:r>
              <w:rPr/>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4</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SOURCE OF FUNDS (see instructions)</w:t>
            </w:r>
          </w:p>
          <w:p>
            <w:pPr>
              <w:pStyle w:val="TableContents"/>
              <w:spacing w:before="0" w:after="0"/>
              <w:ind w:left="0" w:right="0" w:hanging="0"/>
              <w:rPr/>
            </w:pPr>
            <w:r>
              <w:rPr/>
            </w:r>
          </w:p>
          <w:p>
            <w:pPr>
              <w:pStyle w:val="TableContents"/>
              <w:spacing w:before="0" w:after="0"/>
              <w:ind w:left="0" w:right="0" w:firstLine="720"/>
              <w:rPr/>
            </w:pPr>
            <w:r>
              <w:rPr/>
              <w:t>OO</w:t>
            </w:r>
            <w:r>
              <w:rPr>
                <w:position w:val="8"/>
                <w:sz w:val="19"/>
              </w:rPr>
              <w:t>1</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5</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CHECK IF DISCLOSURE OF LEGAL PROCEEDINGS IS REQUIRED</w:t>
            </w:r>
          </w:p>
          <w:p>
            <w:pPr>
              <w:pStyle w:val="TableContents"/>
              <w:spacing w:before="0" w:after="0"/>
              <w:ind w:left="0" w:right="0" w:hanging="0"/>
              <w:rPr/>
            </w:pPr>
            <w:r>
              <w:rPr/>
              <w:t>PURSUANT TO ITEM 2(d) or 2(e)</w:t>
            </w:r>
          </w:p>
          <w:p>
            <w:pPr>
              <w:pStyle w:val="TableContents"/>
              <w:pBdr/>
              <w:spacing w:before="0" w:after="15"/>
              <w:ind w:left="0" w:right="0" w:hanging="0"/>
              <w:jc w:val="right"/>
              <w:rPr/>
            </w:pPr>
            <w:r>
              <w:rPr/>
              <w:t> </w:t>
            </w:r>
            <w:r>
              <w:rPr>
                <w:bdr w:val="single" w:sz="2" w:space="1" w:color="000000"/>
              </w:rPr>
              <w:t>     </w:t>
            </w:r>
            <w:r>
              <w:rPr>
                <w:color w:val="FFFFFF"/>
                <w:sz w:val="10"/>
              </w:rPr>
              <w:t>.</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6</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CITIZENSHIP OR PLACE OF ORGANIZATION</w:t>
            </w:r>
          </w:p>
          <w:p>
            <w:pPr>
              <w:pStyle w:val="TableContents"/>
              <w:spacing w:before="0" w:after="0"/>
              <w:ind w:left="0" w:right="0" w:hanging="0"/>
              <w:rPr/>
            </w:pPr>
            <w:r>
              <w:rPr/>
            </w:r>
          </w:p>
          <w:p>
            <w:pPr>
              <w:pStyle w:val="TableContents"/>
              <w:spacing w:before="0" w:after="0"/>
              <w:ind w:left="0" w:right="0" w:firstLine="720"/>
              <w:rPr/>
            </w:pPr>
            <w:r>
              <w:rPr/>
              <w:t>U.S.A.</w:t>
            </w:r>
          </w:p>
        </w:tc>
      </w:tr>
      <w:tr>
        <w:trPr/>
        <w:tc>
          <w:tcPr>
            <w:tcW w:w="2006" w:type="dxa"/>
            <w:gridSpan w:val="2"/>
            <w:vMerge w:val="restart"/>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jc w:val="center"/>
              <w:rPr/>
            </w:pPr>
            <w:r>
              <w:rPr/>
              <w:t>NUMBER OF</w:t>
            </w:r>
          </w:p>
          <w:p>
            <w:pPr>
              <w:pStyle w:val="TableContents"/>
              <w:spacing w:before="0" w:after="0"/>
              <w:ind w:left="0" w:right="0" w:hanging="0"/>
              <w:jc w:val="center"/>
              <w:rPr/>
            </w:pPr>
            <w:r>
              <w:rPr/>
              <w:t xml:space="preserve">SHARES </w:t>
            </w:r>
          </w:p>
          <w:p>
            <w:pPr>
              <w:pStyle w:val="TableContents"/>
              <w:spacing w:before="0" w:after="0"/>
              <w:ind w:left="0" w:right="0" w:hanging="0"/>
              <w:jc w:val="center"/>
              <w:rPr/>
            </w:pPr>
            <w:r>
              <w:rPr/>
              <w:t>BENEFICIALLY</w:t>
            </w:r>
          </w:p>
          <w:p>
            <w:pPr>
              <w:pStyle w:val="TableContents"/>
              <w:spacing w:before="0" w:after="0"/>
              <w:ind w:left="0" w:right="0" w:hanging="0"/>
              <w:jc w:val="center"/>
              <w:rPr/>
            </w:pPr>
            <w:r>
              <w:rPr/>
              <w:t xml:space="preserve">OWNED BY </w:t>
            </w:r>
          </w:p>
          <w:p>
            <w:pPr>
              <w:pStyle w:val="TableContents"/>
              <w:spacing w:before="0" w:after="0"/>
              <w:ind w:left="0" w:right="0" w:hanging="0"/>
              <w:jc w:val="center"/>
              <w:rPr/>
            </w:pPr>
            <w:r>
              <w:rPr/>
              <w:t xml:space="preserve">EACH </w:t>
            </w:r>
          </w:p>
          <w:p>
            <w:pPr>
              <w:pStyle w:val="TableContents"/>
              <w:spacing w:before="0" w:after="0"/>
              <w:ind w:left="0" w:right="0" w:hanging="0"/>
              <w:jc w:val="center"/>
              <w:rPr/>
            </w:pPr>
            <w:r>
              <w:rPr/>
              <w:t xml:space="preserve">REPORTING </w:t>
            </w:r>
          </w:p>
          <w:p>
            <w:pPr>
              <w:pStyle w:val="TableContents"/>
              <w:spacing w:before="0" w:after="0"/>
              <w:ind w:left="0" w:right="0" w:hanging="0"/>
              <w:jc w:val="center"/>
              <w:rPr/>
            </w:pPr>
            <w:r>
              <w:rPr/>
              <w:t>PERSON WITH</w:t>
            </w:r>
          </w:p>
        </w:tc>
        <w:tc>
          <w:tcPr>
            <w:tcW w:w="424"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7</w:t>
            </w:r>
          </w:p>
        </w:tc>
        <w:tc>
          <w:tcPr>
            <w:tcW w:w="7775" w:type="dxa"/>
            <w:gridSpan w:val="5"/>
            <w:tcBorders>
              <w:bottom w:val="single" w:sz="2" w:space="0" w:color="000000"/>
            </w:tcBorders>
            <w:shd w:fill="auto" w:val="clear"/>
            <w:tcMar>
              <w:bottom w:w="28" w:type="dxa"/>
            </w:tcMar>
          </w:tcPr>
          <w:p>
            <w:pPr>
              <w:pStyle w:val="TableContents"/>
              <w:spacing w:before="0" w:after="0"/>
              <w:ind w:left="0" w:right="0" w:hanging="0"/>
              <w:rPr/>
            </w:pPr>
            <w:r>
              <w:rPr/>
              <w:t>SOLE VOTING POWER</w:t>
            </w:r>
          </w:p>
          <w:p>
            <w:pPr>
              <w:pStyle w:val="TableContents"/>
              <w:spacing w:before="0" w:after="0"/>
              <w:ind w:left="0" w:right="0" w:firstLine="285"/>
              <w:rPr/>
            </w:pPr>
            <w:r>
              <w:rPr/>
              <w:t>1,016,078</w:t>
            </w:r>
            <w:r>
              <w:rPr>
                <w:position w:val="8"/>
                <w:sz w:val="19"/>
              </w:rPr>
              <w:t>2</w:t>
            </w:r>
          </w:p>
        </w:tc>
      </w:tr>
      <w:tr>
        <w:trPr/>
        <w:tc>
          <w:tcPr>
            <w:tcW w:w="2006"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24"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8</w:t>
            </w:r>
          </w:p>
        </w:tc>
        <w:tc>
          <w:tcPr>
            <w:tcW w:w="7775" w:type="dxa"/>
            <w:gridSpan w:val="5"/>
            <w:tcBorders>
              <w:bottom w:val="single" w:sz="2" w:space="0" w:color="000000"/>
            </w:tcBorders>
            <w:shd w:fill="auto" w:val="clear"/>
            <w:tcMar>
              <w:bottom w:w="28" w:type="dxa"/>
            </w:tcMar>
          </w:tcPr>
          <w:p>
            <w:pPr>
              <w:pStyle w:val="TableContents"/>
              <w:spacing w:before="0" w:after="0"/>
              <w:ind w:left="0" w:right="0" w:hanging="0"/>
              <w:rPr/>
            </w:pPr>
            <w:r>
              <w:rPr/>
              <w:t>SHARED VOTING POWER</w:t>
            </w:r>
          </w:p>
          <w:p>
            <w:pPr>
              <w:pStyle w:val="TableContents"/>
              <w:spacing w:before="0" w:after="0"/>
              <w:ind w:left="0" w:right="0" w:firstLine="285"/>
              <w:rPr/>
            </w:pPr>
            <w:r>
              <w:rPr/>
              <w:t>0</w:t>
            </w:r>
          </w:p>
        </w:tc>
      </w:tr>
      <w:tr>
        <w:trPr/>
        <w:tc>
          <w:tcPr>
            <w:tcW w:w="2006"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24" w:type="dxa"/>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9</w:t>
            </w:r>
          </w:p>
        </w:tc>
        <w:tc>
          <w:tcPr>
            <w:tcW w:w="7775" w:type="dxa"/>
            <w:gridSpan w:val="5"/>
            <w:tcBorders>
              <w:bottom w:val="single" w:sz="2" w:space="0" w:color="000000"/>
            </w:tcBorders>
            <w:shd w:fill="auto" w:val="clear"/>
            <w:tcMar>
              <w:bottom w:w="28" w:type="dxa"/>
            </w:tcMar>
          </w:tcPr>
          <w:p>
            <w:pPr>
              <w:pStyle w:val="TableContents"/>
              <w:spacing w:before="0" w:after="0"/>
              <w:ind w:left="0" w:right="0" w:hanging="0"/>
              <w:rPr/>
            </w:pPr>
            <w:r>
              <w:rPr/>
              <w:t>SOLE DISPOSITIVE POWER</w:t>
            </w:r>
          </w:p>
          <w:p>
            <w:pPr>
              <w:pStyle w:val="TableContents"/>
              <w:spacing w:before="0" w:after="0"/>
              <w:ind w:left="0" w:right="0" w:firstLine="285"/>
              <w:rPr/>
            </w:pPr>
            <w:r>
              <w:rPr/>
              <w:t>1,016,078</w:t>
            </w:r>
            <w:r>
              <w:rPr>
                <w:position w:val="8"/>
                <w:sz w:val="19"/>
              </w:rPr>
              <w:t>2</w:t>
            </w:r>
          </w:p>
        </w:tc>
      </w:tr>
      <w:tr>
        <w:trPr/>
        <w:tc>
          <w:tcPr>
            <w:tcW w:w="2006" w:type="dxa"/>
            <w:gridSpan w:val="2"/>
            <w:vMerge w:val="continue"/>
            <w:tcBorders>
              <w:bottom w:val="single" w:sz="2" w:space="0" w:color="000000"/>
              <w:right w:val="single" w:sz="2" w:space="0" w:color="000000"/>
            </w:tcBorders>
            <w:shd w:fill="auto" w:val="clear"/>
            <w:tcMar>
              <w:bottom w:w="28" w:type="dxa"/>
              <w:right w:w="28" w:type="dxa"/>
            </w:tcMar>
          </w:tcPr>
          <w:p>
            <w:pPr>
              <w:pStyle w:val="Normal"/>
              <w:rPr/>
            </w:pPr>
            <w:r>
              <w:rPr/>
            </w:r>
          </w:p>
        </w:tc>
        <w:tc>
          <w:tcPr>
            <w:tcW w:w="447" w:type="dxa"/>
            <w:gridSpan w:val="2"/>
            <w:tcBorders>
              <w:left w:val="single" w:sz="2" w:space="0" w:color="000000"/>
              <w:bottom w:val="single" w:sz="2" w:space="0" w:color="000000"/>
              <w:right w:val="single" w:sz="2" w:space="0" w:color="000000"/>
            </w:tcBorders>
            <w:shd w:fill="auto" w:val="clear"/>
            <w:tcMar>
              <w:left w:w="28" w:type="dxa"/>
              <w:bottom w:w="28" w:type="dxa"/>
              <w:right w:w="28" w:type="dxa"/>
            </w:tcMar>
          </w:tcPr>
          <w:p>
            <w:pPr>
              <w:pStyle w:val="TableContents"/>
              <w:spacing w:before="0" w:after="0"/>
              <w:ind w:left="0" w:right="0" w:hanging="0"/>
              <w:rPr>
                <w:b/>
              </w:rPr>
            </w:pPr>
            <w:r>
              <w:rPr>
                <w:b/>
              </w:rPr>
              <w:t>10</w:t>
            </w:r>
          </w:p>
        </w:tc>
        <w:tc>
          <w:tcPr>
            <w:tcW w:w="7752" w:type="dxa"/>
            <w:gridSpan w:val="4"/>
            <w:tcBorders>
              <w:bottom w:val="single" w:sz="2" w:space="0" w:color="000000"/>
            </w:tcBorders>
            <w:shd w:fill="auto" w:val="clear"/>
            <w:tcMar>
              <w:bottom w:w="28" w:type="dxa"/>
            </w:tcMar>
          </w:tcPr>
          <w:p>
            <w:pPr>
              <w:pStyle w:val="TableContents"/>
              <w:spacing w:before="0" w:after="0"/>
              <w:ind w:left="0" w:right="0" w:hanging="0"/>
              <w:rPr/>
            </w:pPr>
            <w:r>
              <w:rPr/>
              <w:t>SHARED DISPOSITIVE POWER</w:t>
            </w:r>
          </w:p>
          <w:p>
            <w:pPr>
              <w:pStyle w:val="TableContents"/>
              <w:spacing w:before="0" w:after="0"/>
              <w:ind w:left="0" w:right="0" w:firstLine="285"/>
              <w:rPr/>
            </w:pPr>
            <w:r>
              <w:rPr/>
              <w:t>0</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11</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AGGREGATE AMOUNT BENEFICIALLY OWNED BY EACH REPORTING PERSON</w:t>
            </w:r>
          </w:p>
          <w:p>
            <w:pPr>
              <w:pStyle w:val="TableContents"/>
              <w:spacing w:before="0" w:after="0"/>
              <w:ind w:left="0" w:right="0" w:hanging="0"/>
              <w:rPr/>
            </w:pPr>
            <w:r>
              <w:rPr/>
            </w:r>
          </w:p>
          <w:p>
            <w:pPr>
              <w:pStyle w:val="TableContents"/>
              <w:spacing w:before="0" w:after="0"/>
              <w:ind w:left="0" w:right="0" w:firstLine="720"/>
              <w:rPr/>
            </w:pPr>
            <w:r>
              <w:rPr/>
              <w:t>1,016,078</w:t>
            </w:r>
            <w:r>
              <w:rPr>
                <w:position w:val="8"/>
                <w:sz w:val="19"/>
              </w:rPr>
              <w:t>2</w:t>
            </w:r>
          </w:p>
        </w:tc>
      </w:tr>
      <w:tr>
        <w:trPr/>
        <w:tc>
          <w:tcPr>
            <w:tcW w:w="586" w:type="dxa"/>
            <w:tcBorders>
              <w:bottom w:val="single" w:sz="2" w:space="0" w:color="000000"/>
              <w:right w:val="single" w:sz="2" w:space="0" w:color="000000"/>
            </w:tcBorders>
            <w:shd w:fill="auto" w:val="clear"/>
            <w:tcMar>
              <w:bottom w:w="28" w:type="dxa"/>
              <w:right w:w="28" w:type="dxa"/>
            </w:tcMar>
          </w:tcPr>
          <w:p>
            <w:pPr>
              <w:pStyle w:val="TableContents"/>
              <w:spacing w:before="0" w:after="0"/>
              <w:ind w:left="0" w:right="0" w:hanging="0"/>
              <w:rPr>
                <w:b/>
              </w:rPr>
            </w:pPr>
            <w:r>
              <w:rPr>
                <w:b/>
              </w:rPr>
              <w:t>12</w:t>
            </w:r>
          </w:p>
        </w:tc>
        <w:tc>
          <w:tcPr>
            <w:tcW w:w="9619" w:type="dxa"/>
            <w:gridSpan w:val="7"/>
            <w:tcBorders>
              <w:bottom w:val="single" w:sz="2" w:space="0" w:color="000000"/>
            </w:tcBorders>
            <w:shd w:fill="auto" w:val="clear"/>
            <w:tcMar>
              <w:bottom w:w="28" w:type="dxa"/>
            </w:tcMar>
          </w:tcPr>
          <w:p>
            <w:pPr>
              <w:pStyle w:val="TableContents"/>
              <w:spacing w:before="0" w:after="0"/>
              <w:ind w:left="0" w:right="0" w:hanging="0"/>
              <w:rPr/>
            </w:pPr>
            <w:r>
              <w:rPr/>
              <w:t>CHECK BOX IF THE AGGREGATE AMOUNT IN ROW (11) EXCLUDES CERTAIN SHARES</w:t>
            </w:r>
          </w:p>
          <w:p>
            <w:pPr>
              <w:pStyle w:val="TableContents"/>
              <w:spacing w:before="0" w:after="0"/>
              <w:ind w:left="0" w:right="0" w:hanging="0"/>
              <w:rPr/>
            </w:pPr>
            <w:r>
              <w:rPr/>
              <w:t>(see instructions)</w:t>
            </w:r>
          </w:p>
          <w:p>
            <w:pPr>
              <w:pStyle w:val="TableContents"/>
              <w:pBdr/>
              <w:spacing w:before="0" w:after="15"/>
              <w:ind w:left="0" w:right="0" w:hanging="0"/>
              <w:jc w:val="right"/>
              <w:rPr/>
            </w:pPr>
            <w:r>
              <w:rPr/>
              <w:t> </w:t>
            </w:r>
            <w:r>
              <w:rPr>
                <w:bdr w:val="single" w:sz="2" w:space="1" w:color="000000"/>
              </w:rPr>
              <w:t>     </w:t>
            </w:r>
            <w:r>
              <w:rPr>
                <w:color w:val="FFFFFF"/>
                <w:sz w:val="10"/>
              </w:rPr>
              <w:t>.</w:t>
            </w:r>
          </w:p>
        </w:tc>
      </w:tr>
      <w:tr>
        <w:trPr/>
        <w:tc>
          <w:tcPr>
            <w:tcW w:w="586" w:type="dxa"/>
            <w:tcBorders>
              <w:right w:val="single" w:sz="2" w:space="0" w:color="000000"/>
            </w:tcBorders>
            <w:shd w:fill="auto" w:val="clear"/>
            <w:tcMar>
              <w:right w:w="28" w:type="dxa"/>
            </w:tcMar>
          </w:tcPr>
          <w:p>
            <w:pPr>
              <w:pStyle w:val="TableContents"/>
              <w:spacing w:before="0" w:after="0"/>
              <w:ind w:left="0" w:right="0" w:hanging="0"/>
              <w:rPr>
                <w:b/>
              </w:rPr>
            </w:pPr>
            <w:r>
              <w:rPr>
                <w:b/>
              </w:rPr>
              <w:t>13</w:t>
            </w:r>
          </w:p>
        </w:tc>
        <w:tc>
          <w:tcPr>
            <w:tcW w:w="9619" w:type="dxa"/>
            <w:gridSpan w:val="7"/>
            <w:tcBorders/>
            <w:shd w:fill="auto" w:val="clear"/>
          </w:tcPr>
          <w:p>
            <w:pPr>
              <w:pStyle w:val="TableContents"/>
              <w:spacing w:before="0" w:after="0"/>
              <w:ind w:left="0" w:right="0" w:hanging="0"/>
              <w:rPr/>
            </w:pPr>
            <w:r>
              <w:rPr/>
              <w:t>PERCENT OF CLASS REPRESENTED BY AMOUNT IN ROW 11</w:t>
            </w:r>
          </w:p>
          <w:p>
            <w:pPr>
              <w:pStyle w:val="TableContents"/>
              <w:spacing w:before="0" w:after="0"/>
              <w:ind w:left="0" w:right="0" w:hanging="0"/>
              <w:rPr/>
            </w:pPr>
            <w:r>
              <w:rPr/>
            </w:r>
          </w:p>
          <w:p>
            <w:pPr>
              <w:pStyle w:val="TableContents"/>
              <w:spacing w:before="0" w:after="0"/>
              <w:ind w:left="0" w:right="0" w:firstLine="720"/>
              <w:rPr/>
            </w:pPr>
            <w:r>
              <w:rPr/>
              <w:t>11.22%</w:t>
            </w:r>
            <w:r>
              <w:rPr>
                <w:position w:val="8"/>
                <w:sz w:val="19"/>
              </w:rPr>
              <w:t>2</w:t>
            </w:r>
          </w:p>
        </w:tc>
      </w:tr>
      <w:tr>
        <w:trPr/>
        <w:tc>
          <w:tcPr>
            <w:tcW w:w="586" w:type="dxa"/>
            <w:tcBorders>
              <w:top w:val="single" w:sz="2" w:space="0" w:color="000000"/>
              <w:bottom w:val="single" w:sz="2" w:space="0" w:color="000000"/>
              <w:right w:val="single" w:sz="2" w:space="0" w:color="000000"/>
            </w:tcBorders>
            <w:shd w:fill="auto" w:val="clear"/>
            <w:tcMar>
              <w:top w:w="28" w:type="dxa"/>
              <w:bottom w:w="28" w:type="dxa"/>
              <w:right w:w="28" w:type="dxa"/>
            </w:tcMar>
          </w:tcPr>
          <w:p>
            <w:pPr>
              <w:pStyle w:val="TableContents"/>
              <w:spacing w:before="0" w:after="0"/>
              <w:ind w:left="0" w:right="0" w:hanging="0"/>
              <w:rPr>
                <w:b/>
              </w:rPr>
            </w:pPr>
            <w:r>
              <w:rPr>
                <w:b/>
              </w:rPr>
              <w:t>14</w:t>
            </w:r>
          </w:p>
        </w:tc>
        <w:tc>
          <w:tcPr>
            <w:tcW w:w="9619" w:type="dxa"/>
            <w:gridSpan w:val="7"/>
            <w:tcBorders>
              <w:top w:val="single" w:sz="2" w:space="0" w:color="000000"/>
              <w:bottom w:val="single" w:sz="2" w:space="0" w:color="000000"/>
            </w:tcBorders>
            <w:shd w:fill="auto" w:val="clear"/>
            <w:tcMar>
              <w:top w:w="28" w:type="dxa"/>
              <w:bottom w:w="28" w:type="dxa"/>
            </w:tcMar>
          </w:tcPr>
          <w:p>
            <w:pPr>
              <w:pStyle w:val="TableContents"/>
              <w:spacing w:before="0" w:after="0"/>
              <w:ind w:left="0" w:right="0" w:hanging="0"/>
              <w:rPr/>
            </w:pPr>
            <w:r>
              <w:rPr/>
              <w:t>TYPE OF REPORTING PERSON (see instructions)</w:t>
            </w:r>
          </w:p>
          <w:p>
            <w:pPr>
              <w:pStyle w:val="TableContents"/>
              <w:spacing w:before="0" w:after="0"/>
              <w:ind w:left="0" w:right="0" w:hanging="0"/>
              <w:rPr/>
            </w:pPr>
            <w:r>
              <w:rPr/>
            </w:r>
          </w:p>
          <w:p>
            <w:pPr>
              <w:pStyle w:val="TableContents"/>
              <w:spacing w:before="0" w:after="0"/>
              <w:ind w:left="0" w:right="0" w:firstLine="720"/>
              <w:rPr/>
            </w:pPr>
            <w:r>
              <w:rPr/>
              <w:t>IN</w:t>
            </w:r>
          </w:p>
        </w:tc>
      </w:tr>
    </w:tbl>
    <w:p>
      <w:pPr>
        <w:pStyle w:val="TextBody"/>
        <w:spacing w:before="0" w:after="0"/>
        <w:ind w:left="0" w:right="0" w:hanging="0"/>
        <w:rPr/>
      </w:pPr>
      <w:r>
        <w:rPr/>
      </w:r>
    </w:p>
    <w:p>
      <w:pPr>
        <w:pStyle w:val="TextBody"/>
        <w:spacing w:before="0" w:after="0"/>
        <w:ind w:left="0" w:right="0" w:hanging="0"/>
        <w:jc w:val="both"/>
        <w:rPr>
          <w:sz w:val="15"/>
        </w:rPr>
      </w:pPr>
      <w:r>
        <w:rPr>
          <w:position w:val="5"/>
          <w:sz w:val="12"/>
          <w:sz w:val="15"/>
        </w:rPr>
        <w:t>1</w:t>
      </w:r>
      <w:r>
        <w:rPr>
          <w:sz w:val="15"/>
        </w:rPr>
        <w:t xml:space="preserve"> The shares of Common Stock beneficially owned by Dr. Kammer were acquired with (a) the working capital of DermaStar and upon the distribution of such shares from DermaStar to Dr. Kammer in his capacity as a member of DermaStar, (b) issued to Dr. Kammer as compensation for services performed under his Advisory Agreement, or (c) the personal funds of Dr. Kammer.</w:t>
      </w:r>
    </w:p>
    <w:p>
      <w:pPr>
        <w:pStyle w:val="TextBody"/>
        <w:spacing w:before="0" w:after="0"/>
        <w:ind w:left="0" w:right="0" w:hanging="0"/>
        <w:jc w:val="both"/>
        <w:rPr>
          <w:sz w:val="15"/>
        </w:rPr>
      </w:pPr>
      <w:r>
        <w:rPr>
          <w:position w:val="5"/>
          <w:sz w:val="12"/>
          <w:sz w:val="15"/>
        </w:rPr>
        <w:t>2</w:t>
      </w:r>
      <w:r>
        <w:rPr>
          <w:sz w:val="15"/>
        </w:rPr>
        <w:t xml:space="preserve"> Calculated based on 9,052,837 shares of Common Stock, as follows: (a) 8,961,583 shares of Common Stock outstanding as of August 13, 2013, as reported in the Quarterly Report on Form 10-Q filed by the Issuer on August 14, 2013; (b) 2,222 shares of Common Stock issuable to Dr. Kammer as of the date of the filing of this Statement as compensation for services performed under his Advisory Agreement; (c) 15,282 shares of Common Stock issuable to Dr. Kammer upon exercise of the warrants to purchase Common Stock held by Dr. Kammer, which is exercisable within 60 days after the date of this Statement; and (d) options to purchase 73,750 shares of Common Stock held by Dr. Kammer and exercisable within 60 days after the date of the filing of this Statement.</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rPr/>
      </w:pPr>
      <w:r>
        <w:rPr/>
      </w:r>
    </w:p>
    <w:p>
      <w:pPr>
        <w:pStyle w:val="TextBody"/>
        <w:spacing w:before="0" w:after="0"/>
        <w:ind w:left="0" w:right="0" w:hanging="0"/>
        <w:jc w:val="center"/>
        <w:rPr>
          <w:b/>
        </w:rPr>
      </w:pPr>
      <w:r>
        <w:rPr>
          <w:b/>
        </w:rPr>
        <w:t>AMENDMENT NO. 1 TO SCHEDULE 13D</w:t>
      </w:r>
    </w:p>
    <w:p>
      <w:pPr>
        <w:pStyle w:val="TextBody"/>
        <w:spacing w:before="0" w:after="0"/>
        <w:ind w:left="0" w:right="0" w:hanging="0"/>
        <w:rPr/>
      </w:pPr>
      <w:r>
        <w:rPr/>
      </w:r>
    </w:p>
    <w:p>
      <w:pPr>
        <w:pStyle w:val="TextBody"/>
        <w:spacing w:before="0" w:after="0"/>
        <w:ind w:left="0" w:right="0" w:firstLine="720"/>
        <w:jc w:val="both"/>
        <w:rPr/>
      </w:pPr>
      <w:r>
        <w:rPr/>
        <w:t>This statement on Schedule 13D (originally filed with the Securities and Exchange Commission (the SEC) on July 12, 2012) is hereby amended solely to reflect a decrease in the percentage of the class of equity securities that are beneficial owned by the reporting person.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sz w:val="15"/>
        </w:rPr>
      </w:pPr>
      <w:r>
        <w:rPr>
          <w:sz w:val="15"/>
        </w:rPr>
        <w:t>3</w:t>
      </w:r>
    </w:p>
    <w:p>
      <w:pPr>
        <w:pStyle w:val="TextBody"/>
        <w:spacing w:before="0" w:after="0"/>
        <w:ind w:left="0" w:right="0" w:hanging="0"/>
        <w:rPr/>
      </w:pPr>
      <w:r>
        <w:rPr/>
      </w:r>
    </w:p>
    <w:p>
      <w:pPr>
        <w:pStyle w:val="HorizontalLine"/>
        <w:pBdr>
          <w:bottom w:val="single" w:sz="6" w:space="0" w:color="808080"/>
        </w:pBdr>
        <w:rPr/>
      </w:pPr>
      <w:r>
        <w:rPr/>
      </w:r>
      <w:r>
        <w:br w:type="page"/>
      </w:r>
    </w:p>
    <w:p>
      <w:pPr>
        <w:pStyle w:val="TextBody"/>
        <w:spacing w:before="0" w:after="0"/>
        <w:ind w:left="0" w:right="0" w:hanging="0"/>
        <w:jc w:val="right"/>
        <w:rPr/>
      </w:pPr>
      <w:r>
        <w:rPr/>
      </w:r>
    </w:p>
    <w:p>
      <w:pPr>
        <w:pStyle w:val="TextBody"/>
        <w:spacing w:before="0" w:after="0"/>
        <w:ind w:left="0" w:right="0" w:hanging="0"/>
        <w:rPr/>
      </w:pPr>
      <w:r>
        <w:rPr/>
      </w:r>
    </w:p>
    <w:p>
      <w:pPr>
        <w:pStyle w:val="TextBody"/>
        <w:spacing w:before="0" w:after="0"/>
        <w:ind w:left="0" w:right="0" w:hanging="0"/>
        <w:jc w:val="center"/>
        <w:rPr>
          <w:b/>
        </w:rPr>
      </w:pPr>
      <w:r>
        <w:rPr>
          <w:b/>
        </w:rPr>
        <w:t>SIGNATURE</w:t>
      </w:r>
    </w:p>
    <w:p>
      <w:pPr>
        <w:pStyle w:val="TextBody"/>
        <w:spacing w:before="0" w:after="0"/>
        <w:ind w:left="0" w:right="0" w:hanging="0"/>
        <w:rPr/>
      </w:pPr>
      <w:r>
        <w:rPr/>
      </w:r>
    </w:p>
    <w:p>
      <w:pPr>
        <w:pStyle w:val="TextBody"/>
        <w:spacing w:before="0" w:after="0"/>
        <w:ind w:left="0" w:right="0" w:hanging="0"/>
        <w:rPr/>
      </w:pPr>
      <w:r>
        <w:rPr/>
        <w:t>After reasonable inquiry and to the best of my knowledge and belief, I certify that the information set forth in this statement is true, complete and correct.</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t>Dated:  August 16, 2013</w:t>
      </w:r>
    </w:p>
    <w:p>
      <w:pPr>
        <w:pStyle w:val="TextBody"/>
        <w:spacing w:before="0" w:after="0"/>
        <w:ind w:left="0" w:right="0" w:hanging="0"/>
        <w:rPr/>
      </w:pPr>
      <w:r>
        <w:rPr/>
      </w:r>
    </w:p>
    <w:p>
      <w:pPr>
        <w:pStyle w:val="TextBody"/>
        <w:spacing w:before="0" w:after="0"/>
        <w:ind w:left="0" w:right="0" w:hanging="0"/>
        <w:jc w:val="both"/>
        <w:rPr/>
      </w:pPr>
      <w:r>
        <w:rPr/>
      </w:r>
    </w:p>
    <w:p>
      <w:pPr>
        <w:pStyle w:val="TextBody"/>
        <w:spacing w:before="0" w:after="0"/>
        <w:ind w:left="0" w:right="0" w:firstLine="5760"/>
        <w:rPr>
          <w:b/>
        </w:rPr>
      </w:pPr>
      <w:r>
        <w:rPr>
          <w:b/>
        </w:rPr>
        <w:t>ROBERT J. KAMMER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5760"/>
        <w:rPr>
          <w:i/>
          <w:u w:val="single"/>
        </w:rPr>
      </w:pPr>
      <w:r>
        <w:rPr>
          <w:i/>
          <w:u w:val="single"/>
        </w:rPr>
        <w:t>/s/ Robert J. Kammer</w:t>
      </w:r>
    </w:p>
    <w:p>
      <w:pPr>
        <w:pStyle w:val="TextBody"/>
        <w:spacing w:before="0" w:after="0"/>
        <w:ind w:left="0" w:right="0" w:firstLine="5760"/>
        <w:rPr/>
      </w:pPr>
      <w:r>
        <w:rPr/>
        <w:t>By: Dr. Robert J. Kammer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sz w:val="15"/>
        </w:rPr>
      </w:pPr>
      <w:r>
        <w:rPr>
          <w:sz w:val="15"/>
        </w:rPr>
        <w:t>4</w:t>
      </w:r>
    </w:p>
    <w:p>
      <w:pPr>
        <w:pStyle w:val="TextBody"/>
        <w:spacing w:before="0" w:after="0"/>
        <w:ind w:left="0" w:right="0" w:hanging="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683</Words>
  <CharactersWithSpaces>3931</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Schedule 13D</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e">
    <vt:lpwstr>08/16/2013</vt:lpwstr>
  </property>
</Properties>
</file>