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4,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3"/>
              </w:rPr>
              <w:t>Delaware</w:t>
            </w:r>
          </w:p>
        </w:tc>
        <w:tc>
          <w:tcPr>
            <w:tcW w:w="27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001-35814</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660" w:type="dxa"/>
            <w:vAlign w:val="bottom"/>
            <w:gridSpan w:val="3"/>
          </w:tcPr>
          <w:p>
            <w:pPr>
              <w:jc w:val="center"/>
              <w:ind w:right="1040"/>
              <w:spacing w:after="0"/>
              <w:rPr>
                <w:sz w:val="20"/>
                <w:szCs w:val="20"/>
                <w:color w:val="auto"/>
              </w:rPr>
            </w:pPr>
            <w:r>
              <w:rPr>
                <w:rFonts w:ascii="Arial" w:cs="Arial" w:eastAsia="Arial" w:hAnsi="Arial"/>
                <w:sz w:val="18"/>
                <w:szCs w:val="18"/>
                <w:color w:val="auto"/>
                <w:w w:val="93"/>
              </w:rPr>
              <w:t>of incorporation)</w:t>
            </w:r>
          </w:p>
        </w:tc>
        <w:tc>
          <w:tcPr>
            <w:tcW w:w="2980" w:type="dxa"/>
            <w:vAlign w:val="bottom"/>
            <w:gridSpan w:val="4"/>
          </w:tcPr>
          <w:p>
            <w:pPr>
              <w:jc w:val="center"/>
              <w:ind w:right="1020"/>
              <w:spacing w:after="0"/>
              <w:rPr>
                <w:sz w:val="20"/>
                <w:szCs w:val="20"/>
                <w:color w:val="auto"/>
              </w:rPr>
            </w:pPr>
            <w:r>
              <w:rPr>
                <w:rFonts w:ascii="Arial" w:cs="Arial" w:eastAsia="Arial" w:hAnsi="Arial"/>
                <w:sz w:val="18"/>
                <w:szCs w:val="18"/>
                <w:color w:val="auto"/>
                <w:w w:val="92"/>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6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9"/>
              </w:rPr>
              <w:t>102 Woodmont Blvd., Suite 610</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4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5"/>
              </w:rPr>
              <w:t>Nashville, Tennessee</w:t>
            </w:r>
          </w:p>
        </w:tc>
        <w:tc>
          <w:tcPr>
            <w:tcW w:w="8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466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25"/>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On June 4, 2020, Harrow Health, Inc. (the “Company”) held its 2020 Annual Meeting of Stockholders (the “Annual Meeting”) at 102 Woodmont Blvd., Suite 610, Nashville, Tennessee 37205. The number of shares of common stock entitled to vote at the Annual Meeting was 25,618,918. The number of shares of common stock present or represented by valid proxy at the Annual Meeting was 18,344,570.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Stockholders voted to elect to the Board of Directors the five (5) director nominees named in the Company’s proxy statement to serve until the 2021 annual meeting of stockholders and until their successors are duly elected and qualified. The results of the voting were: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Directors</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120" w:type="dxa"/>
            <w:vAlign w:val="bottom"/>
            <w:gridSpan w:val="2"/>
          </w:tcPr>
          <w:p>
            <w:pPr>
              <w:ind w:left="600"/>
              <w:spacing w:after="0"/>
              <w:rPr>
                <w:sz w:val="20"/>
                <w:szCs w:val="20"/>
                <w:color w:val="auto"/>
              </w:rPr>
            </w:pPr>
            <w:r>
              <w:rPr>
                <w:rFonts w:ascii="Arial" w:cs="Arial" w:eastAsia="Arial" w:hAnsi="Arial"/>
                <w:sz w:val="18"/>
                <w:szCs w:val="18"/>
                <w:b w:val="1"/>
                <w:bCs w:val="1"/>
                <w:color w:val="auto"/>
              </w:rPr>
              <w:t>Withheld</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Mark L. Baum</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7,486,624</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22,503</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10,835,443</w:t>
            </w:r>
          </w:p>
        </w:tc>
      </w:tr>
      <w:tr>
        <w:trPr>
          <w:trHeight w:val="216"/>
        </w:trPr>
        <w:tc>
          <w:tcPr>
            <w:tcW w:w="3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Richard L. Lindstrom</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5,111,906</w:t>
            </w:r>
          </w:p>
        </w:tc>
        <w:tc>
          <w:tcPr>
            <w:tcW w:w="2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2,394,092</w:t>
            </w:r>
          </w:p>
        </w:tc>
        <w:tc>
          <w:tcPr>
            <w:tcW w:w="2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10,838,572</w:t>
            </w:r>
          </w:p>
        </w:tc>
      </w:tr>
      <w:tr>
        <w:trPr>
          <w:trHeight w:val="216"/>
        </w:trPr>
        <w:tc>
          <w:tcPr>
            <w:tcW w:w="3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Robert J. Kammer</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7,230,205</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275,793</w:t>
            </w:r>
          </w:p>
        </w:tc>
        <w:tc>
          <w:tcPr>
            <w:tcW w:w="2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10,838,572</w:t>
            </w:r>
          </w:p>
        </w:tc>
      </w:tr>
      <w:tr>
        <w:trPr>
          <w:trHeight w:val="216"/>
        </w:trPr>
        <w:tc>
          <w:tcPr>
            <w:tcW w:w="36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Teresa F. Sparks</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7,245,567</w:t>
            </w:r>
          </w:p>
        </w:tc>
        <w:tc>
          <w:tcPr>
            <w:tcW w:w="2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260,431</w:t>
            </w:r>
          </w:p>
        </w:tc>
        <w:tc>
          <w:tcPr>
            <w:tcW w:w="2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10,838,572</w:t>
            </w:r>
          </w:p>
        </w:tc>
      </w:tr>
      <w:tr>
        <w:trPr>
          <w:trHeight w:val="216"/>
        </w:trPr>
        <w:tc>
          <w:tcPr>
            <w:tcW w:w="3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Anthony J. Principi</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7,462,306</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43,692</w:t>
            </w:r>
          </w:p>
        </w:tc>
        <w:tc>
          <w:tcPr>
            <w:tcW w:w="2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10,838,572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2: Ratification of Auditors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ratified the selection of KMJ Corbin and Company, LLP as the Company’s independent registered public accounting firm for the fiscal year ending December 31, 2020. The results of the voting were: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Abstain</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09"/>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18,295,211</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35,184</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14,175</w:t>
            </w:r>
          </w:p>
        </w:tc>
        <w:tc>
          <w:tcPr>
            <w:tcW w:w="2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right"/>
              <w:ind w:right="17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3: To approve on an advisory basis, the compensation of the Company’s named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Stockholders approved, on an advisory basis, the compensation of the Company’s named executive officers. The results of the voting were: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480" w:type="dxa"/>
            <w:vAlign w:val="bottom"/>
            <w:gridSpan w:val="2"/>
          </w:tcPr>
          <w:p>
            <w:pPr>
              <w:ind w:left="820"/>
              <w:spacing w:after="0"/>
              <w:rPr>
                <w:sz w:val="20"/>
                <w:szCs w:val="20"/>
                <w:color w:val="auto"/>
              </w:rPr>
            </w:pPr>
            <w:r>
              <w:rPr>
                <w:rFonts w:ascii="Arial" w:cs="Arial" w:eastAsia="Arial" w:hAnsi="Arial"/>
                <w:sz w:val="18"/>
                <w:szCs w:val="18"/>
                <w:b w:val="1"/>
                <w:bCs w:val="1"/>
                <w:color w:val="auto"/>
              </w:rPr>
              <w:t>Against</w:t>
            </w:r>
          </w:p>
        </w:tc>
        <w:tc>
          <w:tcPr>
            <w:tcW w:w="2460" w:type="dxa"/>
            <w:vAlign w:val="bottom"/>
            <w:gridSpan w:val="2"/>
          </w:tcPr>
          <w:p>
            <w:pPr>
              <w:ind w:left="820"/>
              <w:spacing w:after="0"/>
              <w:rPr>
                <w:sz w:val="20"/>
                <w:szCs w:val="20"/>
                <w:color w:val="auto"/>
              </w:rPr>
            </w:pPr>
            <w:r>
              <w:rPr>
                <w:rFonts w:ascii="Arial" w:cs="Arial" w:eastAsia="Arial" w:hAnsi="Arial"/>
                <w:sz w:val="18"/>
                <w:szCs w:val="18"/>
                <w:b w:val="1"/>
                <w:bCs w:val="1"/>
                <w:color w:val="auto"/>
              </w:rPr>
              <w:t>Abstain</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09"/>
        </w:trPr>
        <w:tc>
          <w:tcPr>
            <w:tcW w:w="22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4,681,094</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271,951</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312,953</w:t>
            </w:r>
          </w:p>
        </w:tc>
        <w:tc>
          <w:tcPr>
            <w:tcW w:w="2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rPr>
              <w:t>13,078,572</w:t>
            </w:r>
          </w:p>
        </w:tc>
      </w:tr>
      <w:tr>
        <w:trPr>
          <w:trHeight w:val="439"/>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520" w:val="left"/>
          <w:tab w:leader="none" w:pos="6000" w:val="left"/>
        </w:tabs>
        <w:rPr>
          <w:sz w:val="20"/>
          <w:szCs w:val="20"/>
          <w:color w:val="auto"/>
        </w:rPr>
      </w:pPr>
      <w:r>
        <w:rPr>
          <w:rFonts w:ascii="Arial" w:cs="Arial" w:eastAsia="Arial" w:hAnsi="Arial"/>
          <w:sz w:val="18"/>
          <w:szCs w:val="18"/>
          <w:color w:val="auto"/>
        </w:rPr>
        <w:t>Dated: June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-130175</wp:posOffset>
            </wp:positionV>
            <wp:extent cx="33089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2020-06-08T16:06:50Z</dcterms:created>
  <dcterms:modified xsi:type="dcterms:W3CDTF">2020-06-08T16:06:50Z</dcterms:modified>
</cp:coreProperties>
</file>