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10-k.htm"/>
      <w:bookmarkStart w:id="1" w:name="ksform10k"/>
      <w:bookmarkEnd w:id="0"/>
      <w:bookmarkEnd w:id="1"/>
      <w:r>
        <w:rPr>
          <w:caps w:val="false"/>
          <w:smallCaps w:val="false"/>
        </w:rPr>
        <w:t> </w:t>
      </w:r>
    </w:p>
    <w:p>
      <w:pPr>
        <w:pStyle w:val="TextBody"/>
        <w:jc w:val="left"/>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UNITED STATES</w:t>
      </w:r>
    </w:p>
    <w:p>
      <w:pPr>
        <w:pStyle w:val="TextBody"/>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bdr w:val="single" w:sz="12" w:space="1" w:color="000000"/>
        </w:rPr>
      </w:pPr>
      <w:r>
        <w:rPr>
          <w:bdr w:val="single" w:sz="1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FORM 10-K</w:t>
      </w:r>
    </w:p>
    <w:p>
      <w:pPr>
        <w:pStyle w:val="TextBody"/>
        <w:jc w:val="center"/>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(Mark One)</w:t>
      </w:r>
    </w:p>
    <w:p>
      <w:pPr>
        <w:pStyle w:val="TextBody"/>
        <w:rPr>
          <w:caps w:val="false"/>
          <w:smallCaps w:val="false"/>
        </w:rPr>
      </w:pPr>
      <w:r>
        <w:rPr>
          <w:caps w:val="false"/>
          <w:smallCaps w:val="false"/>
        </w:rPr>
        <w:t> </w:t>
      </w:r>
    </w:p>
    <w:tbl>
      <w:tblPr>
        <w:tblW w:w="8500" w:type="dxa"/>
        <w:jc w:val="left"/>
        <w:tblInd w:w="0" w:type="dxa"/>
        <w:tblCellMar>
          <w:top w:w="0" w:type="dxa"/>
          <w:left w:w="0" w:type="dxa"/>
          <w:bottom w:w="0" w:type="dxa"/>
          <w:right w:w="0" w:type="dxa"/>
        </w:tblCellMar>
      </w:tblPr>
      <w:tblGrid>
        <w:gridCol w:w="275"/>
        <w:gridCol w:w="8225"/>
      </w:tblGrid>
      <w:tr>
        <w:trPr/>
        <w:tc>
          <w:tcPr>
            <w:tcW w:w="27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[X]</w:t>
            </w:r>
          </w:p>
        </w:tc>
        <w:tc>
          <w:tcPr>
            <w:tcW w:w="822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ANNUAL REPORT PURSUANT TO SECTION 13 OR 15(d) OF THE SECURITIES EXCHANGE ACT OF 1934</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2018</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jc w:val="center"/>
        <w:rPr>
          <w:caps w:val="false"/>
          <w:smallCaps w:val="false"/>
        </w:rPr>
      </w:pPr>
      <w:r>
        <w:rPr>
          <w:caps w:val="false"/>
          <w:smallCaps w:val="false"/>
        </w:rPr>
        <w:t> </w:t>
      </w:r>
    </w:p>
    <w:tbl>
      <w:tblPr>
        <w:tblW w:w="8800" w:type="dxa"/>
        <w:jc w:val="left"/>
        <w:tblInd w:w="0" w:type="dxa"/>
        <w:tblCellMar>
          <w:top w:w="0" w:type="dxa"/>
          <w:left w:w="0" w:type="dxa"/>
          <w:bottom w:w="0" w:type="dxa"/>
          <w:right w:w="0" w:type="dxa"/>
        </w:tblCellMar>
      </w:tblPr>
      <w:tblGrid>
        <w:gridCol w:w="245"/>
        <w:gridCol w:w="8555"/>
      </w:tblGrid>
      <w:tr>
        <w:trPr/>
        <w:tc>
          <w:tcPr>
            <w:tcW w:w="24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w:t>
            </w:r>
          </w:p>
        </w:tc>
        <w:tc>
          <w:tcPr>
            <w:tcW w:w="855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TRANSITION REPORT PURSUANT TO SECTION 13 OR 15(d) OF THE SECURITIES EXCHANGE ACT OF 1934</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For the transition period from       to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Commission File Number: 001-35814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HARROW HEALTH, INC.</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(Exact name of registrant as specified in its charter)</w:t>
      </w:r>
    </w:p>
    <w:p>
      <w:pPr>
        <w:pStyle w:val="TextBody"/>
        <w:rPr>
          <w:caps w:val="false"/>
          <w:smallCaps w:val="false"/>
        </w:rPr>
      </w:pPr>
      <w:r>
        <w:rPr>
          <w:caps w:val="false"/>
          <w:smallCaps w:val="false"/>
        </w:rPr>
        <w:t> </w:t>
      </w:r>
    </w:p>
    <w:tbl>
      <w:tblPr>
        <w:tblW w:w="4090" w:type="dxa"/>
        <w:jc w:val="left"/>
        <w:tblInd w:w="0" w:type="dxa"/>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Delaware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45-0567010</w:t>
            </w:r>
          </w:p>
        </w:tc>
      </w:tr>
      <w:tr>
        <w:trPr/>
        <w:tc>
          <w:tcPr>
            <w:tcW w:w="249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(State or other jurisdiction of</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(IRS Employer</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12264 El Camino Real, Suite 350</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San Diego, CA 92130</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(Address of Principal Executive Offices)(Zip Code)</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(858) 704-4040</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(Registrant’s telephone number, including area code)</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Securities registered pursuant to Section 12(b) of the Act:</w:t>
      </w:r>
    </w:p>
    <w:p>
      <w:pPr>
        <w:pStyle w:val="TextBody"/>
        <w:jc w:val="center"/>
        <w:rPr>
          <w:caps w:val="false"/>
          <w:smallCaps w:val="false"/>
        </w:rPr>
      </w:pPr>
      <w:r>
        <w:rPr>
          <w:caps w:val="false"/>
          <w:smallCaps w:val="false"/>
        </w:rPr>
        <w:t> </w:t>
      </w:r>
    </w:p>
    <w:tbl>
      <w:tblPr>
        <w:tblW w:w="6475" w:type="dxa"/>
        <w:jc w:val="left"/>
        <w:tblInd w:w="0" w:type="dxa"/>
        <w:tblCellMar>
          <w:top w:w="0" w:type="dxa"/>
          <w:left w:w="0" w:type="dxa"/>
          <w:bottom w:w="28" w:type="dxa"/>
          <w:right w:w="0" w:type="dxa"/>
        </w:tblCellMar>
      </w:tblPr>
      <w:tblGrid>
        <w:gridCol w:w="3065"/>
        <w:gridCol w:w="60"/>
        <w:gridCol w:w="3350"/>
      </w:tblGrid>
      <w:tr>
        <w:trPr/>
        <w:tc>
          <w:tcPr>
            <w:tcW w:w="30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3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Name of Each Exchange on Which Registered</w:t>
            </w:r>
          </w:p>
        </w:tc>
      </w:tr>
      <w:tr>
        <w:trPr/>
        <w:tc>
          <w:tcPr>
            <w:tcW w:w="306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Common Stock, $0.001 par value per share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NASDAQ Capital Market</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Securities registered pursuant to Section 12(g) of the Act: None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Indicate by check mark if the registrant is a well-known seasoned issuer, as defined in Rule 405 of the Securities Act. </w:t>
      </w:r>
      <w:r>
        <w:rPr>
          <w:rFonts w:ascii="Times New Roman;Times;Serif" w:hAnsi="Times New Roman;Times;Serif"/>
          <w:b/>
          <w:i w:val="false"/>
          <w:caps w:val="false"/>
          <w:smallCaps w:val="false"/>
          <w:sz w:val="17"/>
        </w:rPr>
        <w:t>Yes </w:t>
      </w:r>
      <w:r>
        <w:rPr>
          <w:rFonts w:ascii="Times New Roman;Times;Serif" w:hAnsi="Times New Roman;Times;Serif"/>
          <w:b w:val="false"/>
          <w:i w:val="false"/>
          <w:caps w:val="false"/>
          <w:smallCaps w:val="false"/>
          <w:sz w:val="17"/>
        </w:rPr>
        <w:t xml:space="preserve">[  ] </w:t>
      </w:r>
      <w:r>
        <w:rPr>
          <w:rFonts w:ascii="Times New Roman;Times;Serif" w:hAnsi="Times New Roman;Times;Serif"/>
          <w:b/>
          <w:i w:val="false"/>
          <w:caps w:val="false"/>
          <w:smallCaps w:val="false"/>
          <w:sz w:val="17"/>
        </w:rPr>
        <w:t xml:space="preserve">No </w:t>
      </w:r>
      <w:r>
        <w:rPr>
          <w:rFonts w:ascii="Times New Roman;Times;Serif" w:hAnsi="Times New Roman;Times;Serif"/>
          <w:b w:val="false"/>
          <w:i w:val="false"/>
          <w:caps w:val="false"/>
          <w:smallCaps w:val="false"/>
          <w:sz w:val="17"/>
        </w:rPr>
        <w:t>[X]</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Indicate by check mark if the registrant is not required to file reports pursuant to Section 13 or Section 15(d) of the Exchange Act. </w:t>
      </w:r>
      <w:r>
        <w:rPr>
          <w:rFonts w:ascii="Times New Roman;Times;Serif" w:hAnsi="Times New Roman;Times;Serif"/>
          <w:b/>
          <w:i w:val="false"/>
          <w:caps w:val="false"/>
          <w:smallCaps w:val="false"/>
          <w:sz w:val="17"/>
        </w:rPr>
        <w:t>Yes</w:t>
      </w:r>
      <w:r>
        <w:rPr>
          <w:rFonts w:ascii="Times New Roman;Times;Serif" w:hAnsi="Times New Roman;Times;Serif"/>
          <w:b w:val="false"/>
          <w:i w:val="false"/>
          <w:caps w:val="false"/>
          <w:smallCaps w:val="false"/>
          <w:sz w:val="17"/>
        </w:rPr>
        <w:t xml:space="preserve"> [  ] </w:t>
      </w:r>
      <w:r>
        <w:rPr>
          <w:rFonts w:ascii="Times New Roman;Times;Serif" w:hAnsi="Times New Roman;Times;Serif"/>
          <w:b/>
          <w:i w:val="false"/>
          <w:caps w:val="false"/>
          <w:smallCaps w:val="false"/>
          <w:sz w:val="17"/>
        </w:rPr>
        <w:t xml:space="preserve">No </w:t>
      </w:r>
      <w:r>
        <w:rPr>
          <w:rFonts w:ascii="Times New Roman;Times;Serif" w:hAnsi="Times New Roman;Times;Serif"/>
          <w:b w:val="false"/>
          <w:i w:val="false"/>
          <w:caps w:val="false"/>
          <w:smallCaps w:val="false"/>
          <w:sz w:val="17"/>
        </w:rPr>
        <w:t>[X]</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i w:val="false"/>
          <w:caps w:val="false"/>
          <w:smallCaps w:val="false"/>
          <w:sz w:val="17"/>
        </w:rPr>
        <w:t>Yes</w:t>
      </w:r>
      <w:r>
        <w:rPr>
          <w:rFonts w:ascii="Times New Roman;Times;Serif" w:hAnsi="Times New Roman;Times;Serif"/>
          <w:b w:val="false"/>
          <w:i w:val="false"/>
          <w:caps w:val="false"/>
          <w:smallCaps w:val="false"/>
          <w:sz w:val="17"/>
        </w:rPr>
        <w:t xml:space="preserve"> [X] </w:t>
      </w:r>
      <w:r>
        <w:rPr>
          <w:rFonts w:ascii="Times New Roman;Times;Serif" w:hAnsi="Times New Roman;Times;Serif"/>
          <w:b/>
          <w:i w:val="false"/>
          <w:caps w:val="false"/>
          <w:smallCaps w:val="false"/>
          <w:sz w:val="17"/>
        </w:rPr>
        <w:t>No</w:t>
      </w:r>
      <w:r>
        <w:rPr>
          <w:rFonts w:ascii="Times New Roman;Times;Serif" w:hAnsi="Times New Roman;Times;Serif"/>
          <w:b w:val="false"/>
          <w:i w:val="false"/>
          <w:caps w:val="false"/>
          <w:smallCaps w:val="false"/>
          <w:sz w:val="17"/>
        </w:rPr>
        <w:t xml:space="preserve"> [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rFonts w:ascii="Times New Roman;Times;Serif" w:hAnsi="Times New Roman;Times;Serif"/>
          <w:b/>
          <w:i w:val="false"/>
          <w:caps w:val="false"/>
          <w:smallCaps w:val="false"/>
          <w:sz w:val="17"/>
        </w:rPr>
        <w:t xml:space="preserve">Yes </w:t>
      </w:r>
      <w:r>
        <w:rPr>
          <w:rFonts w:ascii="Times New Roman;Times;Serif" w:hAnsi="Times New Roman;Times;Serif"/>
          <w:b w:val="false"/>
          <w:i w:val="false"/>
          <w:caps w:val="false"/>
          <w:smallCaps w:val="false"/>
          <w:sz w:val="17"/>
        </w:rPr>
        <w:t xml:space="preserve">[X] </w:t>
      </w:r>
      <w:r>
        <w:rPr>
          <w:rFonts w:ascii="Times New Roman;Times;Serif" w:hAnsi="Times New Roman;Times;Serif"/>
          <w:b/>
          <w:i w:val="false"/>
          <w:caps w:val="false"/>
          <w:smallCaps w:val="false"/>
          <w:sz w:val="17"/>
        </w:rPr>
        <w:t>No</w:t>
      </w:r>
      <w:r>
        <w:rPr>
          <w:rFonts w:ascii="Times New Roman;Times;Serif" w:hAnsi="Times New Roman;Times;Serif"/>
          <w:b w:val="false"/>
          <w:i w:val="false"/>
          <w:caps w:val="false"/>
          <w:smallCaps w:val="false"/>
          <w:sz w:val="17"/>
        </w:rPr>
        <w:t xml:space="preserve"> [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rPr>
          <w:caps w:val="false"/>
          <w:smallCaps w:val="false"/>
        </w:rPr>
      </w:pPr>
      <w:r>
        <w:rPr>
          <w:caps w:val="false"/>
          <w:smallCaps w:val="false"/>
        </w:rPr>
        <w:t> </w:t>
      </w:r>
    </w:p>
    <w:tbl>
      <w:tblPr>
        <w:tblW w:w="4435" w:type="dxa"/>
        <w:jc w:val="left"/>
        <w:tblInd w:w="0" w:type="dxa"/>
        <w:tblCellMar>
          <w:top w:w="0" w:type="dxa"/>
          <w:left w:w="0" w:type="dxa"/>
          <w:bottom w:w="0" w:type="dxa"/>
          <w:right w:w="0" w:type="dxa"/>
        </w:tblCellMar>
      </w:tblPr>
      <w:tblGrid>
        <w:gridCol w:w="2210"/>
        <w:gridCol w:w="2225"/>
      </w:tblGrid>
      <w:tr>
        <w:trPr/>
        <w:tc>
          <w:tcPr>
            <w:tcW w:w="22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Large accelerated filer [  ]</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Accelerated filer [  ]</w:t>
            </w:r>
          </w:p>
        </w:tc>
      </w:tr>
      <w:tr>
        <w:trPr/>
        <w:tc>
          <w:tcPr>
            <w:tcW w:w="22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Non-accelerated filer [  ]</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Smaller reporting company [X]</w:t>
            </w:r>
          </w:p>
        </w:tc>
      </w:tr>
      <w:tr>
        <w:trPr/>
        <w:tc>
          <w:tcPr>
            <w:tcW w:w="22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Emerging growth company [  ]</w:t>
            </w:r>
          </w:p>
        </w:tc>
        <w:tc>
          <w:tcPr>
            <w:tcW w:w="222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Indicate by check mark whether the registrant is a shell company (as defined in Rule 12b-2 of the Exchange Act). </w:t>
      </w:r>
      <w:r>
        <w:rPr>
          <w:rFonts w:ascii="Times New Roman;Times;Serif" w:hAnsi="Times New Roman;Times;Serif"/>
          <w:b/>
          <w:i w:val="false"/>
          <w:caps w:val="false"/>
          <w:smallCaps w:val="false"/>
          <w:sz w:val="17"/>
        </w:rPr>
        <w:t>Yes</w:t>
      </w:r>
      <w:r>
        <w:rPr>
          <w:rFonts w:ascii="Times New Roman;Times;Serif" w:hAnsi="Times New Roman;Times;Serif"/>
          <w:b w:val="false"/>
          <w:i w:val="false"/>
          <w:caps w:val="false"/>
          <w:smallCaps w:val="false"/>
          <w:sz w:val="17"/>
        </w:rPr>
        <w:t xml:space="preserve"> [  ] </w:t>
      </w:r>
      <w:r>
        <w:rPr>
          <w:rFonts w:ascii="Times New Roman;Times;Serif" w:hAnsi="Times New Roman;Times;Serif"/>
          <w:b/>
          <w:i w:val="false"/>
          <w:caps w:val="false"/>
          <w:smallCaps w:val="false"/>
          <w:sz w:val="17"/>
        </w:rPr>
        <w:t>No</w:t>
      </w:r>
      <w:r>
        <w:rPr>
          <w:rFonts w:ascii="Times New Roman;Times;Serif" w:hAnsi="Times New Roman;Times;Serif"/>
          <w:b w:val="false"/>
          <w:i w:val="false"/>
          <w:caps w:val="false"/>
          <w:smallCaps w:val="false"/>
          <w:sz w:val="17"/>
        </w:rPr>
        <w:t xml:space="preserve"> [X]</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June 29, 2018, the last business day of the registrant’s most recently completed second fiscal quarter, the aggregate market value of the common stock held by non-affiliates of the registrant was approximately $42 million, based on the closing price of $2.20 for the registrant’s common stock as quoted on The NASDAQ Capital Market on that date. For purposes of this calculation, it has been assumed that shares of common stock held by each 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March 11, 2019, there were 24,685,594 shares of the registrant’s common stock outstanding.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Portions of the registrant’s definitive proxy statement for its 2019 Annual Meeting of Stockholders (Proxy Statement) are incorporated by reference in Part III of this annual report on Form 10-K (Annual Report), to the extent stated herein.</w:t>
      </w:r>
    </w:p>
    <w:p>
      <w:pPr>
        <w:pStyle w:val="TextBody"/>
        <w:jc w:val="both"/>
        <w:rPr>
          <w:caps w:val="false"/>
          <w:smallCaps w:val="false"/>
        </w:rPr>
      </w:pPr>
      <w:r>
        <w:rPr>
          <w:caps w:val="false"/>
          <w:smallCaps w:val="false"/>
        </w:rPr>
        <w:t> </w:t>
      </w:r>
    </w:p>
    <w:p>
      <w:pPr>
        <w:pStyle w:val="TextBody"/>
        <w:jc w:val="left"/>
        <w:rPr>
          <w:bdr w:val="single" w:sz="12" w:space="1" w:color="000000"/>
        </w:rPr>
      </w:pPr>
      <w:r>
        <w:rPr>
          <w:bdr w:val="single" w:sz="12" w:space="1" w:color="000000"/>
        </w:rPr>
        <w:t> </w:t>
      </w:r>
    </w:p>
    <w:p>
      <w:pPr>
        <w:pStyle w:val="TextBody"/>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TABLE OF CONTENTS </w:t>
      </w:r>
    </w:p>
    <w:p>
      <w:pPr>
        <w:pStyle w:val="TextBody"/>
        <w:rPr>
          <w:caps w:val="false"/>
          <w:smallCaps w:val="false"/>
        </w:rPr>
      </w:pPr>
      <w:r>
        <w:rPr>
          <w:caps w:val="false"/>
          <w:smallCaps w:val="false"/>
        </w:rPr>
        <w:t> </w:t>
      </w:r>
    </w:p>
    <w:tbl>
      <w:tblPr>
        <w:tblW w:w="8790" w:type="dxa"/>
        <w:jc w:val="left"/>
        <w:tblInd w:w="0" w:type="dxa"/>
        <w:tblCellMar>
          <w:top w:w="0" w:type="dxa"/>
          <w:left w:w="0" w:type="dxa"/>
          <w:bottom w:w="0" w:type="dxa"/>
          <w:right w:w="0" w:type="dxa"/>
        </w:tblCellMar>
      </w:tblPr>
      <w:tblGrid>
        <w:gridCol w:w="650"/>
        <w:gridCol w:w="7745"/>
        <w:gridCol w:w="395"/>
      </w:tblGrid>
      <w:tr>
        <w:trPr/>
        <w:tc>
          <w:tcPr>
            <w:tcW w:w="839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39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w:t>
            </w:r>
            <w:r>
              <w:rPr>
                <w:rFonts w:ascii="Times New Roman;Times;Serif" w:hAnsi="Times New Roman;Times;Serif"/>
                <w:b/>
                <w:i w:val="false"/>
                <w:caps w:val="false"/>
                <w:smallCaps w:val="false"/>
                <w:strike w:val="false"/>
                <w:dstrike w:val="false"/>
                <w:sz w:val="17"/>
                <w:u w:val="none"/>
                <w:effect w:val="none"/>
              </w:rPr>
              <w:t>age</w:t>
            </w:r>
          </w:p>
        </w:tc>
      </w:tr>
      <w:tr>
        <w:trPr/>
        <w:tc>
          <w:tcPr>
            <w:tcW w:w="650" w:type="dxa"/>
            <w:tcBorders/>
            <w:shd w:fill="CCEEFF" w:val="clear"/>
            <w:vAlign w:val="center"/>
          </w:tcPr>
          <w:p>
            <w:pPr>
              <w:pStyle w:val="TableContents"/>
              <w:spacing w:before="0" w:after="283"/>
              <w:rPr>
                <w:caps w:val="false"/>
                <w:smallCaps w:val="false"/>
              </w:rPr>
            </w:pPr>
            <w:r>
              <w:rPr>
                <w:caps w:val="false"/>
                <w:smallCaps w:val="false"/>
              </w:rPr>
              <w:t> </w:t>
            </w:r>
          </w:p>
        </w:tc>
        <w:tc>
          <w:tcPr>
            <w:tcW w:w="7745" w:type="dxa"/>
            <w:tcBorders/>
            <w:shd w:fill="CCEEFF" w:val="clear"/>
            <w:vAlign w:val="center"/>
          </w:tcPr>
          <w:p>
            <w:pPr>
              <w:pStyle w:val="TableContents"/>
              <w:spacing w:before="0" w:after="283"/>
              <w:rPr/>
            </w:pPr>
            <w:hyperlink w:anchor="a_001">
              <w:r>
                <w:rPr>
                  <w:rStyle w:val="InternetLink"/>
                  <w:rFonts w:ascii="Times New Roman;Times;Serif" w:hAnsi="Times New Roman;Times;Serif"/>
                  <w:b/>
                  <w:i w:val="false"/>
                  <w:caps w:val="false"/>
                  <w:smallCaps w:val="false"/>
                  <w:sz w:val="20"/>
                </w:rPr>
                <w:t>PART I</w:t>
              </w:r>
            </w:hyperlink>
          </w:p>
        </w:tc>
        <w:tc>
          <w:tcPr>
            <w:tcW w:w="395" w:type="dxa"/>
            <w:tcBorders/>
            <w:shd w:fill="CCEEFF" w:val="clear"/>
            <w:vAlign w:val="center"/>
          </w:tcPr>
          <w:p>
            <w:pPr>
              <w:pStyle w:val="TableContents"/>
              <w:spacing w:before="0" w:after="283"/>
              <w:jc w:val="right"/>
              <w:rPr>
                <w:caps w:val="false"/>
                <w:smallCaps w:val="false"/>
              </w:rPr>
            </w:pPr>
            <w:r>
              <w:rPr>
                <w:caps w:val="false"/>
                <w:smallCaps w:val="false"/>
              </w:rPr>
              <w:t> </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w:t>
            </w:r>
          </w:p>
        </w:tc>
        <w:tc>
          <w:tcPr>
            <w:tcW w:w="7745" w:type="dxa"/>
            <w:tcBorders/>
            <w:shd w:fill="FFFFFF" w:val="clear"/>
            <w:vAlign w:val="center"/>
          </w:tcPr>
          <w:p>
            <w:pPr>
              <w:pStyle w:val="TableContents"/>
              <w:spacing w:before="0" w:after="283"/>
              <w:rPr/>
            </w:pPr>
            <w:hyperlink w:anchor="a_002">
              <w:r>
                <w:rPr>
                  <w:rStyle w:val="InternetLink"/>
                  <w:rFonts w:ascii="Times New Roman;Times;Serif" w:hAnsi="Times New Roman;Times;Serif"/>
                  <w:b w:val="false"/>
                  <w:i w:val="false"/>
                  <w:caps w:val="false"/>
                  <w:smallCaps w:val="false"/>
                  <w:sz w:val="17"/>
                </w:rPr>
                <w:t>Business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1A.</w:t>
            </w:r>
          </w:p>
        </w:tc>
        <w:tc>
          <w:tcPr>
            <w:tcW w:w="7745" w:type="dxa"/>
            <w:tcBorders/>
            <w:shd w:fill="CCEEFF" w:val="clear"/>
            <w:vAlign w:val="center"/>
          </w:tcPr>
          <w:p>
            <w:pPr>
              <w:pStyle w:val="TableContents"/>
              <w:spacing w:before="0" w:after="283"/>
              <w:rPr/>
            </w:pPr>
            <w:hyperlink w:anchor="a_003">
              <w:r>
                <w:rPr>
                  <w:rStyle w:val="InternetLink"/>
                  <w:rFonts w:ascii="Times New Roman;Times;Serif" w:hAnsi="Times New Roman;Times;Serif"/>
                  <w:b w:val="false"/>
                  <w:i w:val="false"/>
                  <w:caps w:val="false"/>
                  <w:smallCaps w:val="false"/>
                  <w:sz w:val="17"/>
                </w:rPr>
                <w:t>Risk Factors</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11</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1B.</w:t>
            </w:r>
          </w:p>
        </w:tc>
        <w:tc>
          <w:tcPr>
            <w:tcW w:w="7745" w:type="dxa"/>
            <w:tcBorders/>
            <w:shd w:fill="FFFFFF" w:val="clear"/>
            <w:vAlign w:val="center"/>
          </w:tcPr>
          <w:p>
            <w:pPr>
              <w:pStyle w:val="TableContents"/>
              <w:spacing w:before="0" w:after="283"/>
              <w:rPr/>
            </w:pPr>
            <w:hyperlink w:anchor="a_004">
              <w:r>
                <w:rPr>
                  <w:rStyle w:val="InternetLink"/>
                  <w:rFonts w:ascii="Times New Roman;Times;Serif" w:hAnsi="Times New Roman;Times;Serif"/>
                  <w:b w:val="false"/>
                  <w:i w:val="false"/>
                  <w:caps w:val="false"/>
                  <w:smallCaps w:val="false"/>
                  <w:sz w:val="17"/>
                </w:rPr>
                <w:t>Unresolved Staff Comments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32</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2.</w:t>
            </w:r>
          </w:p>
        </w:tc>
        <w:tc>
          <w:tcPr>
            <w:tcW w:w="7745" w:type="dxa"/>
            <w:tcBorders/>
            <w:shd w:fill="CCEEFF" w:val="clear"/>
            <w:vAlign w:val="center"/>
          </w:tcPr>
          <w:p>
            <w:pPr>
              <w:pStyle w:val="TableContents"/>
              <w:spacing w:before="0" w:after="283"/>
              <w:rPr/>
            </w:pPr>
            <w:hyperlink w:anchor="a_005">
              <w:r>
                <w:rPr>
                  <w:rStyle w:val="InternetLink"/>
                  <w:rFonts w:ascii="Times New Roman;Times;Serif" w:hAnsi="Times New Roman;Times;Serif"/>
                  <w:b w:val="false"/>
                  <w:i w:val="false"/>
                  <w:caps w:val="false"/>
                  <w:smallCaps w:val="false"/>
                  <w:sz w:val="17"/>
                </w:rPr>
                <w:t>Properties</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32</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3.</w:t>
            </w:r>
          </w:p>
        </w:tc>
        <w:tc>
          <w:tcPr>
            <w:tcW w:w="7745" w:type="dxa"/>
            <w:tcBorders/>
            <w:shd w:fill="FFFFFF" w:val="clear"/>
            <w:vAlign w:val="center"/>
          </w:tcPr>
          <w:p>
            <w:pPr>
              <w:pStyle w:val="TableContents"/>
              <w:spacing w:before="0" w:after="283"/>
              <w:rPr/>
            </w:pPr>
            <w:hyperlink w:anchor="a_006">
              <w:r>
                <w:rPr>
                  <w:rStyle w:val="InternetLink"/>
                  <w:rFonts w:ascii="Times New Roman;Times;Serif" w:hAnsi="Times New Roman;Times;Serif"/>
                  <w:b w:val="false"/>
                  <w:i w:val="false"/>
                  <w:caps w:val="false"/>
                  <w:smallCaps w:val="false"/>
                  <w:sz w:val="17"/>
                </w:rPr>
                <w:t>Legal Proceedings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32</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4.</w:t>
            </w:r>
          </w:p>
        </w:tc>
        <w:tc>
          <w:tcPr>
            <w:tcW w:w="7745" w:type="dxa"/>
            <w:tcBorders/>
            <w:shd w:fill="CCEEFF" w:val="clear"/>
            <w:vAlign w:val="center"/>
          </w:tcPr>
          <w:p>
            <w:pPr>
              <w:pStyle w:val="TableContents"/>
              <w:spacing w:before="0" w:after="283"/>
              <w:rPr/>
            </w:pPr>
            <w:hyperlink w:anchor="a_007">
              <w:r>
                <w:rPr>
                  <w:rStyle w:val="InternetLink"/>
                  <w:rFonts w:ascii="Times New Roman;Times;Serif" w:hAnsi="Times New Roman;Times;Serif"/>
                  <w:b w:val="false"/>
                  <w:i w:val="false"/>
                  <w:caps w:val="false"/>
                  <w:smallCaps w:val="false"/>
                  <w:sz w:val="17"/>
                </w:rPr>
                <w:t>Mine Safety Disclosures</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17"/>
              </w:rPr>
              <w:t>3</w:t>
            </w:r>
          </w:p>
        </w:tc>
      </w:tr>
      <w:tr>
        <w:trPr/>
        <w:tc>
          <w:tcPr>
            <w:tcW w:w="650" w:type="dxa"/>
            <w:tcBorders/>
            <w:shd w:fill="FFFFFF" w:val="clear"/>
            <w:vAlign w:val="center"/>
          </w:tcPr>
          <w:p>
            <w:pPr>
              <w:pStyle w:val="TableContents"/>
              <w:spacing w:before="0" w:after="283"/>
              <w:rPr>
                <w:caps w:val="false"/>
                <w:smallCaps w:val="false"/>
              </w:rPr>
            </w:pPr>
            <w:r>
              <w:rPr>
                <w:caps w:val="false"/>
                <w:smallCaps w:val="false"/>
              </w:rPr>
              <w:t> </w:t>
            </w:r>
          </w:p>
        </w:tc>
        <w:tc>
          <w:tcPr>
            <w:tcW w:w="7745" w:type="dxa"/>
            <w:tcBorders/>
            <w:shd w:fill="FFFFFF" w:val="clear"/>
            <w:vAlign w:val="center"/>
          </w:tcPr>
          <w:p>
            <w:pPr>
              <w:pStyle w:val="TableContents"/>
              <w:spacing w:before="0" w:after="283"/>
              <w:rPr>
                <w:caps w:val="false"/>
                <w:smallCaps w:val="false"/>
              </w:rPr>
            </w:pPr>
            <w:r>
              <w:rPr>
                <w:caps w:val="false"/>
                <w:smallCaps w:val="false"/>
              </w:rPr>
              <w:t> </w:t>
            </w:r>
          </w:p>
        </w:tc>
        <w:tc>
          <w:tcPr>
            <w:tcW w:w="395" w:type="dxa"/>
            <w:tcBorders/>
            <w:shd w:fill="FFFFFF" w:val="clear"/>
            <w:vAlign w:val="center"/>
          </w:tcPr>
          <w:p>
            <w:pPr>
              <w:pStyle w:val="TableContents"/>
              <w:spacing w:before="0" w:after="283"/>
              <w:rPr>
                <w:caps w:val="false"/>
                <w:smallCaps w:val="false"/>
              </w:rPr>
            </w:pPr>
            <w:r>
              <w:rPr>
                <w:caps w:val="false"/>
                <w:smallCaps w:val="false"/>
              </w:rPr>
              <w:t> </w:t>
            </w:r>
          </w:p>
        </w:tc>
      </w:tr>
      <w:tr>
        <w:trPr/>
        <w:tc>
          <w:tcPr>
            <w:tcW w:w="650" w:type="dxa"/>
            <w:tcBorders/>
            <w:shd w:fill="CCEEFF" w:val="clear"/>
            <w:vAlign w:val="center"/>
          </w:tcPr>
          <w:p>
            <w:pPr>
              <w:pStyle w:val="TableContents"/>
              <w:spacing w:before="0" w:after="283"/>
              <w:rPr>
                <w:caps w:val="false"/>
                <w:smallCaps w:val="false"/>
              </w:rPr>
            </w:pPr>
            <w:r>
              <w:rPr>
                <w:caps w:val="false"/>
                <w:smallCaps w:val="false"/>
              </w:rPr>
              <w:t> </w:t>
            </w:r>
          </w:p>
        </w:tc>
        <w:tc>
          <w:tcPr>
            <w:tcW w:w="7745" w:type="dxa"/>
            <w:tcBorders/>
            <w:shd w:fill="CCEEFF" w:val="clear"/>
            <w:vAlign w:val="center"/>
          </w:tcPr>
          <w:p>
            <w:pPr>
              <w:pStyle w:val="TableContents"/>
              <w:spacing w:before="0" w:after="283"/>
              <w:rPr/>
            </w:pPr>
            <w:hyperlink w:anchor="a_031">
              <w:r>
                <w:rPr>
                  <w:rStyle w:val="InternetLink"/>
                  <w:rFonts w:ascii="Times New Roman;Times;Serif" w:hAnsi="Times New Roman;Times;Serif"/>
                  <w:b/>
                  <w:i w:val="false"/>
                  <w:caps w:val="false"/>
                  <w:smallCaps w:val="false"/>
                  <w:sz w:val="20"/>
                </w:rPr>
                <w:t>PART II</w:t>
              </w:r>
            </w:hyperlink>
          </w:p>
        </w:tc>
        <w:tc>
          <w:tcPr>
            <w:tcW w:w="395" w:type="dxa"/>
            <w:tcBorders/>
            <w:shd w:fill="CCEEFF" w:val="clear"/>
            <w:vAlign w:val="center"/>
          </w:tcPr>
          <w:p>
            <w:pPr>
              <w:pStyle w:val="TableContents"/>
              <w:spacing w:before="0" w:after="283"/>
              <w:rPr>
                <w:caps w:val="false"/>
                <w:smallCaps w:val="false"/>
              </w:rPr>
            </w:pPr>
            <w:r>
              <w:rPr>
                <w:caps w:val="false"/>
                <w:smallCaps w:val="false"/>
              </w:rPr>
              <w:t> </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5.</w:t>
            </w:r>
          </w:p>
        </w:tc>
        <w:tc>
          <w:tcPr>
            <w:tcW w:w="7745" w:type="dxa"/>
            <w:tcBorders/>
            <w:shd w:fill="FFFFFF" w:val="clear"/>
            <w:vAlign w:val="center"/>
          </w:tcPr>
          <w:p>
            <w:pPr>
              <w:pStyle w:val="TableContents"/>
              <w:spacing w:before="0" w:after="283"/>
              <w:rPr/>
            </w:pPr>
            <w:hyperlink w:anchor="a_008">
              <w:r>
                <w:rPr>
                  <w:rStyle w:val="InternetLink"/>
                  <w:rFonts w:ascii="Times New Roman;Times;Serif" w:hAnsi="Times New Roman;Times;Serif"/>
                  <w:b w:val="false"/>
                  <w:i w:val="false"/>
                  <w:caps w:val="false"/>
                  <w:smallCaps w:val="false"/>
                  <w:sz w:val="17"/>
                </w:rPr>
                <w:t>Market for Registrant’s Common Equity, Related Stockholder Matters and Issuer Purchases of Equity Securities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17"/>
              </w:rPr>
              <w:t>4</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6.</w:t>
            </w:r>
          </w:p>
        </w:tc>
        <w:tc>
          <w:tcPr>
            <w:tcW w:w="7745" w:type="dxa"/>
            <w:tcBorders/>
            <w:shd w:fill="CCEEFF" w:val="clear"/>
            <w:vAlign w:val="center"/>
          </w:tcPr>
          <w:p>
            <w:pPr>
              <w:pStyle w:val="TableContents"/>
              <w:spacing w:before="0" w:after="283"/>
              <w:rPr/>
            </w:pPr>
            <w:hyperlink w:anchor="a_009">
              <w:r>
                <w:rPr>
                  <w:rStyle w:val="InternetLink"/>
                  <w:rFonts w:ascii="Times New Roman;Times;Serif" w:hAnsi="Times New Roman;Times;Serif"/>
                  <w:b w:val="false"/>
                  <w:i w:val="false"/>
                  <w:caps w:val="false"/>
                  <w:smallCaps w:val="false"/>
                  <w:sz w:val="17"/>
                </w:rPr>
                <w:t>Selected Financial Data</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17"/>
              </w:rPr>
              <w:t>4</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7.</w:t>
            </w:r>
          </w:p>
        </w:tc>
        <w:tc>
          <w:tcPr>
            <w:tcW w:w="7745" w:type="dxa"/>
            <w:tcBorders/>
            <w:shd w:fill="FFFFFF" w:val="clear"/>
            <w:vAlign w:val="center"/>
          </w:tcPr>
          <w:p>
            <w:pPr>
              <w:pStyle w:val="TableContents"/>
              <w:spacing w:before="0" w:after="283"/>
              <w:rPr/>
            </w:pPr>
            <w:hyperlink w:anchor="a_010">
              <w:r>
                <w:rPr>
                  <w:rStyle w:val="InternetLink"/>
                  <w:rFonts w:ascii="Times New Roman;Times;Serif" w:hAnsi="Times New Roman;Times;Serif"/>
                  <w:b w:val="false"/>
                  <w:i w:val="false"/>
                  <w:caps w:val="false"/>
                  <w:smallCaps w:val="false"/>
                  <w:sz w:val="17"/>
                </w:rPr>
                <w:t>Management’s Discussion and Analysis of Financial Condition and Results of Operations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17"/>
              </w:rPr>
              <w:t>5</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7A.</w:t>
            </w:r>
          </w:p>
        </w:tc>
        <w:tc>
          <w:tcPr>
            <w:tcW w:w="7745" w:type="dxa"/>
            <w:tcBorders/>
            <w:shd w:fill="CCEEFF" w:val="clear"/>
            <w:vAlign w:val="center"/>
          </w:tcPr>
          <w:p>
            <w:pPr>
              <w:pStyle w:val="TableContents"/>
              <w:spacing w:before="0" w:after="283"/>
              <w:rPr/>
            </w:pPr>
            <w:hyperlink w:anchor="a_011">
              <w:r>
                <w:rPr>
                  <w:rStyle w:val="InternetLink"/>
                  <w:rFonts w:ascii="Times New Roman;Times;Serif" w:hAnsi="Times New Roman;Times;Serif"/>
                  <w:b w:val="false"/>
                  <w:i w:val="false"/>
                  <w:caps w:val="false"/>
                  <w:smallCaps w:val="false"/>
                  <w:sz w:val="17"/>
                </w:rPr>
                <w:t>Quantitative and Qualitative Disclosure About Market Risk</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8.</w:t>
            </w:r>
          </w:p>
        </w:tc>
        <w:tc>
          <w:tcPr>
            <w:tcW w:w="7745" w:type="dxa"/>
            <w:tcBorders/>
            <w:shd w:fill="FFFFFF" w:val="clear"/>
            <w:vAlign w:val="center"/>
          </w:tcPr>
          <w:p>
            <w:pPr>
              <w:pStyle w:val="TableContents"/>
              <w:spacing w:before="0" w:after="283"/>
              <w:rPr/>
            </w:pPr>
            <w:hyperlink w:anchor="a_012">
              <w:r>
                <w:rPr>
                  <w:rStyle w:val="InternetLink"/>
                  <w:rFonts w:ascii="Times New Roman;Times;Serif" w:hAnsi="Times New Roman;Times;Serif"/>
                  <w:b w:val="false"/>
                  <w:i w:val="false"/>
                  <w:caps w:val="false"/>
                  <w:smallCaps w:val="false"/>
                  <w:sz w:val="17"/>
                </w:rPr>
                <w:t>Financial Statements and Supplementary Data</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9.</w:t>
            </w:r>
          </w:p>
        </w:tc>
        <w:tc>
          <w:tcPr>
            <w:tcW w:w="7745" w:type="dxa"/>
            <w:tcBorders/>
            <w:shd w:fill="CCEEFF" w:val="clear"/>
            <w:vAlign w:val="center"/>
          </w:tcPr>
          <w:p>
            <w:pPr>
              <w:pStyle w:val="TableContents"/>
              <w:spacing w:before="0" w:after="283"/>
              <w:rPr/>
            </w:pPr>
            <w:hyperlink w:anchor="a_013">
              <w:r>
                <w:rPr>
                  <w:rStyle w:val="InternetLink"/>
                  <w:rFonts w:ascii="Times New Roman;Times;Serif" w:hAnsi="Times New Roman;Times;Serif"/>
                  <w:b w:val="false"/>
                  <w:i w:val="false"/>
                  <w:caps w:val="false"/>
                  <w:smallCaps w:val="false"/>
                  <w:sz w:val="17"/>
                </w:rPr>
                <w:t>Changes in and Disagreements with Accountants on Accounting and Financial Disclosure</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9A.</w:t>
            </w:r>
          </w:p>
        </w:tc>
        <w:tc>
          <w:tcPr>
            <w:tcW w:w="7745" w:type="dxa"/>
            <w:tcBorders/>
            <w:shd w:fill="FFFFFF" w:val="clear"/>
            <w:vAlign w:val="center"/>
          </w:tcPr>
          <w:p>
            <w:pPr>
              <w:pStyle w:val="TableContents"/>
              <w:spacing w:before="0" w:after="283"/>
              <w:rPr/>
            </w:pPr>
            <w:hyperlink w:anchor="a_014">
              <w:r>
                <w:rPr>
                  <w:rStyle w:val="InternetLink"/>
                  <w:rFonts w:ascii="Times New Roman;Times;Serif" w:hAnsi="Times New Roman;Times;Serif"/>
                  <w:b w:val="false"/>
                  <w:i w:val="false"/>
                  <w:caps w:val="false"/>
                  <w:smallCaps w:val="false"/>
                  <w:sz w:val="17"/>
                </w:rPr>
                <w:t>Controls and Procedures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9B.</w:t>
            </w:r>
          </w:p>
        </w:tc>
        <w:tc>
          <w:tcPr>
            <w:tcW w:w="7745" w:type="dxa"/>
            <w:tcBorders/>
            <w:shd w:fill="CCEEFF" w:val="clear"/>
            <w:vAlign w:val="center"/>
          </w:tcPr>
          <w:p>
            <w:pPr>
              <w:pStyle w:val="TableContents"/>
              <w:spacing w:before="0" w:after="283"/>
              <w:rPr/>
            </w:pPr>
            <w:hyperlink w:anchor="a_015">
              <w:r>
                <w:rPr>
                  <w:rStyle w:val="InternetLink"/>
                  <w:rFonts w:ascii="Times New Roman;Times;Serif" w:hAnsi="Times New Roman;Times;Serif"/>
                  <w:b w:val="false"/>
                  <w:i w:val="false"/>
                  <w:caps w:val="false"/>
                  <w:smallCaps w:val="false"/>
                  <w:sz w:val="17"/>
                </w:rPr>
                <w:t>Other Information</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50" w:type="dxa"/>
            <w:tcBorders/>
            <w:shd w:fill="FFFFFF" w:val="clear"/>
            <w:vAlign w:val="center"/>
          </w:tcPr>
          <w:p>
            <w:pPr>
              <w:pStyle w:val="TableContents"/>
              <w:spacing w:before="0" w:after="283"/>
              <w:rPr>
                <w:caps w:val="false"/>
                <w:smallCaps w:val="false"/>
              </w:rPr>
            </w:pPr>
            <w:r>
              <w:rPr>
                <w:caps w:val="false"/>
                <w:smallCaps w:val="false"/>
              </w:rPr>
              <w:t> </w:t>
            </w:r>
          </w:p>
        </w:tc>
        <w:tc>
          <w:tcPr>
            <w:tcW w:w="7745" w:type="dxa"/>
            <w:tcBorders/>
            <w:shd w:fill="FFFFFF" w:val="clear"/>
            <w:vAlign w:val="center"/>
          </w:tcPr>
          <w:p>
            <w:pPr>
              <w:pStyle w:val="TableContents"/>
              <w:spacing w:before="0" w:after="283"/>
              <w:rPr>
                <w:caps w:val="false"/>
                <w:smallCaps w:val="false"/>
              </w:rPr>
            </w:pPr>
            <w:r>
              <w:rPr>
                <w:caps w:val="false"/>
                <w:smallCaps w:val="false"/>
              </w:rPr>
              <w:t> </w:t>
            </w:r>
          </w:p>
        </w:tc>
        <w:tc>
          <w:tcPr>
            <w:tcW w:w="395" w:type="dxa"/>
            <w:tcBorders/>
            <w:shd w:fill="FFFFFF" w:val="clear"/>
            <w:vAlign w:val="center"/>
          </w:tcPr>
          <w:p>
            <w:pPr>
              <w:pStyle w:val="TableContents"/>
              <w:spacing w:before="0" w:after="283"/>
              <w:rPr>
                <w:caps w:val="false"/>
                <w:smallCaps w:val="false"/>
              </w:rPr>
            </w:pPr>
            <w:r>
              <w:rPr>
                <w:caps w:val="false"/>
                <w:smallCaps w:val="false"/>
              </w:rPr>
              <w:t> </w:t>
            </w:r>
          </w:p>
        </w:tc>
      </w:tr>
      <w:tr>
        <w:trPr/>
        <w:tc>
          <w:tcPr>
            <w:tcW w:w="650" w:type="dxa"/>
            <w:tcBorders/>
            <w:shd w:fill="CCEEFF" w:val="clear"/>
            <w:vAlign w:val="center"/>
          </w:tcPr>
          <w:p>
            <w:pPr>
              <w:pStyle w:val="TableContents"/>
              <w:spacing w:before="0" w:after="283"/>
              <w:rPr>
                <w:caps w:val="false"/>
                <w:smallCaps w:val="false"/>
              </w:rPr>
            </w:pPr>
            <w:r>
              <w:rPr>
                <w:caps w:val="false"/>
                <w:smallCaps w:val="false"/>
              </w:rPr>
              <w:t> </w:t>
            </w:r>
          </w:p>
        </w:tc>
        <w:tc>
          <w:tcPr>
            <w:tcW w:w="7745" w:type="dxa"/>
            <w:tcBorders/>
            <w:shd w:fill="CCEEFF" w:val="clear"/>
            <w:vAlign w:val="center"/>
          </w:tcPr>
          <w:p>
            <w:pPr>
              <w:pStyle w:val="TableContents"/>
              <w:spacing w:before="0" w:after="283"/>
              <w:rPr/>
            </w:pPr>
            <w:hyperlink w:anchor="a_016">
              <w:r>
                <w:rPr>
                  <w:rStyle w:val="InternetLink"/>
                  <w:rFonts w:ascii="Times New Roman;Times;Serif" w:hAnsi="Times New Roman;Times;Serif"/>
                  <w:b/>
                  <w:i w:val="false"/>
                  <w:caps w:val="false"/>
                  <w:smallCaps w:val="false"/>
                  <w:sz w:val="20"/>
                </w:rPr>
                <w:t>PART III</w:t>
              </w:r>
            </w:hyperlink>
          </w:p>
        </w:tc>
        <w:tc>
          <w:tcPr>
            <w:tcW w:w="395" w:type="dxa"/>
            <w:tcBorders/>
            <w:shd w:fill="CCEEFF" w:val="clear"/>
            <w:vAlign w:val="center"/>
          </w:tcPr>
          <w:p>
            <w:pPr>
              <w:pStyle w:val="TableContents"/>
              <w:spacing w:before="0" w:after="283"/>
              <w:jc w:val="right"/>
              <w:rPr>
                <w:caps w:val="false"/>
                <w:smallCaps w:val="false"/>
              </w:rPr>
            </w:pPr>
            <w:r>
              <w:rPr>
                <w:caps w:val="false"/>
                <w:smallCaps w:val="false"/>
              </w:rPr>
              <w:t> </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10.</w:t>
            </w:r>
          </w:p>
        </w:tc>
        <w:tc>
          <w:tcPr>
            <w:tcW w:w="7745" w:type="dxa"/>
            <w:tcBorders/>
            <w:shd w:fill="FFFFFF" w:val="clear"/>
            <w:vAlign w:val="center"/>
          </w:tcPr>
          <w:p>
            <w:pPr>
              <w:pStyle w:val="TableContents"/>
              <w:spacing w:before="0" w:after="283"/>
              <w:rPr/>
            </w:pPr>
            <w:hyperlink w:anchor="a_017">
              <w:r>
                <w:rPr>
                  <w:rStyle w:val="InternetLink"/>
                  <w:rFonts w:ascii="Times New Roman;Times;Serif" w:hAnsi="Times New Roman;Times;Serif"/>
                  <w:b w:val="false"/>
                  <w:i w:val="false"/>
                  <w:caps w:val="false"/>
                  <w:smallCaps w:val="false"/>
                  <w:sz w:val="17"/>
                </w:rPr>
                <w:t>Directors, Executive Officers and Corporate Governance</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11.</w:t>
            </w:r>
          </w:p>
        </w:tc>
        <w:tc>
          <w:tcPr>
            <w:tcW w:w="7745" w:type="dxa"/>
            <w:tcBorders/>
            <w:shd w:fill="CCEEFF" w:val="clear"/>
            <w:vAlign w:val="center"/>
          </w:tcPr>
          <w:p>
            <w:pPr>
              <w:pStyle w:val="TableContents"/>
              <w:spacing w:before="0" w:after="283"/>
              <w:rPr/>
            </w:pPr>
            <w:hyperlink w:anchor="a_018">
              <w:r>
                <w:rPr>
                  <w:rStyle w:val="InternetLink"/>
                  <w:rFonts w:ascii="Times New Roman;Times;Serif" w:hAnsi="Times New Roman;Times;Serif"/>
                  <w:b w:val="false"/>
                  <w:i w:val="false"/>
                  <w:caps w:val="false"/>
                  <w:smallCaps w:val="false"/>
                  <w:sz w:val="17"/>
                </w:rPr>
                <w:t>Executive Compensation</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46</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12.</w:t>
            </w:r>
          </w:p>
        </w:tc>
        <w:tc>
          <w:tcPr>
            <w:tcW w:w="7745" w:type="dxa"/>
            <w:tcBorders/>
            <w:shd w:fill="FFFFFF" w:val="clear"/>
            <w:vAlign w:val="center"/>
          </w:tcPr>
          <w:p>
            <w:pPr>
              <w:pStyle w:val="TableContents"/>
              <w:spacing w:before="0" w:after="283"/>
              <w:rPr/>
            </w:pPr>
            <w:hyperlink w:anchor="a_019">
              <w:r>
                <w:rPr>
                  <w:rStyle w:val="InternetLink"/>
                  <w:rFonts w:ascii="Times New Roman;Times;Serif" w:hAnsi="Times New Roman;Times;Serif"/>
                  <w:b w:val="false"/>
                  <w:i w:val="false"/>
                  <w:caps w:val="false"/>
                  <w:smallCaps w:val="false"/>
                  <w:sz w:val="17"/>
                </w:rPr>
                <w:t>Security Ownership of Certain Beneficial Owners and Management and Related Stockholder Matters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46</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13.</w:t>
            </w:r>
          </w:p>
        </w:tc>
        <w:tc>
          <w:tcPr>
            <w:tcW w:w="7745" w:type="dxa"/>
            <w:tcBorders/>
            <w:shd w:fill="CCEEFF" w:val="clear"/>
            <w:vAlign w:val="center"/>
          </w:tcPr>
          <w:p>
            <w:pPr>
              <w:pStyle w:val="TableContents"/>
              <w:spacing w:before="0" w:after="283"/>
              <w:rPr/>
            </w:pPr>
            <w:hyperlink w:anchor="a_020">
              <w:r>
                <w:rPr>
                  <w:rStyle w:val="InternetLink"/>
                  <w:rFonts w:ascii="Times New Roman;Times;Serif" w:hAnsi="Times New Roman;Times;Serif"/>
                  <w:b w:val="false"/>
                  <w:i w:val="false"/>
                  <w:caps w:val="false"/>
                  <w:smallCaps w:val="false"/>
                  <w:sz w:val="17"/>
                </w:rPr>
                <w:t>Certain Relationships and Related Transactions, and Director Independence</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46</w:t>
            </w:r>
          </w:p>
        </w:tc>
      </w:tr>
      <w:tr>
        <w:trPr/>
        <w:tc>
          <w:tcPr>
            <w:tcW w:w="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14.</w:t>
            </w:r>
          </w:p>
        </w:tc>
        <w:tc>
          <w:tcPr>
            <w:tcW w:w="7745" w:type="dxa"/>
            <w:tcBorders/>
            <w:shd w:fill="FFFFFF" w:val="clear"/>
            <w:vAlign w:val="center"/>
          </w:tcPr>
          <w:p>
            <w:pPr>
              <w:pStyle w:val="TableContents"/>
              <w:spacing w:before="0" w:after="283"/>
              <w:rPr/>
            </w:pPr>
            <w:hyperlink w:anchor="a_021">
              <w:r>
                <w:rPr>
                  <w:rStyle w:val="InternetLink"/>
                  <w:rFonts w:ascii="Times New Roman;Times;Serif" w:hAnsi="Times New Roman;Times;Serif"/>
                  <w:b w:val="false"/>
                  <w:i w:val="false"/>
                  <w:caps w:val="false"/>
                  <w:smallCaps w:val="false"/>
                  <w:sz w:val="17"/>
                </w:rPr>
                <w:t>Principal Accountant Fees and Services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46</w:t>
            </w:r>
          </w:p>
        </w:tc>
      </w:tr>
      <w:tr>
        <w:trPr/>
        <w:tc>
          <w:tcPr>
            <w:tcW w:w="650" w:type="dxa"/>
            <w:tcBorders/>
            <w:shd w:fill="CCEEFF" w:val="clear"/>
            <w:vAlign w:val="center"/>
          </w:tcPr>
          <w:p>
            <w:pPr>
              <w:pStyle w:val="TableContents"/>
              <w:spacing w:before="0" w:after="283"/>
              <w:rPr>
                <w:caps w:val="false"/>
                <w:smallCaps w:val="false"/>
              </w:rPr>
            </w:pPr>
            <w:r>
              <w:rPr>
                <w:caps w:val="false"/>
                <w:smallCaps w:val="false"/>
              </w:rPr>
              <w:t> </w:t>
            </w:r>
          </w:p>
        </w:tc>
        <w:tc>
          <w:tcPr>
            <w:tcW w:w="7745" w:type="dxa"/>
            <w:tcBorders/>
            <w:shd w:fill="CCEEFF" w:val="clear"/>
            <w:vAlign w:val="center"/>
          </w:tcPr>
          <w:p>
            <w:pPr>
              <w:pStyle w:val="TableContents"/>
              <w:spacing w:before="0" w:after="283"/>
              <w:rPr>
                <w:caps w:val="false"/>
                <w:smallCaps w:val="false"/>
              </w:rPr>
            </w:pPr>
            <w:r>
              <w:rPr>
                <w:caps w:val="false"/>
                <w:smallCaps w:val="false"/>
              </w:rPr>
              <w:t> </w:t>
            </w:r>
          </w:p>
        </w:tc>
        <w:tc>
          <w:tcPr>
            <w:tcW w:w="395" w:type="dxa"/>
            <w:tcBorders/>
            <w:shd w:fill="CCEEFF" w:val="clear"/>
            <w:vAlign w:val="center"/>
          </w:tcPr>
          <w:p>
            <w:pPr>
              <w:pStyle w:val="TableContents"/>
              <w:spacing w:before="0" w:after="283"/>
              <w:jc w:val="right"/>
              <w:rPr>
                <w:caps w:val="false"/>
                <w:smallCaps w:val="false"/>
              </w:rPr>
            </w:pPr>
            <w:r>
              <w:rPr>
                <w:caps w:val="false"/>
                <w:smallCaps w:val="false"/>
              </w:rPr>
              <w:t> </w:t>
            </w:r>
          </w:p>
        </w:tc>
      </w:tr>
      <w:tr>
        <w:trPr/>
        <w:tc>
          <w:tcPr>
            <w:tcW w:w="650" w:type="dxa"/>
            <w:tcBorders/>
            <w:shd w:fill="FFFFFF" w:val="clear"/>
            <w:vAlign w:val="center"/>
          </w:tcPr>
          <w:p>
            <w:pPr>
              <w:pStyle w:val="TableContents"/>
              <w:spacing w:before="0" w:after="283"/>
              <w:rPr>
                <w:caps w:val="false"/>
                <w:smallCaps w:val="false"/>
              </w:rPr>
            </w:pPr>
            <w:r>
              <w:rPr>
                <w:caps w:val="false"/>
                <w:smallCaps w:val="false"/>
              </w:rPr>
              <w:t> </w:t>
            </w:r>
          </w:p>
        </w:tc>
        <w:tc>
          <w:tcPr>
            <w:tcW w:w="7745" w:type="dxa"/>
            <w:tcBorders/>
            <w:shd w:fill="FFFFFF" w:val="clear"/>
            <w:vAlign w:val="center"/>
          </w:tcPr>
          <w:p>
            <w:pPr>
              <w:pStyle w:val="TableContents"/>
              <w:spacing w:before="0" w:after="283"/>
              <w:rPr/>
            </w:pPr>
            <w:hyperlink w:anchor="a_022">
              <w:r>
                <w:rPr>
                  <w:rStyle w:val="InternetLink"/>
                  <w:rFonts w:ascii="Times New Roman;Times;Serif" w:hAnsi="Times New Roman;Times;Serif"/>
                  <w:b/>
                  <w:i w:val="false"/>
                  <w:caps w:val="false"/>
                  <w:smallCaps w:val="false"/>
                  <w:sz w:val="17"/>
                </w:rPr>
                <w:t>PART IV</w:t>
              </w:r>
            </w:hyperlink>
          </w:p>
        </w:tc>
        <w:tc>
          <w:tcPr>
            <w:tcW w:w="39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Item 15.</w:t>
            </w:r>
          </w:p>
        </w:tc>
        <w:tc>
          <w:tcPr>
            <w:tcW w:w="7745" w:type="dxa"/>
            <w:tcBorders/>
            <w:shd w:fill="CCEEFF" w:val="clear"/>
            <w:vAlign w:val="center"/>
          </w:tcPr>
          <w:p>
            <w:pPr>
              <w:pStyle w:val="TableContents"/>
              <w:spacing w:before="0" w:after="283"/>
              <w:rPr/>
            </w:pPr>
            <w:hyperlink w:anchor="a_023">
              <w:r>
                <w:rPr>
                  <w:rStyle w:val="InternetLink"/>
                  <w:rFonts w:ascii="Times New Roman;Times;Serif" w:hAnsi="Times New Roman;Times;Serif"/>
                  <w:b w:val="false"/>
                  <w:i w:val="false"/>
                  <w:caps w:val="false"/>
                  <w:smallCaps w:val="false"/>
                  <w:sz w:val="17"/>
                </w:rPr>
                <w:t>Exhibits, Financial Statement Schedules</w:t>
              </w:r>
            </w:hyperlink>
          </w:p>
        </w:tc>
        <w:tc>
          <w:tcPr>
            <w:tcW w:w="3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47</w:t>
            </w:r>
          </w:p>
        </w:tc>
      </w:tr>
      <w:tr>
        <w:trPr/>
        <w:tc>
          <w:tcPr>
            <w:tcW w:w="8395" w:type="dxa"/>
            <w:gridSpan w:val="2"/>
            <w:tcBorders/>
            <w:shd w:fill="FFFFFF" w:val="clear"/>
            <w:vAlign w:val="center"/>
          </w:tcPr>
          <w:p>
            <w:pPr>
              <w:pStyle w:val="TableContents"/>
              <w:spacing w:before="0" w:after="283"/>
              <w:rPr/>
            </w:pPr>
            <w:hyperlink w:anchor="a_029">
              <w:r>
                <w:rPr>
                  <w:rStyle w:val="InternetLink"/>
                  <w:rFonts w:ascii="Times New Roman;Times;Serif" w:hAnsi="Times New Roman;Times;Serif"/>
                  <w:b w:val="false"/>
                  <w:i w:val="false"/>
                  <w:caps w:val="false"/>
                  <w:smallCaps w:val="false"/>
                  <w:sz w:val="17"/>
                </w:rPr>
                <w:t>SIGNATURES</w:t>
              </w:r>
            </w:hyperlink>
          </w:p>
        </w:tc>
        <w:tc>
          <w:tcPr>
            <w:tcW w:w="3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48</w:t>
            </w:r>
          </w:p>
        </w:tc>
      </w:tr>
    </w:tbl>
    <w:p>
      <w:pPr>
        <w:pStyle w:val="TextBody"/>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As used in this Annual Report, unless indicated or the context requires otherwise, the terms the “Company”, “Harrow”, “we”, “us” and “our” refer to Harrow Health, Inc. and its consolidated subsidiaries.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prior acquisitions of ImprimisRx NJ, LLC dba ImprimisRx (“RxNJ”), Park Compounding, Inc (“Park”)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registered trademarks, copyrights and/or pending trademark and copyright applications for a number of proprietary names in the United States, including, but not limited to: Imprimis</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ImprimisRx</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Harrow Health</w:t>
      </w:r>
      <w:r>
        <w:rPr>
          <w:rFonts w:ascii="Times New Roman;Times;Serif" w:hAnsi="Times New Roman;Times;Serif"/>
          <w:b w:val="false"/>
          <w:i w:val="false"/>
          <w:caps w:val="false"/>
          <w:smallCaps w:val="false"/>
          <w:position w:val="5"/>
          <w:sz w:val="13"/>
          <w:sz w:val="17"/>
        </w:rPr>
        <w:t>tm</w:t>
      </w:r>
      <w:r>
        <w:rPr>
          <w:rFonts w:ascii="Times New Roman;Times;Serif" w:hAnsi="Times New Roman;Times;Serif"/>
          <w:b w:val="false"/>
          <w:i w:val="false"/>
          <w:caps w:val="false"/>
          <w:smallCaps w:val="false"/>
          <w:sz w:val="17"/>
        </w:rPr>
        <w:t>, Dropless</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LessDrops</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Dropless Cataract Surgery</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Dropless Cataract Therapy</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Dropless Therapy</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MKO Melt™</w:t>
      </w:r>
      <w:r>
        <w:rPr>
          <w:rFonts w:ascii="Times New Roman;Times;Serif" w:hAnsi="Times New Roman;Times;Serif"/>
          <w:b w:val="false"/>
          <w:i w:val="false"/>
          <w:caps w:val="false"/>
          <w:smallCaps w:val="false"/>
          <w:sz w:val="17"/>
          <w:u w:val="single"/>
        </w:rPr>
        <w:t>, and</w:t>
      </w:r>
      <w:r>
        <w:rPr>
          <w:rFonts w:ascii="Times New Roman;Times;Serif" w:hAnsi="Times New Roman;Times;Serif"/>
          <w:b w:val="false"/>
          <w:i w:val="false"/>
          <w:caps w:val="false"/>
          <w:smallCaps w:val="false"/>
          <w:sz w:val="17"/>
        </w:rPr>
        <w:t xml:space="preserve"> Simple Drops</w:t>
      </w:r>
      <w:r>
        <w:rPr>
          <w:rFonts w:ascii="Times New Roman;Times;Serif" w:hAnsi="Times New Roman;Times;Serif"/>
          <w:b w:val="false"/>
          <w:i w:val="false"/>
          <w:caps w:val="false"/>
          <w:smallCaps w:val="false"/>
          <w:position w:val="5"/>
          <w:sz w:val="13"/>
          <w:sz w:val="17"/>
        </w:rPr>
        <w:t>tm.</w:t>
      </w:r>
      <w:r>
        <w:rPr>
          <w:rFonts w:ascii="Times New Roman;Times;Serif" w:hAnsi="Times New Roman;Times;Serif"/>
          <w:b w:val="false"/>
          <w:i w:val="false"/>
          <w:caps w:val="false"/>
          <w:smallCaps w:val="false"/>
          <w:sz w:val="17"/>
        </w:rPr>
        <w:t xml:space="preserve">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pStyle w:val="TextBody"/>
        <w:ind w:left="0" w:right="0" w:firstLine="720"/>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bookmarkStart w:id="2" w:name="a_001"/>
      <w:bookmarkEnd w:id="2"/>
      <w:r>
        <w:rPr>
          <w:rFonts w:ascii="Times New Roman;Times;Serif" w:hAnsi="Times New Roman;Times;Serif"/>
          <w:b/>
          <w:i w:val="false"/>
          <w:caps w:val="false"/>
          <w:smallCaps w:val="false"/>
          <w:sz w:val="17"/>
        </w:rPr>
        <w:t>PART I</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3" w:name="a_002"/>
      <w:bookmarkEnd w:id="3"/>
      <w:r>
        <w:rPr>
          <w:rFonts w:ascii="Times New Roman;Times;Serif" w:hAnsi="Times New Roman;Times;Serif"/>
          <w:b/>
          <w:i w:val="false"/>
          <w:caps w:val="false"/>
          <w:smallCaps w:val="false"/>
          <w:sz w:val="17"/>
        </w:rPr>
        <w:t xml:space="preserve">ITEM 1. BUSINESS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Overview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business specializes in the development, production and sale of innovative medications that offer unique competitive advantages and serve unmet needs in the marketplace. Prior to 2017, the Company’s business was primarily focused on its ImprimisRx business, the nation’s leading ophthalmology pharmaceutical compounding business, and Park Compounding, Inc. (“Park”), a leading health and wellness compounding business. Since 2017, in addition to ImprimisRx and Park, we also have founded and have continuing equity positions in Eton Pharmaceuticals, Inc. (“Eton”), Surface Pharmaceuticals, Inc. (“Surface”), and Melt Pharmaceuticals, Inc. (“Melt”). In 2018, the Company also founded the subsidiaries Mayfield Pharmaceuticals, Inc. (“Mayfield”) and Radley Pharmaceuticals, Inc. (“Radley”). The Company owns royalty rights in certain 505(b)(2) drug candidates being developed by Eton, Surface, Melt, Radley and Mayfield. Harrow intends to continue to pursue its operations through subsidiaries for, and royalty rights in, new businesses that commercialize drug candidates that are internally developed or otherwise acquired or licensed from third parties.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Pharmaceutical Compounding Businesses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Pharmaceutical Compounding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Pharmaceutical compounding is the science of combining different active pharmaceutical ingredients (APIs), all of which are approved by the U.S. Food and Drug Administration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Compounding Facilities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operate three compounding facilities. Our New Jersey operations are comprised of two separate entities and facilities, one of which is registered with the FDA as an outsourcing facility (“NJOF”) under Section 503B of the FDCA. The other New Jersey facility (“RxNJ”), and Park Compounding, Inc. (“Park”), our California based pharmacy, are both licensed pharmacies operating under Sections 503A of the FDCA. All products that we sell, produce and dispense are made in the United States of America.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believe that, with our current compounding pharmacy facilities and licenses and the successful completion and FDA registration of NJOF, we have the infrastructure to scale our business appropriately under the current regulatory landscape and meet the potential growth in demand we are targeting. We plan to invest in one or more of our pharmacies to further their capacity and efficiencies. Also, we may seek to access greater pharmacy and production related redundancy and markets through acquisitions, partnerships or other strategic transactions.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ImprimisRx</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ImprimisRx is our ophthalmology focused pharmaceutical compounding business. We offer to over 3,000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current good manufacturing practices (or cGMPs) or other FDA guidance documents, in our FDA-registered NJOF outsourcing facility.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Ophthalmology Market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three largest markets in the ophthalmology market in the U.S. are ocular surgery, glaucoma and dry eye disease.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For any ocular procedure, a surgeon may require drugs for sedation, dilation, and inflammation and infection prevention. The cataract surgery market continues to experience significant growth. According to a 2018 iData report , 3.7 million cataract surgeries were performed in the U.S. in 2017. The National Eye Institute estimates that over 24 million Americans currently have cataracts and that this number will grow to 38 million by 2030 and reach more than 50 million by 2050. In addition to the 3.7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According to the Glaucoma Research Foundation, there are over 3 million Americans with glaucoma but only half are aware they have it. Open-angle glaucoma (the most common type of glaucoma) is a condition of increased intraocular pressure that causes gradual loss of sight. Glaucoma is incurable, and if not managed can lead to blindness. Generally, the first line of treatment consists of a prostaglandin analogue (PGA) eye drop regimen. As the disease progresses, non-PGA products are generally added as a second line treatment. Topical agents, other than PGAs, include beta blockers, alpha agonists, miotics and steroids. According to a 2013 article in Glaucoma Today, up to 50 percent of glaucoma patients require more than one drug following a few months of initial treatment and there is a direct correlation between the number of glaucoma bottles and decreased adherence; however the FDA has yet to approve a PGA combination product despite combination products including a PGA (Xalacom</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DuoTrav</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xml:space="preserve"> and Ganfort</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available outside of the U.S. According to a 2017 Market Scope report, the glaucoma pharmaceuticals market is expected to reach $5.3 billion in 2022.</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Dry eye occurs when the eye does not produce enough tears, or when the tears are not of the correct consistency and evaporate too quickly. Inflammation of the surface of the eye may also occur. We believe that dry eye disease, or DED, affects over 30 million people in the United States, and a major epidemiological study, the Beaver Dam Offspring Study, published in 2014 in the American Journal of Ophthalmology, reported that in a cohort of over 3,000 patients, DED was self-reported by 14.5% of the patients. According to a 2017 Market Scope report, the global dry eye treatments market is expected to grow from $3.7 billion in 2017 to $4.9 billion in 2022. Dry eye is among the most common conditions seen by eye care professionals.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Park Compounding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Park, our wholly owned subsidiary pharmacy based in Irvine, California, is focused on primarily on health and wellness related, customizable pharmaceutical compounding. Park dispenses sterile and non-sterile compounded medications prescribed by licensed practitioners when commercially available choices do not meet a patient’s needs. Park also produces and dispenses certain of our ophthalmology-based formulations.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Pharmaceutical Development Businesses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ownership positions in Eton, Surface, Melt, and Mayfield and hold royalty interests in certain of their drug candidates. These companies are pursuing market approval for their drug candidates under the FDCA, including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we formed our Radley and Mayfield subsidiaries We intend to pursue our business strategies though subsidiaries and royalty interests that will focus on the development and FDA approval of certain proprietary drug formulations that we currently own, will in-license/acquire and/or otherwise develop.</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Eton Pharmaceuticals, Inc.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Eton is a pharmaceutical company focused on developing and commercializing innovative products utilizing the FDA’s 505(b)(2) regulatory pathway. Its pipeline includes seven products in various stages of development across a variety of dosage forms. Eton’s pipeline is focused on innovative 505(b)(2) products and obtaining FDA marketing approval for currently marketed but unapproved drugs.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May 2017, we entered into two asset purchase and license agreements (the “Eton License Agreements”) with our then wholly owned subsidiary, Eton. Pursuant to the terms of the Eton License Agreements, we assigned and licensed to Eton certain intellectual property and related rights to develop, formulate, make, sell, and sub-license our proprietary formulations including synthetic corticotropin (Eton drug candidate CT-100) (collectively, the “Harrow Products”). Eton, by itself or through a development partner, intends to seek FDA approval for the commercialization of CT-100 through the Section 505(b)(2) regulatory pathway. If approved by the FDA, Eton is required to make royalty payments to us on CT-100. In addition to CT-100, Eton has acquired several additional drug candidates and ones that qualify under the Drug Efficacy Study Implementation (DESI) program which it plans to develop and commercialize. Harrow is only eligible to receive royalties on CT-100 (corticotropin) and will not receive royalties on any other drug candidates currently being developed by Eton.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June 2017, Eton closed an offering of its Series A Preferred Stock at $3.00 a share for gross proceeds of approximately $20 million (the “Series A Round”). At the time of closing we lost our controlling interest, and deconsolidated Eton from our consolidated financial statements. In November 2018, Eton closed on an initial public offering of 4,140,000 shares of its common stock at $6.00 a share for gross proceeds of approximately $24.8 million (the “Eton IPO”). Following the close of the Eton IPO, all shares of the Eton Series A Preferred Stock converted to Eton common stock. As of the date of this Annual Report, we own 3.5 million shares of Eton common stock, which we estimate is approximately 19.98% of the equity and voting interests issued and outstanding of Eton following the close of the Eton IPO. Eton’s common stock currently trades on the NASDAQ Global Market exchange under the ticker symbol “ETON”. Our CEO Mark Baum serves on the board of directors of Eton.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Surface Pharmaceuticals, Inc.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w:t>
      </w:r>
      <w:r>
        <w:rPr>
          <w:rFonts w:ascii="Times New Roman;Times;Serif" w:hAnsi="Times New Roman;Times;Serif"/>
          <w:b w:val="false"/>
          <w:i w:val="false"/>
          <w:caps w:val="false"/>
          <w:smallCaps w:val="false"/>
          <w:sz w:val="17"/>
          <w:highlight w:val="white"/>
        </w:rPr>
        <w:t xml:space="preserve">delivery vehicle known as Klarity Drops (“Klarity”), that was invented by Harrow board member and Surface’s chairman of the board and renowned ophthalmologist Dr. Richard Lindstrom. Klarity is designed to protect and rehabilitate the ocular surface pathology for patients with DED. Surface’s drug candidate SURF-300 is a patent-pending oral capsule that will target patients also suffering from DED signs and symptoms.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May and in July 2018, Surface closed on an offering of its Series A Preferred Stock at $3.30 a share for proceeds of approximately $21 million (the “Surface Series A Round”). At that time, we lost our controlling interest and deconsolidated Surface from our consolidated financial statements, and currently own approximately 30% of the issued and outstanding voting interests in Surface. Our CEO Mark Baum, and director, Richard Lindstrom serve on the board of directors of Surface.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Melt Pharmaceuticals, Inc.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Melt is a development-stage pharmaceutical company focused on the development and commercialization of proprietary non-intravenous (or IV) sedation and anesthesia therapeutics for human medical procedures in hospital, outpatient, and in-office settings. Melt intends to seek regulatory approval through the FDA’s 505(b)(2) regulatory pathway for its proprietary technologies, where possible. In December 2018, Harrow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believe to have multitudinous applications. Pursuant to the terms of the Melt Asset Purchase Agreement, Melt is required to make royalty payments to the Company up to eight percent (8%) of net sales of products described in the Melt Asset Purchase Agreement, while any patent rights remain outstanding, as well as other conditions.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Melt’s lead 505(b)(2) drug candidate is MELT-100, which </w:t>
      </w:r>
      <w:r>
        <w:rPr>
          <w:rFonts w:ascii="Times New Roman;Times;Serif" w:hAnsi="Times New Roman;Times;Serif"/>
          <w:b w:val="false"/>
          <w:i w:val="false"/>
          <w:caps w:val="false"/>
          <w:smallCaps w:val="false"/>
          <w:sz w:val="17"/>
          <w:highlight w:val="white"/>
        </w:rPr>
        <w:t xml:space="preserve">combines small, fixed doses of midazolam and ketamine in a dissolving tablet form, that is administered sublingually for conscious sedation during cataract surgery. </w:t>
      </w:r>
      <w:r>
        <w:rPr>
          <w:rFonts w:ascii="Times New Roman;Times;Serif" w:hAnsi="Times New Roman;Times;Serif"/>
          <w:b w:val="false"/>
          <w:i w:val="false"/>
          <w:caps w:val="false"/>
          <w:smallCaps w:val="false"/>
          <w:sz w:val="17"/>
        </w:rPr>
        <w:t xml:space="preserve">Based on our experience, we believe there is a strong patient preference for sedation medications delivered sublingually as opposed to the traditional route, which is through an IV method. </w:t>
      </w:r>
      <w:r>
        <w:rPr>
          <w:rFonts w:ascii="Times New Roman;Times;Serif" w:hAnsi="Times New Roman;Times;Serif"/>
          <w:b w:val="false"/>
          <w:i w:val="false"/>
          <w:caps w:val="false"/>
          <w:smallCaps w:val="false"/>
          <w:sz w:val="17"/>
          <w:highlight w:val="white"/>
        </w:rPr>
        <w:t>MELT-100 combines small, fixed doses of midazolam and ketamine in a dissolving tablet form, that is administered sublingually for conscious sedation during cataract surgery. MELT-100 is based on Imprimis’ existing MKO Melt formulation, which is comprised of the three active ingredients midazolam, ketamine and ondansetron. MKO Melt has an established history of use in cataract surgery, having been dispensed approximately 100,000 times as a compounded drug since 2016. We intend to leverage the real-world evidence generated by ImprimisRx and more than 400 U.S. cataract surgeons to inform and guide the design and execution of MELT-100’s clinical and commercial development programs.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7"/>
          <w:highlight w:val="white"/>
        </w:rPr>
        <w:t xml:space="preserve">Based solely on the more than 4 million cataract surgeries performed in the US in 2017, we believe the potential U.S. market opportunity for MELT-100 will be in excess of $1 billion. This estimate assumes that MELT-100 will be granted transitional pass-through reimbursement status, or be eligible for separate payment from the </w:t>
      </w:r>
      <w:r>
        <w:rPr>
          <w:rFonts w:ascii="Times New Roman;Times;Serif" w:hAnsi="Times New Roman;Times;Serif"/>
          <w:b w:val="false"/>
          <w:i w:val="false"/>
          <w:caps w:val="false"/>
          <w:smallCaps w:val="false"/>
          <w:sz w:val="17"/>
        </w:rPr>
        <w:t xml:space="preserve">Centers for Medicare and Medicaid Services, or CMS, </w:t>
      </w:r>
      <w:r>
        <w:rPr>
          <w:rFonts w:ascii="Times New Roman;Times;Serif" w:hAnsi="Times New Roman;Times;Serif"/>
          <w:b w:val="false"/>
          <w:i w:val="false"/>
          <w:caps w:val="false"/>
          <w:smallCaps w:val="false"/>
          <w:sz w:val="17"/>
          <w:highlight w:val="white"/>
        </w:rPr>
        <w:t xml:space="preserve">code under Medicare Part B. </w:t>
      </w:r>
      <w:r>
        <w:rPr>
          <w:rFonts w:ascii="Times New Roman;Times;Serif" w:hAnsi="Times New Roman;Times;Serif"/>
          <w:b w:val="false"/>
          <w:i w:val="false"/>
          <w:caps w:val="false"/>
          <w:smallCaps w:val="false"/>
          <w:sz w:val="17"/>
        </w:rPr>
        <w:t>Pass-through status is designed to promote innovation and allows for separate payment (</w:t>
      </w:r>
      <w:r>
        <w:rPr>
          <w:rFonts w:ascii="Times New Roman;Times;Serif" w:hAnsi="Times New Roman;Times;Serif"/>
          <w:b w:val="false"/>
          <w:i/>
          <w:caps w:val="false"/>
          <w:smallCaps w:val="false"/>
          <w:sz w:val="17"/>
        </w:rPr>
        <w:t>i.e.</w:t>
      </w:r>
      <w:r>
        <w:rPr>
          <w:rFonts w:ascii="Times New Roman;Times;Serif" w:hAnsi="Times New Roman;Times;Serif"/>
          <w:b w:val="false"/>
          <w:i w:val="false"/>
          <w:caps w:val="false"/>
          <w:smallCaps w:val="false"/>
          <w:sz w:val="17"/>
        </w:rPr>
        <w:t xml:space="preserve">, outside the packaged procedural payment) under Medicare Part B for certain new drugs and other medical technologies when used in hospital outpatient or ambulatory surgery centers and that meet well-established criteria specified by federal law and regulations governing Medicare spending. Pass through reimbursement status generally lasts for three years, and subsequently payment for the product is then included as part of the packaged payment for the associated procedure for Medicare patients. In the recently released 2019 proposed rules for the CMS outpatient prospective payment system (OPPS), CMS indicated that it will separately pay in the ambulatory surgical center, or ASC, setting for non-opioid drugs with an FDA-approved indication for postoperative pain relief. In addition to this proposed rule, </w:t>
      </w:r>
      <w:r>
        <w:rPr>
          <w:rFonts w:ascii="Times New Roman;Times;Serif" w:hAnsi="Times New Roman;Times;Serif"/>
          <w:b w:val="false"/>
          <w:i w:val="false"/>
          <w:caps w:val="false"/>
          <w:smallCaps w:val="false"/>
          <w:sz w:val="17"/>
          <w:highlight w:val="white"/>
        </w:rPr>
        <w:t>an</w:t>
      </w:r>
      <w:r>
        <w:rPr>
          <w:rFonts w:ascii="Times New Roman;Times;Serif" w:hAnsi="Times New Roman;Times;Serif"/>
          <w:b w:val="false"/>
          <w:i w:val="false"/>
          <w:caps w:val="false"/>
          <w:smallCaps w:val="false"/>
          <w:sz w:val="17"/>
        </w:rPr>
        <w:t xml:space="preserve"> extension of the pass-through reimbursement period to five years </w:t>
      </w:r>
      <w:r>
        <w:rPr>
          <w:rFonts w:ascii="Times New Roman;Times;Serif" w:hAnsi="Times New Roman;Times;Serif"/>
          <w:b w:val="false"/>
          <w:i w:val="false"/>
          <w:caps w:val="false"/>
          <w:smallCaps w:val="false"/>
          <w:sz w:val="17"/>
          <w:highlight w:val="white"/>
        </w:rPr>
        <w:t xml:space="preserve">was allowed for certain products in October 2018.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highlight w:val="white"/>
        </w:rPr>
      </w:pPr>
      <w:r>
        <w:rPr>
          <w:rFonts w:ascii="Times New Roman;Times;Serif" w:hAnsi="Times New Roman;Times;Serif"/>
          <w:b w:val="false"/>
          <w:i w:val="false"/>
          <w:caps w:val="false"/>
          <w:smallCaps w:val="false"/>
          <w:sz w:val="17"/>
          <w:highlight w:val="white"/>
        </w:rPr>
        <w:t xml:space="preserve">In January 2019, Melt completed a Pre-IND meeting with FDA, and intends to begin enrolling patients for clinical studies related to MELT-100 in 2020.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January 2019, Melt closed on the sale of its Series A Preferred Stock at $5.00 a share for gross proceeds of approximately $11 million (the “Melt Series A Round”). At the time of the closing we lost our controlling interest, and deconsolidated Melt from our consolidated financial statements. We own 3.5 million shares of Melt common stock, which is approximately 44% of the equity and voting interests issued and outstanding of Melt. In addition to our Melt equity position and pursuant to the Melt Asset Purchase Agreement, Harrow is eligible to receive mid-single digit percent royalties on sales of contributed drug candidates. Our CEO Mark Baum, and CFO, Andrew Boll serve on the board of directors of Melt.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Mayfield Pharmaceuticals, Inc.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Mayfield, a consolidated subsidiary of Harrow, is a development-stage women’s and men’s health focused pharmaceutical company. Mayfield intends to seek regulatory approval through the FDA’s 505(b)(2) regulatory pathway for its proprietary drug candidates and technologies, including its lead drug candidates MAY-44 and MAY-66. MAY-44 is non-estrogen topical analgesic gel containing a patented pH-balanced formulation of 3.75% lidocaine and other essential excipients designed for use on mucosal surfaces. If FDA-approved, MAY-44 could become the first topical product indicated for dyspareunia. We believe there are an estimated 32 million women in the U.S. who suffer from moderate-to-severe dyspareunia (Clinical Medicine Insights: Reproductive Health 2014</w:t>
      </w:r>
      <w:r>
        <w:rPr>
          <w:rFonts w:ascii="Times New Roman;Times;Serif" w:hAnsi="Times New Roman;Times;Serif"/>
          <w:b w:val="false"/>
          <w:i/>
          <w:caps w:val="false"/>
          <w:smallCaps w:val="false"/>
          <w:sz w:val="17"/>
        </w:rPr>
        <w:t>)</w:t>
      </w:r>
      <w:r>
        <w:rPr>
          <w:rFonts w:ascii="Times New Roman;Times;Serif" w:hAnsi="Times New Roman;Times;Serif"/>
          <w:b w:val="false"/>
          <w:i w:val="false"/>
          <w:caps w:val="false"/>
          <w:smallCaps w:val="false"/>
          <w:sz w:val="17"/>
        </w:rPr>
        <w:t>, and 64 million post-menopausal women in the U.S. for whom dyspareunia is common. Other more recent estimates suggest dyspareunia affects greater than one in ten women (BJOG An International Journal of Obstetrics and Gynecology 2017). In a proprietary market research report completed in December 2017, a survey of OB/GYN practices estimated that one in every four patients complained of some level of dyspareunia each month. It was also estimated that two-thirds of women complaining of dyspareunia are post-menopausal and one-third are pre- or peri-menopausal. Mayfield’s MAY-66 drug candidate a patented, injectable form of pentoxifylline designed for use in the treatment of symptoms associated with Peyronie’s disease.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Mayfield and Harrow acquired the intellectual property associated with MAY-44 in January 2019 from Elle Pharmaceutical LLC (the “Mayfield Asset Purchase Agreement”) in exchange for $25,000, with an additional $175,000 due upon third party financing of Mayfield, 1 million shares of Mayfield common stock and a 7.5% royalty rate on sales of the product. Once we have finalized the drug candidate assets Mayfield will seek to develop, we intend to build out the Mayfield management, board and clinical advisory team.</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Radley Pharmaceuticals, Inc.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Radley, a consolidated subsidiary of Harrow, is a development-stage pharmaceutical company focused on the development of proprietary 505(b)(2) drug candidates focused on rare diseases. During 2019, and prior to initiating significant development activities and costs related to its drug candidates, we intend to meet with FDA to establish and understand the expected clinical and regulatory path to approval for these drug candidates. We are also pursuing investigator-initiated studies for some of Radley’s drug candidates with well-known healthcare institutions. We believe this approach will allow us to better understand and weigh the economic costs, clinical feasibility and potential benefits associated with pursuing development activities associated with these drug candidates.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Section 505(b)(2) New Drug Applications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505(b)(2) path to approval are drugs that have a new dosage form, strength, route of administration, formulation or indication.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Section 505(b)(2) application also will not be approved until any non-patent exclusivity, such as exclusivity for obtaining approval of a new chemical entity, listed in the Orange Book for the reference product has expired. Thus, the Section 505(b)(2) applicant may invest a significant amount of time and expense in the development of its products only to be subject to significant delay and patent litigation before its products may be commercialized.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Sales and Marketing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focus of our sales and marketing is in the United States. We do, however, believe that our proprietary drug formulations could have commercial appeal in international markets, and we have engaged distributors and entered into out-licensing arrangements for certain of our proprietary formulations in certain non-U.S. markets, including Canada. Our sales and marketing efforts are currently organized into two teams, the larger of which focuses on our ophthalmology pharmaceutical compounding business and the other on our non-ophthalmology pharmaceutical compounding business. Our sales and marketing activities consist primarily of efforts to educate doctors, ambulatory surgery centers, healthcare systems, hospitals and other users throughout the U.S. about our compounded formulations. We expect that we may experience growth in the sales of our proprietary pharmaceutical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2017 and 2018, we entered various sales and marketing agreements, with certain organizations to provide exclusive sales and marketing representation services to ImprimisRx in select geographies in the U.S., in connection with our ophthalmic compounded formulations. Under the terms of the sales and marketing agreements, we are required to make commission payments to equal to 10% to 14% of net sales for products above and beyond the initial existing sales amounts. In addition, we are required to make periodic milestone payments to certain organizations in shares of the our restricted common stock if net sales in the assigned territory reach certain future levels by the end of their terms, as applicable. We believe these sales and marketing agreements will accelerate launches of our new ophthalmology programs and limit our initial capital requirements commonly associated with new product launches and increased sizes of sales forces.</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Competition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United States Pharmacopoeia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business may not be scalable on the scope available to our competitors that produce FDA-approved drugs, which may limit our potential for profitable operations. These facets of our operations may subject our business to limitations our competitors offering FDA-approved drugs may not face.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Biotechnology and related pharmaceutical technologies are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Factors Affecting Our Performance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Reimbursement Options and Pricing Optimization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proprietary ophthalmic pharmaceutical compounded formulations are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formal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our formulations may provide collective savings to Medicare, Medicaid and patients of up to $13 billion, with a most likely savings estimate of $8.7 billion, over a 10-year period. Based on this research, we believe optimized pricing for certain of our compounded formulations could be greater than $100 per dose. Any efforts to attain optimized pricing for these or any of our other proprietary formulations could fail, which could make our products less attractive or unavailable to some patients or could reduce our margins.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success and ability to compete depends upon our ability to protect our intellectual property. We conduct a fulsome analysis of the intellectual property landscape prior to acquiring rights to formulations and filing patent applications. In addition, as of February 28, 2019, we owned and/or licensed nine U.S. issued patents, two international issued patents, and 32 U.S. patent applications, including 29 utility (including continuation, continuation-in-part and divisional) and three provisional patent applications, and we owned seven international patent applications filed under the Patent Cooperation Treaty and 42 foreign patent applications. We presently have 14 U.S. and 13 foreign patent applications pending that relate to our SSP Technology. We expect to file additional patent applications in the U.S. and pursue patent protection for certain of our formulations in other important international jurisdictions in the future.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February 28, 2019, we had worldwide 180 issued trademarks, pending trademark and copyright applications, or registered copyright and/or trademarks including, but not limited to: Imprimis</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ImprimisRx</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Harrow Health</w:t>
      </w:r>
      <w:r>
        <w:rPr>
          <w:rFonts w:ascii="Times New Roman;Times;Serif" w:hAnsi="Times New Roman;Times;Serif"/>
          <w:b w:val="false"/>
          <w:i w:val="false"/>
          <w:caps w:val="false"/>
          <w:smallCaps w:val="false"/>
          <w:position w:val="5"/>
          <w:sz w:val="13"/>
          <w:sz w:val="17"/>
        </w:rPr>
        <w:t>tm</w:t>
      </w:r>
      <w:r>
        <w:rPr>
          <w:rFonts w:ascii="Times New Roman;Times;Serif" w:hAnsi="Times New Roman;Times;Serif"/>
          <w:b w:val="false"/>
          <w:i w:val="false"/>
          <w:caps w:val="false"/>
          <w:smallCaps w:val="false"/>
          <w:sz w:val="17"/>
        </w:rPr>
        <w:t>, Dropless</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LessDrops</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Dropless Cataract Surgery</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Dropless Cataract Therapy</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Dropless Therapy</w:t>
      </w:r>
      <w:r>
        <w:rPr>
          <w:rFonts w:ascii="Times New Roman;Times;Serif" w:hAnsi="Times New Roman;Times;Serif"/>
          <w:b w:val="false"/>
          <w:i w:val="false"/>
          <w:caps w:val="false"/>
          <w:smallCaps w:val="false"/>
          <w:position w:val="5"/>
          <w:sz w:val="13"/>
          <w:sz w:val="17"/>
        </w:rPr>
        <w:t>®</w:t>
      </w:r>
      <w:r>
        <w:rPr>
          <w:rFonts w:ascii="Times New Roman;Times;Serif" w:hAnsi="Times New Roman;Times;Serif"/>
          <w:b w:val="false"/>
          <w:i w:val="false"/>
          <w:caps w:val="false"/>
          <w:smallCaps w:val="false"/>
          <w:sz w:val="17"/>
        </w:rPr>
        <w:t>, MKO Melt™</w:t>
      </w:r>
      <w:r>
        <w:rPr>
          <w:rFonts w:ascii="Times New Roman;Times;Serif" w:hAnsi="Times New Roman;Times;Serif"/>
          <w:b w:val="false"/>
          <w:i w:val="false"/>
          <w:caps w:val="false"/>
          <w:smallCaps w:val="false"/>
          <w:color w:val="000000"/>
          <w:sz w:val="17"/>
          <w:u w:val="single"/>
        </w:rPr>
        <w:t>, and</w:t>
      </w:r>
      <w:r>
        <w:rPr>
          <w:rFonts w:ascii="Times New Roman;Times;Serif" w:hAnsi="Times New Roman;Times;Serif"/>
          <w:b w:val="false"/>
          <w:i w:val="false"/>
          <w:caps w:val="false"/>
          <w:smallCaps w:val="false"/>
          <w:sz w:val="17"/>
        </w:rPr>
        <w:t xml:space="preserve"> Simple Drops</w:t>
      </w:r>
      <w:r>
        <w:rPr>
          <w:rFonts w:ascii="Times New Roman;Times;Serif" w:hAnsi="Times New Roman;Times;Serif"/>
          <w:b w:val="false"/>
          <w:i w:val="false"/>
          <w:caps w:val="false"/>
          <w:smallCaps w:val="false"/>
          <w:position w:val="5"/>
          <w:sz w:val="13"/>
          <w:sz w:val="17"/>
        </w:rPr>
        <w:t>tm.</w:t>
      </w:r>
      <w:r>
        <w:rPr>
          <w:rFonts w:ascii="Times New Roman;Times;Serif" w:hAnsi="Times New Roman;Times;Serif"/>
          <w:b w:val="false"/>
          <w:i w:val="false"/>
          <w:caps w:val="false"/>
          <w:smallCaps w:val="false"/>
          <w:sz w:val="17"/>
        </w:rPr>
        <w:t xml:space="preserve"> We may choose to pursue trademark protection in other jurisdictions for any one or more of these or other marks in the future.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Governmental Regulation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(HIPAA); the Patient Protection and Affordable Care Act and the Health Care and Education Reconciliation Act of 2012 (collectively, the Health Reform Law);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complexity of the current state and federal regulatory environment, as well as the expected continued evolution of state and federal laws governing pharmaceutical compounding, have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Pharmacy Regulation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 per the applicable regulations.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Further, under federal law, Section 503A of the FDCA seeks to limit the amount of compounded products that a pharmacy can distribute interstate. The interpretation and enforcement of this provision is dependent on the FDA entering into a standard Memorandum of Understanding (“MOU”) with each state setting forth limits on shipments of interstate compounding.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the Revised MOU is issued and presented to states to consider, the extent of interstate distribution restrictions imposed by Section 503A is unknown. However, the FDA has continued to state its position that it does not intend to enforce the 5% out of state distribution limit set forth in the law for compounders until a final MOU is made available for a state’s signature. The FDA has proposed a 180 day grace period for states to agree to the final MOU after the final version is presented, which to date has not occurred, before it would begin to enforce the 5% rule. If the final Revised MOU contains a 50% limit on interstate distribution, dependent on the additional reporting requirements to be outlined in the Revised MOU, our pharmacy operations could be materially limited.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Certain provisions of the FDCA govern the preparation, handling, storage, marketing and distribution of pharmaceutical products. The Drug Quality and Security Act of 2013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Entities voluntarily registering as outsourcing facilities are subject to cGMP requirements and regular FDA inspection, among other requirements. As described above, our current pharmacy operations in NJ and CA are governed by Section 503A of the FDCA, and our NJ based outsourcing facility is governed by Section 503B of the FDCA.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a recent California federal court ruling in </w:t>
      </w:r>
      <w:r>
        <w:rPr>
          <w:rFonts w:ascii="Times New Roman;Times;Serif" w:hAnsi="Times New Roman;Times;Serif"/>
          <w:b w:val="false"/>
          <w:i/>
          <w:caps w:val="false"/>
          <w:smallCaps w:val="false"/>
          <w:sz w:val="17"/>
        </w:rPr>
        <w:t xml:space="preserve">Allergan USA, Inc. v. Prescribers Choice, Inc. </w:t>
      </w:r>
      <w:r>
        <w:rPr>
          <w:rFonts w:ascii="Times New Roman;Times;Serif" w:hAnsi="Times New Roman;Times;Serif"/>
          <w:b w:val="false"/>
          <w:i w:val="false"/>
          <w:caps w:val="false"/>
          <w:smallCaps w:val="false"/>
          <w:sz w:val="17"/>
        </w:rPr>
        <w:t>the Court made a ruling which could impact 503B facilities. It determined that while the FDA’s interim policies do not override the statutory obligations of the DQSA, the Court supported the FDA’s authority and flexibility as it determines what clinical needs exist and finalizes the bulk drug substances list. The Court did not wish to set a policy that limits the ability of the FDA to determine whether there is a clinical need for particular drugs, while simultaneously allowing the compounding of certain drugs to meet health needs. The Court went on to note that acting “in good faith” in complying with FDA guidelines and processes, means the facility has not run afoul of the DQSA as it relates to California’s Sherman Food, Drug and Cosmetic Law.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Confidentiality, Privacy and HIPAA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have enacted privacy and security laws that protect identifiable patient information that is not health-related.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Medicare and Medicaid Reimbursement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commercially available formulations are sold in cash transactions and the customers decide whether or not to seek reimbursement opportunities from Medicare, Medicaid and other third parties.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To the extent we obtain third-party reimbursement for our compounded formulations, we may become subject to Medicare, Medicaid and other publicly financed health benefit plan regulations prohibiting kickbacks, beneficiary inducement and the submission of false claims.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FDA New Drug Application Process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discussed in other sections of this report, we are and may continue to, alone or with project partners, pursue FDA approval to market and sell one or more of our formulations through the FDA’s NDA process. 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International Regulation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we pursue commercialization of our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Environmental and Other Matters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Research and Development Expenses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research and development expenses incurred in 2018 and 2017 primarily include expenses related to the development of intellectual property, researcher and investigator-initiated evaluations, and research and formulation development related primarily to our ophthalmic formulations and certain other assets, in addition to costs associated with our 505(b)(2) drug candidate development programs.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we incurred $825,000 in research and development expenses, as compared to $413,000 during the year ended December 31, 2017.</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Financial Information About Segments and Geographic Areas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Beginning on January 1, 2019, the Company began evaluating performance of the Company based on operating segments. Segment performance for its two operating segments will be based on segment contribution. Our reportable segments consist of (i) our commercial stage pharmaceutical compounding business (Pharmaceutical Compounding), generally including the operations of our ImprimisRx and Park Compounding businesses; and (ii) our start-up operations associated with pharmaceutical drug development business (Pharmaceutical Drug Development). Segment contribution for our segments represents net revenues less cost of sales, research and development, selling and marketing expenses, and select general and administrative expenses. The Company does not evaluate the following items at the segment level:</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Operating expenses within selling, general and administrative expenses that result from the impact of corporate initiatives. Corporate initiatives primarily include integration, restructuring, acquisition and other shared costs.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Selling, general and administrative expenses that result from shared infrastructure, including certain expenses associated with legal matters, our board of directors and principal executive officers, investor relations and other like shared expenses.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Other select revenues and operating expenses including R&amp;D expenses, amortization, and asset sales and impairments, net as not all such information has been accounted for at the segment level, or such information has not been used by all segments.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Total assets including capital expenditures.</w:t>
            </w:r>
          </w:p>
        </w:tc>
      </w:tr>
    </w:tbl>
    <w:p>
      <w:pPr>
        <w:pStyle w:val="TextBody"/>
        <w:jc w:val="both"/>
        <w:rPr>
          <w:caps w:val="false"/>
          <w:smallCaps w:val="false"/>
        </w:rPr>
      </w:pPr>
      <w:r>
        <w:rPr>
          <w:caps w:val="false"/>
          <w:smallCaps w:val="false"/>
        </w:rPr>
        <w:t> </w:t>
      </w:r>
    </w:p>
    <w:p>
      <w:pPr>
        <w:pStyle w:val="TextBody"/>
        <w:ind w:left="0" w:right="0" w:firstLine="556"/>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defines segment net revenues as pharmaceutical compounded drug sales, revenues from licenses and other revenue derived from related agreements.</w:t>
      </w:r>
    </w:p>
    <w:p>
      <w:pPr>
        <w:pStyle w:val="TextBody"/>
        <w:ind w:left="0" w:right="0" w:firstLine="556"/>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556"/>
        <w:jc w:val="both"/>
        <w:rPr>
          <w:caps w:val="false"/>
          <w:smallCaps w:val="false"/>
        </w:rPr>
      </w:pPr>
      <w:r>
        <w:rPr>
          <w:caps w:val="false"/>
          <w:smallCaps w:val="false"/>
        </w:rPr>
        <w:t> </w:t>
      </w:r>
    </w:p>
    <w:p>
      <w:pPr>
        <w:pStyle w:val="TextBody"/>
        <w:ind w:left="0" w:right="0" w:firstLine="5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pStyle w:val="TextBody"/>
        <w:ind w:left="0" w:right="0" w:firstLine="556"/>
        <w:jc w:val="both"/>
        <w:rPr>
          <w:caps w:val="false"/>
          <w:smallCaps w:val="false"/>
        </w:rPr>
      </w:pPr>
      <w:r>
        <w:rPr>
          <w:caps w:val="false"/>
          <w:smallCaps w:val="false"/>
        </w:rPr>
        <w:t> </w:t>
      </w:r>
    </w:p>
    <w:p>
      <w:pPr>
        <w:pStyle w:val="TextBody"/>
        <w:ind w:left="0" w:right="0" w:firstLine="556"/>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pStyle w:val="TextBody"/>
        <w:ind w:left="0" w:right="0" w:firstLine="556"/>
        <w:jc w:val="both"/>
        <w:rPr>
          <w:caps w:val="false"/>
          <w:smallCaps w:val="false"/>
        </w:rPr>
      </w:pPr>
      <w:r>
        <w:rPr>
          <w:caps w:val="false"/>
          <w:smallCaps w:val="false"/>
        </w:rPr>
        <w:t> </w:t>
      </w:r>
    </w:p>
    <w:p>
      <w:pPr>
        <w:pStyle w:val="TextBody"/>
        <w:ind w:left="0" w:right="0" w:firstLine="556"/>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See Notes 19 and 20 to our consolidated financial statements included in this Annual Report for more information about our reportable segments.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March 6, 2019, we employed 134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 labor and consultants on an as-needed basis.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Company Information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executive offices are located at 12264 El Camino Real, Suite 350, San Diego, California 92130 and our telephone number at such office is (858) 704-4040. Our website address is harrowinc.com. Information contained on our website is not deemed part of this Annual Report.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4" w:name="a_003"/>
      <w:bookmarkEnd w:id="4"/>
      <w:r>
        <w:rPr>
          <w:rFonts w:ascii="Times New Roman;Times;Serif" w:hAnsi="Times New Roman;Times;Serif"/>
          <w:b/>
          <w:i w:val="false"/>
          <w:caps w:val="false"/>
          <w:smallCaps w:val="false"/>
          <w:sz w:val="17"/>
        </w:rPr>
        <w:t>ITEM 1A. RISK FACTORS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Risks Related to Our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Until last year, we have incurred losses in every year of our operations, and we may not be profitable in the future.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2018, we have incurred losses in every year of our operations, including net income (losses) of $14,625,000 and $(11,985,000) for the years ended December 31, 2018 and 2017, respectively</w:t>
      </w:r>
      <w:r>
        <w:rPr>
          <w:rFonts w:ascii="Times New Roman;Times;Serif" w:hAnsi="Times New Roman;Times;Serif"/>
          <w:b w:val="false"/>
          <w:i w:val="false"/>
          <w:caps w:val="false"/>
          <w:smallCaps w:val="false"/>
          <w:sz w:val="17"/>
        </w:rPr>
        <w:t>. As of December 31, 2018, our accumulated deficit was $(74,211,000). Our current projections indicate that we will have operating income and/or net income during 2019,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may not receive sufficient revenue to fund our operations and recover our development costs.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sell certain of our proprietary formulations primarily through pharmaceutical compounding facilities we own, but we may not be successful in our efforts to integrate these businesses into our operations.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currently have compounding facilities in New Jersey and California. We may plan to expand our pharmacy operations and personnel and developing our facilities into a unified group compounding pharmacy facilities. We have been developing “ImprimisRx” as a uniform brand for certain compounding facilities and ophthalmology focused pharmaceutical compounding business. We have limited experience acquiring, building or operating compounding pharmacies or other prescription dispensing facilities or commercializing our formulations through ownership of or licensing arrangements with pharmacies.. In addition, as we have in the past, we have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experienced delays and increased costs in our outsourcing facility construction efforts;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not be successful in completing future construction plans on a timely basis or within budget;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not be successful in our efforts to integrate, manage or otherwise realize the benefits we expect from acquisitions of our ImprimisRx compounding pharmacies or any additional pharmacy businesses or outsourcing facilities we to acquire, sell or build in the future;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not be able to satisfy applicable federal and state licensing and other requirements for any of our pharmacy businesses in a timely manner or at all;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changes to federal and state pharmacy regulations may restrict compounding operations or make them more costly;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be unable to achieve a sufficient physician and patient customer base to sustain our pharmacy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market acceptance of compounding pharmacies generally may be curtailed or delayed;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not be able to enter into licensing or other arrangements with third-party pharmacies or outsourcing facilities when desired, on acceptable terms or at all.</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are dependent on market acceptance of compounding pharmacies and compounded formulations, and physicians may be unwilling to prescribe, and patients may be unwilling to use, our proprietary customizable compounded formulations.</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pStyle w:val="TextBody"/>
        <w:shd w:fill="FFFFFF" w:val="clear"/>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are taking steps to address the items outlined in the FDA letter. We will continue to work with the FDA to assure that all allegations in the warning letter have been addressed. We believe, to date, we have addressed all of the material items of concern in the FDA’s warning letter and those related to the MedWatch notification (and any other requirements observed by FDA and noted to us), and we do not believe there will be any further action taken by FDA in this matter. Nonetheless, these two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Our business is significantly impacted by state and federal statutes and regulations.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If one of our pharmacies fails to comply with state statutes and regulations, the pharmacy could be required to cease operations or become subject to restrictions that could adversely affect our business.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Compounding, Inc. related to a compounded formulation we believe was legally dispensed and was, without our knowledge, inappropriately administered to a patient unknown to us, by the prescribing healthcare professionals. While we dispute all claims against us and intend to vigorously defend against the accusations, if Park Compounding is found to be in non-compliance pursuant to this accusation, it may be required to permanently or temporarily cease or limit its operations including its sterile compounding operations. If Park Compounding is required to permanently or temporarily cease or limit its sterile compounding operations, we would be unable to realize the expected benefits of this pharmacy’s operations, including its sales of our proprietary formulations. Although we distribute our proprietary formulations through other compounding pharmacies, and not solely through Park Compounding, the loss of Park Compounding’s ability to compound sterile formulations would have an immediate adverse impact on our ability to implement our business plan in a timely manner.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If we or our partner facilities fail to comply with the Controlled Substances Act, FDCA, or similar state statutes and regulations, the pharmacy facilities could be required to cease operations or become subject to restrictions that could adversely affect our business.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There are many competitive risks related to marketing and selling our proprietary formulations and operating our compounding pharmacy business.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i/>
          <w:caps w:val="false"/>
          <w:smallCaps w:val="false"/>
          <w:sz w:val="17"/>
        </w:rPr>
        <w:t>Our future success depends in large part on our ability to maintain a competitive position with respect to biotechnology and related pharmaceutical technologies</w:t>
      </w:r>
      <w:r>
        <w:rPr>
          <w:rFonts w:ascii="Times New Roman;Times;Serif" w:hAnsi="Times New Roman;Times;Serif"/>
          <w:b w:val="false"/>
          <w:i w:val="false"/>
          <w:caps w:val="false"/>
          <w:smallCaps w:val="false"/>
          <w:sz w:val="17"/>
        </w:rPr>
        <w: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If a compounded drug formulation provided through our compounding services leads to patient injury or death or results in a product recall, we may be exposed to significant liabilities and reputational harm.</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carry product and professional liability insurance which may be inadequate.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Our ability to generate revenues will be diminished if we fail to obtain acceptable prices or an adequate level of reimbursement from third-party payors.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may not be able to correctly estimate our future operating expenses, which could lead to cash shortfalls.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If we do not successfully identify and acquire rights to potential formulations and successfully integrate them into our operations, our growth opportunities may be limited.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may be unable to successfully develop and commercialize our proprietary formulations or any other assets we may acquire.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have incurred significant indebtedness, which will require substantial cash to service and which subjects us to certain financial requirements and business restrictions.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July 19, 2017, we incurred $16,000,000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$12,120,000 at the time of final payment.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may need additional capital in order to continue operating our business, and such additional funds may not be available when needed, on acceptable terms, or at all.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raised over $59,000,000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have in the past and may in the future participate in strategic transactions that could impact our liquidity, increase our expenses and distract our management.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If we are unable to establish, train and maintain an effective sales and marketing infrastructure, we will not be able to commercialize our drug candidates successfully.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Our business and operations would suffer in the event of cybersecurity or other system failures.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depend upon consultants, outside contractors and other third-party service providers for key aspects of our business.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Risks Related to Product Development, Regulatory Approval, Manufacturing and Commercialization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If we seek FDA approval to market and sell any of our proprietary formulations, such as with drug candidates being developed by Surface and Eton, we may be unable to demonstrate the necessary safety and efficacy to obtain such FDA approval.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Historically, our business strategy was focused on developing and commercializing product opportunities as compounded formulations.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Delays in the completion of, or the termination of, any clinical or non-clinical trials for any drug candidates for which we may seek FDA approval could adversely affect our business.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If we are not able to obtain any required regulatory approvals for our drug candidates, we will not be able to commercialize our drug candidate and our ability to generate revenue will be limited.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success depends on the receipt of regulatory approval and the issuance of such regulatory approvals is uncertain and subject to a number of risks, including the following:</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results of toxicology studies may not support the filing of an IND for our drug candidates;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FDA or comparable foreign regulatory authorities or Institutional Review Boards, or “IRB”, may disagree with the design or implementation of our clinical trials;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not be able to provide acceptable evidence of our drug candidates’ safety and efficacy;</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results of our clinical trials may not be satisfactory or may not meet the level of statistical or clinical significance required by the FDA, European Medicines Agency (the “EMA”), or other regulatory agencies for marketing approval;</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dosing of our drug candidates in a particular clinical trial may not be at an optimal level;</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patients in our clinical trials may suffer adverse effects for reasons that may or may not be related to our drug candidates;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data collected from clinical trials may not be sufficient to support the submission of an NDA, BLA or other submission or to obtain regulatory approval in the United States or elsewhere;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FDA or comparable foreign regulatory authorities may fail to approve the manufacturing processes or facilities of third-party manufacturers with which we contract for clinical and commercial supplies;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approval policies or regulations of the FDA or comparable foreign regulatory authorities may significantly change in a manner rendering our clinical data insufficient for approval.</w:t>
            </w:r>
          </w:p>
        </w:tc>
      </w:tr>
    </w:tbl>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If we fail to successfully commercialize any of our drug candidates, we may need to acquire additional drug candidates and our business will be adversely affected.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Even if we receive regulatory approval for any of our drug candidates, we may not be able to successfully commercialize the product and the revenue that we generate from its sales, if any, may be limited.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pStyle w:val="TextBody"/>
        <w:ind w:left="108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7"/>
        <w:gridCol w:w="9903"/>
      </w:tblGrid>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demonstration of clinical safety and efficacy;</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relative convenience, dosing burden and ease of administration;</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prevalence and severity of any adverse effects;</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willingness of physicians to prescribe our drug candidates, and the target patient population to try new therapies;</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xml:space="preserve">● </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efficacy of our drug candidates compared to competing products;</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introduction of any new products that may in the future become available targeting indications for which our drug candidates may be approved;</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new procedures or therapies that may reduce the incidences of any of the indications in which our drug candidates may show utility;</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pricing and cost-effectiveness;</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0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inclusion or omission of our drug candidates in applicable therapeutic and vaccine guidelines;</w:t>
            </w:r>
          </w:p>
        </w:tc>
      </w:tr>
    </w:tbl>
    <w:p>
      <w:pPr>
        <w:pStyle w:val="TextBody"/>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4"/>
        <w:gridCol w:w="9936"/>
      </w:tblGrid>
      <w:tr>
        <w:trPr/>
        <w:tc>
          <w:tcPr>
            <w:tcW w:w="75" w:type="dxa"/>
            <w:tcBorders/>
            <w:shd w:fill="auto" w:val="clear"/>
            <w:vAlign w:val="center"/>
          </w:tcPr>
          <w:p>
            <w:pPr>
              <w:pStyle w:val="TableContents"/>
              <w:spacing w:before="0" w:after="283"/>
              <w:jc w:val="both"/>
              <w:rPr/>
            </w:pPr>
            <w:r>
              <w:rPr/>
              <w:t> </w:t>
            </w:r>
          </w:p>
        </w:tc>
        <w:tc>
          <w:tcPr>
            <w:tcW w:w="194" w:type="dxa"/>
            <w:tcBorders/>
            <w:shd w:fill="auto" w:val="clear"/>
            <w:vAlign w:val="center"/>
          </w:tcPr>
          <w:p>
            <w:pPr>
              <w:pStyle w:val="TableContents"/>
              <w:spacing w:before="0" w:after="283"/>
              <w:jc w:val="both"/>
              <w:rPr>
                <w:caps w:val="false"/>
                <w:smallCaps w:val="false"/>
              </w:rPr>
            </w:pPr>
            <w:r>
              <w:rPr>
                <w:caps w:val="false"/>
                <w:smallCaps w:val="false"/>
              </w:rPr>
              <w:t xml:space="preserve">● </w:t>
            </w:r>
          </w:p>
        </w:tc>
        <w:tc>
          <w:tcPr>
            <w:tcW w:w="993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effectiveness of our own or any future collaborators’ sales and marketing strategies;</w:t>
            </w:r>
          </w:p>
        </w:tc>
      </w:tr>
      <w:tr>
        <w:trPr/>
        <w:tc>
          <w:tcPr>
            <w:tcW w:w="75" w:type="dxa"/>
            <w:tcBorders/>
            <w:shd w:fill="auto" w:val="clear"/>
            <w:vAlign w:val="center"/>
          </w:tcPr>
          <w:p>
            <w:pPr>
              <w:pStyle w:val="TableContents"/>
              <w:spacing w:before="0" w:after="283"/>
              <w:jc w:val="both"/>
              <w:rPr/>
            </w:pPr>
            <w:r>
              <w:rPr/>
              <w:t> </w:t>
            </w:r>
          </w:p>
        </w:tc>
        <w:tc>
          <w:tcPr>
            <w:tcW w:w="19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94" w:type="dxa"/>
            <w:tcBorders/>
            <w:shd w:fill="auto" w:val="clear"/>
            <w:vAlign w:val="center"/>
          </w:tcPr>
          <w:p>
            <w:pPr>
              <w:pStyle w:val="TableContents"/>
              <w:spacing w:before="0" w:after="283"/>
              <w:jc w:val="both"/>
              <w:rPr>
                <w:caps w:val="false"/>
                <w:smallCaps w:val="false"/>
              </w:rPr>
            </w:pPr>
            <w:r>
              <w:rPr>
                <w:caps w:val="false"/>
                <w:smallCaps w:val="false"/>
              </w:rPr>
              <w:t xml:space="preserve">● </w:t>
            </w:r>
          </w:p>
        </w:tc>
        <w:tc>
          <w:tcPr>
            <w:tcW w:w="993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limitations or warnings contained in approved labeling from regulatory authorities;</w:t>
            </w:r>
          </w:p>
        </w:tc>
      </w:tr>
      <w:tr>
        <w:trPr/>
        <w:tc>
          <w:tcPr>
            <w:tcW w:w="75" w:type="dxa"/>
            <w:tcBorders/>
            <w:shd w:fill="auto" w:val="clear"/>
            <w:vAlign w:val="center"/>
          </w:tcPr>
          <w:p>
            <w:pPr>
              <w:pStyle w:val="TableContents"/>
              <w:spacing w:before="0" w:after="283"/>
              <w:jc w:val="both"/>
              <w:rPr/>
            </w:pPr>
            <w:r>
              <w:rPr/>
              <w:t> </w:t>
            </w:r>
          </w:p>
        </w:tc>
        <w:tc>
          <w:tcPr>
            <w:tcW w:w="19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94" w:type="dxa"/>
            <w:tcBorders/>
            <w:shd w:fill="auto" w:val="clear"/>
            <w:vAlign w:val="center"/>
          </w:tcPr>
          <w:p>
            <w:pPr>
              <w:pStyle w:val="TableContents"/>
              <w:spacing w:before="0" w:after="283"/>
              <w:jc w:val="both"/>
              <w:rPr>
                <w:caps w:val="false"/>
                <w:smallCaps w:val="false"/>
              </w:rPr>
            </w:pPr>
            <w:r>
              <w:rPr>
                <w:caps w:val="false"/>
                <w:smallCaps w:val="false"/>
              </w:rPr>
              <w:t xml:space="preserve">● </w:t>
            </w:r>
          </w:p>
        </w:tc>
        <w:tc>
          <w:tcPr>
            <w:tcW w:w="99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tc>
      </w:tr>
      <w:tr>
        <w:trPr/>
        <w:tc>
          <w:tcPr>
            <w:tcW w:w="75" w:type="dxa"/>
            <w:tcBorders/>
            <w:shd w:fill="auto" w:val="clear"/>
            <w:vAlign w:val="center"/>
          </w:tcPr>
          <w:p>
            <w:pPr>
              <w:pStyle w:val="TableContents"/>
              <w:spacing w:before="0" w:after="283"/>
              <w:jc w:val="both"/>
              <w:rPr/>
            </w:pPr>
            <w:r>
              <w:rPr/>
              <w:t> </w:t>
            </w:r>
          </w:p>
        </w:tc>
        <w:tc>
          <w:tcPr>
            <w:tcW w:w="19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94" w:type="dxa"/>
            <w:tcBorders/>
            <w:shd w:fill="auto" w:val="clear"/>
            <w:vAlign w:val="center"/>
          </w:tcPr>
          <w:p>
            <w:pPr>
              <w:pStyle w:val="TableContents"/>
              <w:spacing w:before="0" w:after="283"/>
              <w:jc w:val="both"/>
              <w:rPr>
                <w:caps w:val="false"/>
                <w:smallCaps w:val="false"/>
              </w:rPr>
            </w:pPr>
            <w:r>
              <w:rPr>
                <w:caps w:val="false"/>
                <w:smallCaps w:val="false"/>
              </w:rPr>
              <w:t xml:space="preserve">● </w:t>
            </w:r>
          </w:p>
        </w:tc>
        <w:tc>
          <w:tcPr>
            <w:tcW w:w="993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willingness of patients to pay out-of-pocket in the absence of third-party coverage or reimbursement or government pricing approvals.</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pStyle w:val="TextBody"/>
        <w:ind w:left="108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restrictions on the marketing or manufacturing of the product, withdrawal of the product from the market, or voluntary or mandatory product recalls;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issuance of warning letters or untitled letters;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clinical holds;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injunctions or the imposition of civil or criminal penalties or monetary fines;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suspension or withdrawal of regulatory approval;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suspension of any ongoing clinical trials;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refusal to approve pending applications or supplements to approved applications filed by us, or suspension or revocation of product license approvals;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suspension or imposition of restrictions on operations, including costly new manufacturing requirements; or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product seizure or detention or refusal to permit the import or export of product.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Obtaining and maintaining regulatory approval of our drug candidates in one jurisdiction does not mean that we will be successful in obtaining regulatory approval of our drug candidates in other jurisdictions.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Current and future legislation may increase the difficulty and cost for us to obtain marketing approval of and commercialize our drug candidates and affect the prices we may obtain.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Patient Protection and Affordable Care Act, as amended by the Health Care and Education Affordability Reconciliation Act of 2010 or, collectively, 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Our drug candidates may face competition sooner than expected.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Even if our drug candidates are considered to be reference products eligible for 3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If we market any of our drug candidates in a manner that violates healthcare fraud and abuse laws, or if we violate government price reporting laws, we may be subject to civil or criminal penalties.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commencement and completion of clinical studies can be delayed for a number of reasons, including delays related to:</w:t>
      </w:r>
    </w:p>
    <w:p>
      <w:pPr>
        <w:pStyle w:val="TextBody"/>
        <w:ind w:left="108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the FDA or a comparable foreign regulatory authority failing to grant permission to proceed and placing the clinical study on hold;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subjects for clinical testing failing to enroll or remain in our trials at the rate we expect;</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any changes to our manufacturing process that may be necessary or desired;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subjects choosing an alternative treatment for the indications for which we are developing our drug candidates, or participating in competing clinical studies;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subjects experiencing severe or unexpected drug-related adverse effects;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reports from clinical testing on similar technologies and products raising safety and/or efficacy concerns;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 </w:t>
            </w:r>
          </w:p>
        </w:tc>
      </w:tr>
    </w:tbl>
    <w:p>
      <w:pPr>
        <w:pStyle w:val="TextBody"/>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deviations of the clinical sites from trial protocols or dropping out of a trial;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adding new clinical trial sites;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the inability of the CRO to execute any clinical trials for any reason; and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government or regulatory delays or “clinical holds” requiring suspension or termination of a trial.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Clinical drug development involves a lengthy and expensive process with an uncertain outcome, and results of earlier studies and trials may not be predictive of future trial results.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Even though we may apply for orphan drug designation for a drug candidate, we may not be able to obtain orphan drug marketing exclusivity.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left"/>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If we are unable to protect our proprietary rights, we may not be able to prevent others from using our intellectual property, which may reduce the competitiveness and value of the related assets.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February 28, 2019, we owned and/or licensed nine U.S. issued patents, two international issued patents, and 32 U.S. patent applications, including 29 utility (including continuation, continuation-in-part and divisional) and three provisional patent applications, and we owned seven international patent applications filed under the Patent Cooperation Treaty and 42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We may face additional competition outside of the U.S. as a result of a lack of patent coverage in some territories and differences in patent prosecution and enforcement laws in foreign counties.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Our proprietary formulations and technologies could potentially conflict with the rights of others.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are dependent on our Chief Executive Officer, Mark L. Baum, and other key persons for the continued growth and development of our Company.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President of ImprimisRx, John P. Saharek.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If we are unable to attract and retain key personnel and consultants, we may be unable to maintain or expand our business.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Risks Related to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Because of their significant stock ownership, some of our existing stockholders are able to exert control over us and our significant corporate decisions.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executive officers and directors collectively own, or have the right to acquire within 60 days after February 28, 2019, approximately 13%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If we fail to maintain an effective system of internal controls, we may not be able to accurately report our financial results, which could cause our stock price to fall.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discussed in Item 9A of this Annual Report, our management concluded that our internal controls over financial reporting were effective as of December 31, 2018.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A consistently active trading market for shares of our common stock may not be sustained.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Our stock price may be volatile.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have the right to issue shares of preferred stock without obtaining stockholder approval. If we were to issue preferred stock, it may have rights, preferences and privileges superior to those of our common stock.</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We have not paid dividends in the past and do not expect to pay dividends in the future. Any return on an investment will be limited to any appreciation in the value of our common stock.</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Offers or availability for sale of a substantial number of shares of our common stock may cause the price of our common stock to decline.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5" w:name="a_004"/>
      <w:bookmarkEnd w:id="5"/>
      <w:r>
        <w:rPr>
          <w:rFonts w:ascii="Times New Roman;Times;Serif" w:hAnsi="Times New Roman;Times;Serif"/>
          <w:b/>
          <w:i w:val="false"/>
          <w:caps w:val="false"/>
          <w:smallCaps w:val="false"/>
          <w:sz w:val="17"/>
        </w:rPr>
        <w:t>ITEM 1B. UNRESOLVED STAFF COMMENTS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Not applicable.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6" w:name="a_005"/>
      <w:bookmarkEnd w:id="6"/>
      <w:r>
        <w:rPr>
          <w:rFonts w:ascii="Times New Roman;Times;Serif" w:hAnsi="Times New Roman;Times;Serif"/>
          <w:b/>
          <w:i w:val="false"/>
          <w:caps w:val="false"/>
          <w:smallCaps w:val="false"/>
          <w:sz w:val="17"/>
        </w:rPr>
        <w:t>ITEM 2. PROPERTIES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lease approximately 10,200 square feet of office space in San Diego, California, the current lease term for which expires on December 31, 2021 and includes an option to extend the lease through December 31, 2027. This office serves as our corporate headquarters.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lease approximately 25,000 square feet of lab, warehouse and office space in Ledgewood, New Jersey, in two separate suites. The current lease term expires on July 31, 2024 and includes options to extend the lease term through 2032. This space serves as an outsourcing facility and pharmacy.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lease approximately 4,500 square feet of lab and office space in Irvine, California. The current lease term expires on December 31, 2020 and includes the options to extend the lease term through 2030. Park Compounding, our California-based pharmacy, occupies this space.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do not believe additional space will be required in the near-term.</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7" w:name="a_006"/>
      <w:bookmarkEnd w:id="7"/>
      <w:r>
        <w:rPr>
          <w:rFonts w:ascii="Times New Roman;Times;Serif" w:hAnsi="Times New Roman;Times;Serif"/>
          <w:b/>
          <w:i w:val="false"/>
          <w:caps w:val="false"/>
          <w:smallCaps w:val="false"/>
          <w:sz w:val="17"/>
        </w:rPr>
        <w:t xml:space="preserve">ITEM 3. LEGAL PROCEEDINGS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Dr. Sobol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In June 2018, Sobol filed a motion for class certification and in July 2018 we filed a response in opposition to the motion for class certification. A hearing on class certification was heard on October 24, 2018, however, prior to a decision regarding class certification was made, in February 2019, we entered into a proposed settlement agreement to award the class up to $1.4 million in damages. However, due to the nature of the lawsuit and claims, we expect total damages related to this lawsuit will total approximately $640,000. We expect the Court will rule to accept our settlement agreement in the spring of 2019. We accrued an expense of $640,000, our estimated damages related to the settlement agreement, during the year ended December 31, 2018.</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Allergan USA</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September 2017, Allergan USA, Inc. (“Allergan”) filed a lawsuit in the U.S. District Court for the Central District of California against Imprimis Pharmaceuticals, Inc., primarily claiming violations under the federal Lanham Act and California’s Sherman Act. The parties have each filed a motion for summary judgment and Imprimis also filed a motion to stay. The parties’ motions is scheduled to be heard on March 26, 2019. The trial date is currently set for April 2019. We believe the claims are frivolous, and we have previously and will continue to dispute all claims asserted against us and intend to vigorously defend these allegations. Nonetheless, we cannot predict the eventual outcome of this litigation, it could result in substantial costs, losses and a diversion of management’s resources and attention, which could harm our business and the value of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Spectrum</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February 2018, we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us and Spectrum and allege false representation by Spectrum regarding their products, fraudulent labeling and misrepresentations of approved product usages. The complaint has been filed with the Court and in May 2018, Spectrum filed an answer with the Court. In November 2018, we dismissed, without prejudice, our lawsuit against Spectrum.</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Novel Drug Solutions et al.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April 2018, Novel Drug Solutions, LLC and Eyecare Northwest, PA, (collectively “NDS”) filed a lawsuit against us in the U.S. District Court of Delaware asserting claims for breach of contract. The claims stem from an asset purchase agreement between us and NDS entered into in 2013. In July 2018, NDS filed a first amended complaint which added a claim for fraudulent inducement. In July 2018, we filed a motion to dismiss certain causes of action found in the complaint, and our motion to dismiss was denied. In October 2018, we filed counterclaims alleging breach of contract and breach of covenant of good faith and fair dealing and named certain individual defendants. We are currently in the discovery phase of this lawsuit. We believe the claims are frivolous and have previously and will continue to dispute all claims asserted against us and intend to vigorously defend these allegations. Nonetheless, we cannot predict the eventual outcome of this litigation, it could result in substantial costs, losses and a diversion of management’s resources and attention, which could harm the Company’s business and the value of its common stock.</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California Board of Pharmacy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March 2018, the California Board of Pharmacy filed an accusation against Park related to a compounded formulation we believe was legally dispensed and was, without our knowledge, inappropriately administered to a patient unknown to us, by the prescribing healthcare professional. We filed our response to the accusation and have requested a formal hearing. We dispute all claims against us and intend to vigorously defend against the allegations. Nonetheless, we cannot predict the outcome of this matter, it could result in substantial costs, losses, suspension or revocation of Park’s pharmacy license and a diversion of management’s resources and attention, which could harm our business and the value of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Product and Professional Liability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John Erick et al.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us and various Spectrum entities. The cross-complaint seeks indemnity and contribution from us and Spectrum. We answered the claims filed by Dr. Kelly in October 2018. The case is currently in the discovery phase. We believe the claims are frivolous and have previously and will continue to dispute all claims asserted against us and intend to vigorously defend these allegations. Nonetheless, we cannot predict the eventual outcome of this litigation, it could result in substantial costs, losses and a diversion of management’s resources and attention, which could harm the Company’s business and the value of its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General and Other</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8" w:name="a_007"/>
      <w:bookmarkEnd w:id="8"/>
      <w:r>
        <w:rPr>
          <w:rFonts w:ascii="Times New Roman;Times;Serif" w:hAnsi="Times New Roman;Times;Serif"/>
          <w:b/>
          <w:i w:val="false"/>
          <w:caps w:val="false"/>
          <w:smallCaps w:val="false"/>
          <w:sz w:val="17"/>
        </w:rPr>
        <w:t>ITEM 4. MINE SAFETY DISCLOSURES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Not applicable.</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bookmarkStart w:id="9" w:name="a_031"/>
      <w:bookmarkEnd w:id="9"/>
      <w:r>
        <w:rPr>
          <w:rFonts w:ascii="Times New Roman;Times;Serif" w:hAnsi="Times New Roman;Times;Serif"/>
          <w:b/>
          <w:i w:val="false"/>
          <w:caps w:val="false"/>
          <w:smallCaps w:val="false"/>
          <w:sz w:val="17"/>
        </w:rPr>
        <w:t>PART II</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10" w:name="a_008"/>
      <w:bookmarkEnd w:id="10"/>
      <w:r>
        <w:rPr>
          <w:rFonts w:ascii="Times New Roman;Times;Serif" w:hAnsi="Times New Roman;Times;Serif"/>
          <w:b/>
          <w:i w:val="false"/>
          <w:caps w:val="false"/>
          <w:smallCaps w:val="false"/>
          <w:sz w:val="17"/>
        </w:rPr>
        <w:t>ITEM 5. MARKET FOR REGISTRANT’S COMMON EQUITY, RELATED STOCKHOLDER MATTERS AND ISSUER PURCHASES OF EQUITY SECURITIES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Market Information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common stock began trading on The NASDAQ Capital Market in February 2013. The following table sets forth the high and low sale prices for our common stock as reported by The NASDAQ Capital Market for the periods indicated.</w:t>
      </w:r>
    </w:p>
    <w:p>
      <w:pPr>
        <w:pStyle w:val="TextBody"/>
        <w:ind w:left="0" w:right="0" w:firstLine="720"/>
        <w:jc w:val="both"/>
        <w:rPr>
          <w:caps w:val="false"/>
          <w:smallCaps w:val="false"/>
        </w:rPr>
      </w:pPr>
      <w:r>
        <w:rPr>
          <w:caps w:val="false"/>
          <w:smallCaps w:val="false"/>
        </w:rPr>
        <w:t> </w:t>
      </w:r>
    </w:p>
    <w:tbl>
      <w:tblPr>
        <w:tblW w:w="3145" w:type="dxa"/>
        <w:jc w:val="left"/>
        <w:tblInd w:w="0" w:type="dxa"/>
        <w:tblCellMar>
          <w:top w:w="0" w:type="dxa"/>
          <w:left w:w="0" w:type="dxa"/>
          <w:bottom w:w="28" w:type="dxa"/>
          <w:right w:w="0" w:type="dxa"/>
        </w:tblCellMar>
      </w:tblPr>
      <w:tblGrid>
        <w:gridCol w:w="1730"/>
        <w:gridCol w:w="60"/>
        <w:gridCol w:w="140"/>
        <w:gridCol w:w="440"/>
        <w:gridCol w:w="60"/>
        <w:gridCol w:w="60"/>
        <w:gridCol w:w="140"/>
        <w:gridCol w:w="440"/>
        <w:gridCol w:w="75"/>
      </w:tblGrid>
      <w:tr>
        <w:trPr/>
        <w:tc>
          <w:tcPr>
            <w:tcW w:w="1730" w:type="dxa"/>
            <w:tcBorders>
              <w:bottom w:val="single" w:sz="12" w:space="0" w:color="000000"/>
            </w:tcBorders>
            <w:shd w:fill="auto" w:val="clear"/>
            <w:vAlign w:val="center"/>
          </w:tcPr>
          <w:p>
            <w:pPr>
              <w:pStyle w:val="TableContents"/>
              <w:spacing w:before="0" w:after="283"/>
              <w:rPr>
                <w:b/>
              </w:rPr>
            </w:pPr>
            <w:r>
              <w:rPr>
                <w:b/>
              </w:rPr>
              <w:t>Fiscal Year 2017</w:t>
            </w:r>
          </w:p>
        </w:tc>
        <w:tc>
          <w:tcPr>
            <w:tcW w:w="60" w:type="dxa"/>
            <w:tcBorders/>
            <w:shd w:fill="auto" w:val="clear"/>
            <w:tcMar>
              <w:bottom w:w="0" w:type="dxa"/>
            </w:tcMar>
            <w:vAlign w:val="center"/>
          </w:tcPr>
          <w:p>
            <w:pPr>
              <w:pStyle w:val="TableContents"/>
              <w:spacing w:before="0" w:after="283"/>
              <w:rPr/>
            </w:pPr>
            <w:r>
              <w:rPr/>
              <w:t> </w:t>
            </w:r>
          </w:p>
        </w:tc>
        <w:tc>
          <w:tcPr>
            <w:tcW w:w="580" w:type="dxa"/>
            <w:gridSpan w:val="2"/>
            <w:tcBorders>
              <w:bottom w:val="single" w:sz="12" w:space="0" w:color="000000"/>
            </w:tcBorders>
            <w:shd w:fill="auto" w:val="clear"/>
            <w:vAlign w:val="center"/>
          </w:tcPr>
          <w:p>
            <w:pPr>
              <w:pStyle w:val="TableContents"/>
              <w:spacing w:before="0" w:after="283"/>
              <w:jc w:val="center"/>
              <w:rPr>
                <w:b/>
              </w:rPr>
            </w:pPr>
            <w:r>
              <w:rPr>
                <w:b/>
              </w:rPr>
              <w:t>High</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80" w:type="dxa"/>
            <w:gridSpan w:val="2"/>
            <w:tcBorders>
              <w:bottom w:val="single" w:sz="12" w:space="0" w:color="000000"/>
            </w:tcBorders>
            <w:shd w:fill="auto" w:val="clear"/>
            <w:vAlign w:val="center"/>
          </w:tcPr>
          <w:p>
            <w:pPr>
              <w:pStyle w:val="TableContents"/>
              <w:spacing w:before="0" w:after="283"/>
              <w:jc w:val="center"/>
              <w:rPr>
                <w:b/>
              </w:rPr>
            </w:pPr>
            <w:r>
              <w:rPr>
                <w:b/>
              </w:rPr>
              <w:t>Low</w:t>
            </w:r>
          </w:p>
        </w:tc>
        <w:tc>
          <w:tcPr>
            <w:tcW w:w="75" w:type="dxa"/>
            <w:tcBorders/>
            <w:shd w:fill="auto" w:val="clear"/>
            <w:tcMar>
              <w:bottom w:w="0" w:type="dxa"/>
            </w:tcMar>
            <w:vAlign w:val="center"/>
          </w:tcPr>
          <w:p>
            <w:pPr>
              <w:pStyle w:val="TableContents"/>
              <w:spacing w:before="0" w:after="283"/>
              <w:rPr/>
            </w:pPr>
            <w:r>
              <w:rPr/>
              <w:t> </w:t>
            </w:r>
          </w:p>
        </w:tc>
      </w:tr>
      <w:tr>
        <w:trPr/>
        <w:tc>
          <w:tcPr>
            <w:tcW w:w="1730" w:type="dxa"/>
            <w:tcBorders/>
            <w:shd w:fill="CCEEFF" w:val="clear"/>
            <w:tcMar>
              <w:bottom w:w="0" w:type="dxa"/>
            </w:tcMar>
            <w:vAlign w:val="center"/>
          </w:tcPr>
          <w:p>
            <w:pPr>
              <w:pStyle w:val="TableContents"/>
              <w:spacing w:before="0" w:after="283"/>
              <w:jc w:val="left"/>
              <w:rPr/>
            </w:pPr>
            <w:r>
              <w:rPr/>
              <w:t>First Quarter</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4.69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2.02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left"/>
              <w:rPr/>
            </w:pPr>
            <w:r>
              <w:rPr/>
              <w:t>Second Quarter</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4.65</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2.97</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730" w:type="dxa"/>
            <w:tcBorders/>
            <w:shd w:fill="CCEEFF" w:val="clear"/>
            <w:tcMar>
              <w:bottom w:w="0" w:type="dxa"/>
            </w:tcMar>
            <w:vAlign w:val="center"/>
          </w:tcPr>
          <w:p>
            <w:pPr>
              <w:pStyle w:val="TableContents"/>
              <w:spacing w:before="0" w:after="283"/>
              <w:jc w:val="left"/>
              <w:rPr/>
            </w:pPr>
            <w:r>
              <w:rPr/>
              <w:t>Third Quarter</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3.30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1.47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left"/>
              <w:rPr/>
            </w:pPr>
            <w:r>
              <w:rPr/>
              <w:t>Fourth Quarter</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2.79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1.35</w:t>
            </w:r>
          </w:p>
        </w:tc>
        <w:tc>
          <w:tcPr>
            <w:tcW w:w="75" w:type="dxa"/>
            <w:tcBorders/>
            <w:shd w:fill="FFFFFF" w:val="clear"/>
            <w:tcMar>
              <w:bottom w:w="0" w:type="dxa"/>
            </w:tcMar>
            <w:vAlign w:val="center"/>
          </w:tcPr>
          <w:p>
            <w:pPr>
              <w:pStyle w:val="TableContents"/>
              <w:spacing w:before="0" w:after="283"/>
              <w:jc w:val="left"/>
              <w:rPr/>
            </w:pPr>
            <w:r>
              <w:rPr/>
              <w:t> </w:t>
            </w:r>
          </w:p>
        </w:tc>
      </w:tr>
    </w:tbl>
    <w:p>
      <w:pPr>
        <w:pStyle w:val="TextBody"/>
        <w:rPr/>
      </w:pPr>
      <w:r>
        <w:rPr/>
        <w:t> </w:t>
      </w:r>
    </w:p>
    <w:tbl>
      <w:tblPr>
        <w:tblW w:w="3145" w:type="dxa"/>
        <w:jc w:val="left"/>
        <w:tblInd w:w="0" w:type="dxa"/>
        <w:tblCellMar>
          <w:top w:w="0" w:type="dxa"/>
          <w:left w:w="0" w:type="dxa"/>
          <w:bottom w:w="28" w:type="dxa"/>
          <w:right w:w="0" w:type="dxa"/>
        </w:tblCellMar>
      </w:tblPr>
      <w:tblGrid>
        <w:gridCol w:w="1730"/>
        <w:gridCol w:w="60"/>
        <w:gridCol w:w="140"/>
        <w:gridCol w:w="440"/>
        <w:gridCol w:w="60"/>
        <w:gridCol w:w="60"/>
        <w:gridCol w:w="140"/>
        <w:gridCol w:w="440"/>
        <w:gridCol w:w="75"/>
      </w:tblGrid>
      <w:tr>
        <w:trPr/>
        <w:tc>
          <w:tcPr>
            <w:tcW w:w="1730" w:type="dxa"/>
            <w:tcBorders>
              <w:bottom w:val="single" w:sz="12" w:space="0" w:color="000000"/>
            </w:tcBorders>
            <w:shd w:fill="auto" w:val="clear"/>
            <w:vAlign w:val="center"/>
          </w:tcPr>
          <w:p>
            <w:pPr>
              <w:pStyle w:val="TableContents"/>
              <w:spacing w:before="0" w:after="283"/>
              <w:jc w:val="both"/>
              <w:rPr>
                <w:b/>
              </w:rPr>
            </w:pPr>
            <w:r>
              <w:rPr>
                <w:b/>
              </w:rPr>
              <w:t>Fiscal Year 2018</w:t>
            </w:r>
          </w:p>
        </w:tc>
        <w:tc>
          <w:tcPr>
            <w:tcW w:w="60" w:type="dxa"/>
            <w:tcBorders/>
            <w:shd w:fill="auto" w:val="clear"/>
            <w:tcMar>
              <w:bottom w:w="0" w:type="dxa"/>
            </w:tcMar>
            <w:vAlign w:val="center"/>
          </w:tcPr>
          <w:p>
            <w:pPr>
              <w:pStyle w:val="TableContents"/>
              <w:spacing w:before="0" w:after="283"/>
              <w:rPr/>
            </w:pPr>
            <w:r>
              <w:rPr/>
              <w:t> </w:t>
            </w:r>
          </w:p>
        </w:tc>
        <w:tc>
          <w:tcPr>
            <w:tcW w:w="580" w:type="dxa"/>
            <w:gridSpan w:val="2"/>
            <w:tcBorders>
              <w:bottom w:val="single" w:sz="12" w:space="0" w:color="000000"/>
            </w:tcBorders>
            <w:shd w:fill="auto" w:val="clear"/>
            <w:vAlign w:val="center"/>
          </w:tcPr>
          <w:p>
            <w:pPr>
              <w:pStyle w:val="TableContents"/>
              <w:spacing w:before="0" w:after="283"/>
              <w:jc w:val="center"/>
              <w:rPr>
                <w:b/>
              </w:rPr>
            </w:pPr>
            <w:r>
              <w:rPr>
                <w:b/>
              </w:rPr>
              <w:t>High</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80" w:type="dxa"/>
            <w:gridSpan w:val="2"/>
            <w:tcBorders>
              <w:bottom w:val="single" w:sz="12" w:space="0" w:color="000000"/>
            </w:tcBorders>
            <w:shd w:fill="auto" w:val="clear"/>
            <w:vAlign w:val="center"/>
          </w:tcPr>
          <w:p>
            <w:pPr>
              <w:pStyle w:val="TableContents"/>
              <w:spacing w:before="0" w:after="283"/>
              <w:jc w:val="center"/>
              <w:rPr>
                <w:b/>
              </w:rPr>
            </w:pPr>
            <w:r>
              <w:rPr>
                <w:b/>
              </w:rPr>
              <w:t>Low</w:t>
            </w:r>
          </w:p>
        </w:tc>
        <w:tc>
          <w:tcPr>
            <w:tcW w:w="75" w:type="dxa"/>
            <w:tcBorders/>
            <w:shd w:fill="auto" w:val="clear"/>
            <w:tcMar>
              <w:bottom w:w="0" w:type="dxa"/>
            </w:tcMar>
            <w:vAlign w:val="center"/>
          </w:tcPr>
          <w:p>
            <w:pPr>
              <w:pStyle w:val="TableContents"/>
              <w:spacing w:before="0" w:after="283"/>
              <w:rPr/>
            </w:pPr>
            <w:r>
              <w:rPr/>
              <w:t> </w:t>
            </w:r>
          </w:p>
        </w:tc>
      </w:tr>
      <w:tr>
        <w:trPr/>
        <w:tc>
          <w:tcPr>
            <w:tcW w:w="1730" w:type="dxa"/>
            <w:tcBorders/>
            <w:shd w:fill="CCEEFF" w:val="clear"/>
            <w:tcMar>
              <w:bottom w:w="0" w:type="dxa"/>
            </w:tcMar>
            <w:vAlign w:val="center"/>
          </w:tcPr>
          <w:p>
            <w:pPr>
              <w:pStyle w:val="TableContents"/>
              <w:spacing w:before="0" w:after="283"/>
              <w:jc w:val="both"/>
              <w:rPr/>
            </w:pPr>
            <w:r>
              <w:rPr/>
              <w:t>First Quarter</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2.10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1.56</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both"/>
              <w:rPr/>
            </w:pPr>
            <w:r>
              <w:rPr/>
              <w:t>Second Quarter</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2.48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1.72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730" w:type="dxa"/>
            <w:tcBorders/>
            <w:shd w:fill="CCEEFF" w:val="clear"/>
            <w:tcMar>
              <w:bottom w:w="0" w:type="dxa"/>
            </w:tcMar>
            <w:vAlign w:val="center"/>
          </w:tcPr>
          <w:p>
            <w:pPr>
              <w:pStyle w:val="TableContents"/>
              <w:spacing w:before="0" w:after="283"/>
              <w:jc w:val="both"/>
              <w:rPr/>
            </w:pPr>
            <w:r>
              <w:rPr/>
              <w:t>Third Quarter</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3.24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440" w:type="dxa"/>
            <w:tcBorders/>
            <w:shd w:fill="CCEEFF" w:val="clear"/>
            <w:tcMar>
              <w:bottom w:w="0" w:type="dxa"/>
            </w:tcMar>
            <w:vAlign w:val="center"/>
          </w:tcPr>
          <w:p>
            <w:pPr>
              <w:pStyle w:val="TableContents"/>
              <w:spacing w:before="0" w:after="283"/>
              <w:jc w:val="right"/>
              <w:rPr/>
            </w:pPr>
            <w:r>
              <w:rPr/>
              <w:t>2.19</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both"/>
              <w:rPr/>
            </w:pPr>
            <w:r>
              <w:rPr/>
              <w:t>Fourth Quarter</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6.11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440" w:type="dxa"/>
            <w:tcBorders/>
            <w:shd w:fill="FFFFFF" w:val="clear"/>
            <w:tcMar>
              <w:bottom w:w="0" w:type="dxa"/>
            </w:tcMar>
            <w:vAlign w:val="center"/>
          </w:tcPr>
          <w:p>
            <w:pPr>
              <w:pStyle w:val="TableContents"/>
              <w:spacing w:before="0" w:after="283"/>
              <w:jc w:val="right"/>
              <w:rPr/>
            </w:pPr>
            <w:r>
              <w:rPr/>
              <w:t>2.25</w:t>
            </w:r>
          </w:p>
        </w:tc>
        <w:tc>
          <w:tcPr>
            <w:tcW w:w="75" w:type="dxa"/>
            <w:tcBorders/>
            <w:shd w:fill="FFFFFF" w:val="clear"/>
            <w:tcMar>
              <w:bottom w:w="0" w:type="dxa"/>
            </w:tcM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Holders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March 4, 2019, there were approximately 121 stockholders of record (excluding an indeterminable number of stockholders whose shares are held in street or “nominee” name) of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Dividends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not paid any dividends on our common stock since our inception and do not expect to pay dividends on our common stock in the foreseeable future. Further, our SWK loan agreement, described in Notes 13 to our consolidated financial statements included in this Annual Report, restricts our ability to pay cash dividends on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Recent Sales of Unregistered Securities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None.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11" w:name="a_009"/>
      <w:bookmarkEnd w:id="11"/>
      <w:r>
        <w:rPr>
          <w:rFonts w:ascii="Times New Roman;Times;Serif" w:hAnsi="Times New Roman;Times;Serif"/>
          <w:b/>
          <w:i w:val="false"/>
          <w:caps w:val="false"/>
          <w:smallCaps w:val="false"/>
          <w:sz w:val="17"/>
        </w:rPr>
        <w:t>ITEM 6. SELECTED FINANCIAL DATA</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Not applicable.</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The following discussion and analysis of our financial condition and results of operations should be read in conjunction with the consolidated financial statements and the related notes contained in this annual report on Form 10-K (Annual Report). Our consolidated financial statements have been prepared and, unless otherwise stated, the information derived therefrom as presented in this discussion and analysis is presented, in accordance with accounting principles generally accepted in the United States of America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 xml:space="preserve">As used in this discussion and analysis, unless the context indicates otherwise, the terms the “Company”, “Harrow” “we”, “us” and “our” refer to Harrow Health, Inc. and its consolidated subsidiaries, consisting of Park Compounding, Inc., Imprimis Rx NJ, LLC, Imprimis NJOF, LLC, Radley Pharmaceuticals, Inc. and Mayfield Pharmaceuticals, Inc.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Overview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business specializes in the development, production and sale of innovative medications that offer unique competitive advantages and serve unmet needs in the marketplace. Prior to 2017, the Company’s business was primarily focused on its ImprimisRx business, the nation’s leading ophthalmology pharmaceutical compounding business, and Park Compounding, Inc. (“Park”), a leading health and wellness compounding business. Since 2017, in addition to wholly-owning ImprimisRx and Park, we also have founded and have continuing equity positions in Eton Pharmaceuticals, Inc. (“Eton”), Surface Pharmaceuticals, Inc. (“Surface”), and Melt Pharmaceuticals, Inc. (“Melt”). In 2018, the Company also founded the subsidiaries Mayfield Pharmaceuticals, Inc. (“Mayfield”) and Radley Pharmaceuticals, Inc. (“Radley”). The Company owns royalty rights in certain 505(b)(2) drug candidates being developed by Eton, Surface, Melt, Radley and Mayfield. Harrow intends to continue to pursue its operations through subsidiaries for, and found, and hold equity and royalty rights, in, new businesses that commercialize drug candidates that are internally developed or otherwise acquired or licensed from third parties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Pharmaceutical Compounding Businesses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Pharmaceutical Compounding</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Pharmaceutical compounding is the science of combining different active pharmaceutical ingredients (APIs), all of which are approved by the U.S. Food and Drug Administration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ImprimisRx</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ImprimisRx is our ophthalmology focused pharmaceutical compounding business. We offer our over 3,000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current good manufacturing practices (or cGMPs) or other FDA guidance documents, in our FDA-registered NJOF outsourcing facility.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Park Compounding</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Park, our wholly owned subsidiary pharmacy based in Irvine, California, is focused on primarily on health and wellness related, customizable pharmaceutical compounding. Park dispenses sterile and non-sterile compounded medications prescribed by licensed practitioners when commercially available choices do not meet a patient’s needs. Park also produces and dispenses certain of our ophthalmology-based formulations.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Pharmaceutical Development Businesses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ownership interests in Eton, Surface, Melt, and Mayfield and hold royalty interests in certain of their drug candidates. These companies are pursuing market approval for their drug candidates under the FDCA, including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we formed and created subsidiaries named Radley and Mayfield, which we intend to operate similar to Eton, Surface and Melt. In addition, we intend to create additional subsidiaries that will be focused on the development and FDA approval of certain proprietary drug formulations that we currently own, will in-license/acquire and/or otherwise develop.</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Eton Pharmaceuticals, Inc.</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Eton is a pharmaceutical company focused on developing and commercializing innovative products utilizing the FDA’s 505(b)(2) regulatory pathway. Its pipeline includes seven products in various stages of development across a variety of dosage forms. Eton’s pipeline is focused on innovative 505(b)(2) products and obtaining FDA marketing approval for currently marketed but unapproved drugs.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May 2017, we entered into two asset purchase and license agreements (the “Eton License Agreements”) with our then wholly owned subsidiary, Eton. Pursuant to the Eton License Agreements, we assigned and licensed to Eton certain intellectual property and related rights to develop, formulate, make, sell, and sub-license our proprietary formulations including synthetic corticotropin (Eton drug candidate CT-100) (collectively, the “Harrow Products”). Eton, by itself or through a development partner, intends to seek FDA approval for the commercialization of CT-100 through the Section 505(b)(2) regulatory pathway. If approved by the FDA, Eton is required to make royalty payments to us on CT-100. In addition to CT-100, Eton has acquired several additional drug candidates and ones that qualify under the Drug Efficacy Study Implementation (DESI) program which it plans to develop and commercialize. Harrow is only eligible to receive royalties on CT-100 (corticotropin) and will not receive royalties on any other drug candidates currently being developed by Eton.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June 2017, Eton closed an offering of its Series A Preferred Stock. At the time of closing we lost our controlling interest, and deconsolidated Eton from our consolidated financial statements. As of the date of this Annual Report, we own approximately 19.98% of the equity and voting interests issued and outstanding of Eton.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Surface Pharmaceuticals, Inc.</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w:t>
      </w:r>
      <w:r>
        <w:rPr>
          <w:rFonts w:ascii="Times New Roman;Times;Serif" w:hAnsi="Times New Roman;Times;Serif"/>
          <w:b w:val="false"/>
          <w:i w:val="false"/>
          <w:caps w:val="false"/>
          <w:smallCaps w:val="false"/>
          <w:sz w:val="17"/>
          <w:highlight w:val="white"/>
        </w:rPr>
        <w:t xml:space="preserve">delivery vehicle known as Klarity Drops (“Klarity”), that was invented by Harrow board member and Surface’s chairman of the board and renowned ophthalmologist Dr. Richard Lindstrom. Klarity is designed to protect and rehabilitate the ocular surface pathology for patients with DED. Surface’s drug candidate SURF-300 is a patent-pending oral capsule that will target patients also suffering from DED signs and symptoms.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May and July 2018, Surface closed on an offering of its Series A Preferred Stock. At that time, we lost our controlling interest and deconsolidated Surface from our consolidated financial statements.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Melt Pharmaceuticals, Inc.</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Melt is a development-stage pharmaceutical company focused on the development and commercialization of proprietary non-intravenous, or non-intravenous (or IV), sedation and anesthesia therapeutics for human medical procedures in hospital, outpatient, and in-office settings. Melt intends to seek regulatory approval through the FDA’s 505(b)(2) regulatory pathway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up to eight percent (8%) of net sales of products described in the Melt Asset Purchase Agreement, while any patent rights remain outstanding, as well as other conditions.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January 2019, Melt closed on the sale of its Series A Preferred Stock. At the time of the closing of the Melt Series A Round, we lost our controlling interest, and deconsolidated Melt from our consolidated financial statements. We own approximately 44% of the equity and voting interests issued and outstanding of Melt. In addition to our Melt equity position and pursuant to the Melt Asset Purchase Agreement, Harrow is eligible to receive mid-single digit percent royalties on sales of contributed drug candidates.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Mayfield Pharmaceuticals, Inc.</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Mayfield, a consolidated subsidiary of Harrow, is a development-stage women’s and men’s health focused pharmaceutical company. Mayfield intends to seek regulatory approval through the FDA’s 505(b)(2) regulatory pathway for its proprietary drug candidates and technologies, including its lead drug candidates MAY-44 and MAY-66. MAY-44 is non-estrogen topical analgesic gel containing a patented pH-balanced formulation of 3.75% lidocaine and other essential excipients designed for use on mucosal surfaces. If FDA-approved, MAY-44 could become the first topical product indicated for dyspareunia. Other more recent estimates suggest dyspareunia affects greater than one in ten women (BJOG An International Journal of Obstetrics and Gynecology 2017). Mayfield’s MAY-66 drug candidate a patented, injectable form of pentoxifylline designed for use in the treatment of symptoms associated with Peyronie’s disease.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Mayfield and Harrow acquired the intellectual property associated with MAY-44 in January 2019 from Elle Pharmaceutical LLC (the “Mayfield Asset Purchase Agreement”) in exchange for $25,000, with an additional $175,000 due upon third party financing of Mayfield, 1 million shares of Mayfield common stock and a 7.5% royalty rate on sales of the product. Once we have finalized the drug candidate assets Mayfield will seek to build out the Mayfield management, board and clinical advisory team.</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Radley Pharmaceuticals, Inc.</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Radley, a consolidated subsidiary of Harrow, is a development-stage pharmaceutical company focused on the development of proprietary 505(b)(2) drug candidates focused on rare diseases. Radley currently has three proprietary drug candidates in its pipeline. During 2019, and prior to initiating significant development activities and costs related to these drug candidates, we intend to meet with FDA to establish and understand the expected clinical and regulatory path to approval for these drug candidates. We are also pursuing investigator-initiated studies for some of Radley’s drug candidates with well-known healthcare institutions. We believe this approach will allow us to better understand and weigh the economic costs, clinical feasibility and potential benefits associated with pursuing development activities associated with these drug candidates.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Factors Affecting Our Performance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Reimbursement Options and Pricing Optimization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our Dropless Therapy formulations may provide collective savings to Medicare, Medicaid and patients of up to $13 billion, with a most likely savings estimate of $8.7 billion, over a 10-year period. Based on this research, we believe optimized pricing for our Dropless Therapy formulations could be nearly $100 per dose. Any efforts to attain optimized pricing for our Dropless Therapy or any of our other proprietary formulations could fail, which could make our products less attractive or unavailable to some patients or could reduce our margins.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Recent Developments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describes certain developments in 2018 to date that are important to understand our financial condition and results of operations. See the notes to our consolidated financial statements included in this report for additional information about each of these developments.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Results of Operations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period-to-period comparisons of our financial results are not necessarily indicative of results for the current period or any future period.</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Comparison of Years Ended December 31, 2018 and 2017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 xml:space="preserve">Revenues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revenues include amounts recorded from sales of proprietary and non-proprietary pharmaceutical compounded drug formulations and revenues received from royalty and milestone payments owed to us pursuant to out-license arrangements.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presents our revenues for the years ended December 31, 2018 and 2017:</w:t>
      </w:r>
    </w:p>
    <w:p>
      <w:pPr>
        <w:pStyle w:val="TextBody"/>
        <w:jc w:val="both"/>
        <w:rPr>
          <w:caps w:val="false"/>
          <w:smallCaps w:val="false"/>
        </w:rPr>
      </w:pPr>
      <w:r>
        <w:rPr>
          <w:caps w:val="false"/>
          <w:smallCaps w:val="false"/>
        </w:rPr>
        <w:t> </w:t>
      </w:r>
    </w:p>
    <w:tbl>
      <w:tblPr>
        <w:tblW w:w="6150" w:type="dxa"/>
        <w:jc w:val="left"/>
        <w:tblInd w:w="0" w:type="dxa"/>
        <w:tblCellMar>
          <w:top w:w="0" w:type="dxa"/>
          <w:left w:w="0" w:type="dxa"/>
          <w:bottom w:w="0" w:type="dxa"/>
          <w:right w:w="0" w:type="dxa"/>
        </w:tblCellMar>
      </w:tblPr>
      <w:tblGrid>
        <w:gridCol w:w="1820"/>
        <w:gridCol w:w="60"/>
        <w:gridCol w:w="140"/>
        <w:gridCol w:w="1100"/>
        <w:gridCol w:w="60"/>
        <w:gridCol w:w="60"/>
        <w:gridCol w:w="140"/>
        <w:gridCol w:w="1100"/>
        <w:gridCol w:w="60"/>
        <w:gridCol w:w="60"/>
        <w:gridCol w:w="140"/>
        <w:gridCol w:w="1100"/>
        <w:gridCol w:w="310"/>
      </w:tblGrid>
      <w:tr>
        <w:trPr/>
        <w:tc>
          <w:tcPr>
            <w:tcW w:w="18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shd w:fill="auto" w:val="clear"/>
            <w:vAlign w:val="center"/>
          </w:tcPr>
          <w:p>
            <w:pPr>
              <w:pStyle w:val="TableContents"/>
              <w:spacing w:before="0" w:after="283"/>
              <w:jc w:val="center"/>
              <w:rPr>
                <w:b/>
              </w:rPr>
            </w:pPr>
            <w:r>
              <w:rPr>
                <w:b/>
              </w:rPr>
              <w:t>For the 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310"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Variance</w:t>
            </w:r>
          </w:p>
        </w:tc>
        <w:tc>
          <w:tcPr>
            <w:tcW w:w="310"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283"/>
              <w:jc w:val="left"/>
              <w:rPr>
                <w:b/>
              </w:rPr>
            </w:pPr>
            <w:r>
              <w:rPr>
                <w:b/>
              </w:rPr>
              <w:t>Product sales,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41,334,000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26,684,000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14,650,000</w:t>
            </w:r>
          </w:p>
        </w:tc>
        <w:tc>
          <w:tcPr>
            <w:tcW w:w="310" w:type="dxa"/>
            <w:tcBorders/>
            <w:shd w:fill="CCEEFF" w:val="clear"/>
            <w:vAlign w:val="center"/>
          </w:tcPr>
          <w:p>
            <w:pPr>
              <w:pStyle w:val="TableContents"/>
              <w:spacing w:before="0" w:after="283"/>
              <w:jc w:val="left"/>
              <w:rPr/>
            </w:pPr>
            <w:r>
              <w:rPr/>
              <w:t> </w:t>
            </w:r>
          </w:p>
        </w:tc>
      </w:tr>
      <w:tr>
        <w:trPr/>
        <w:tc>
          <w:tcPr>
            <w:tcW w:w="1820" w:type="dxa"/>
            <w:tcBorders/>
            <w:shd w:fill="FFFFFF" w:val="clear"/>
            <w:vAlign w:val="center"/>
          </w:tcPr>
          <w:p>
            <w:pPr>
              <w:pStyle w:val="TableContents"/>
              <w:spacing w:before="0" w:after="283"/>
              <w:jc w:val="left"/>
              <w:rPr>
                <w:b/>
              </w:rPr>
            </w:pPr>
            <w:r>
              <w:rPr>
                <w:b/>
              </w:rPr>
              <w:t>License revenues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38,000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90,000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(52,000</w:t>
            </w:r>
          </w:p>
        </w:tc>
        <w:tc>
          <w:tcPr>
            <w:tcW w:w="310" w:type="dxa"/>
            <w:tcBorders/>
            <w:shd w:fill="FFFFFF" w:val="clear"/>
            <w:vAlign w:val="center"/>
          </w:tcPr>
          <w:p>
            <w:pPr>
              <w:pStyle w:val="TableContents"/>
              <w:spacing w:before="0" w:after="283"/>
              <w:ind w:left="0" w:right="0" w:firstLine="200"/>
              <w:jc w:val="left"/>
              <w:rPr/>
            </w:pPr>
            <w:r>
              <w:rPr/>
              <w:t>)</w:t>
            </w:r>
          </w:p>
        </w:tc>
      </w:tr>
      <w:tr>
        <w:trPr/>
        <w:tc>
          <w:tcPr>
            <w:tcW w:w="1820" w:type="dxa"/>
            <w:tcBorders/>
            <w:shd w:fill="CCEEFF" w:val="clear"/>
            <w:vAlign w:val="center"/>
          </w:tcPr>
          <w:p>
            <w:pPr>
              <w:pStyle w:val="TableContents"/>
              <w:spacing w:before="0" w:after="283"/>
              <w:jc w:val="left"/>
              <w:rPr>
                <w:b/>
              </w:rPr>
            </w:pPr>
            <w:r>
              <w:rPr>
                <w:b/>
              </w:rPr>
              <w:t>Total revenues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41,372,000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26,774,000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14,598,000</w:t>
            </w:r>
          </w:p>
        </w:tc>
        <w:tc>
          <w:tcPr>
            <w:tcW w:w="310" w:type="dxa"/>
            <w:tcBorders/>
            <w:shd w:fill="CCEEFF" w:val="clear"/>
            <w:vAlign w:val="center"/>
          </w:tcPr>
          <w:p>
            <w:pPr>
              <w:pStyle w:val="TableContents"/>
              <w:spacing w:before="0" w:after="283"/>
              <w:jc w:val="left"/>
              <w:rPr/>
            </w:pPr>
            <w:r>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increase in revenue between periods was largely attributable to increased sales of our proprietary formulations and furtherance of our ophthalmology related compounded formulations. Our gross ophthalmology related sales were approximately $34,135,000 for the year ended December 31, 2018, compared to $19,137,000 during last year. Net revenues generated from our New Jersey based outsourcing facility (“NJOF”) (which include certain ophthalmology related sales) totaled $22,490,000 the year ended December 31, 2018, compared to $9,374,000 during last year.</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Cost of Sales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presents our cost of sales for the years ended December 31, 2018 and 2017:</w:t>
      </w:r>
    </w:p>
    <w:p>
      <w:pPr>
        <w:pStyle w:val="TextBody"/>
        <w:ind w:left="0" w:right="0" w:firstLine="720"/>
        <w:jc w:val="both"/>
        <w:rPr>
          <w:caps w:val="false"/>
          <w:smallCaps w:val="false"/>
        </w:rPr>
      </w:pPr>
      <w:r>
        <w:rPr>
          <w:caps w:val="false"/>
          <w:smallCaps w:val="false"/>
        </w:rPr>
        <w:t> </w:t>
      </w:r>
    </w:p>
    <w:tbl>
      <w:tblPr>
        <w:tblW w:w="5255" w:type="dxa"/>
        <w:jc w:val="left"/>
        <w:tblInd w:w="0" w:type="dxa"/>
        <w:tblCellMar>
          <w:top w:w="0" w:type="dxa"/>
          <w:left w:w="0" w:type="dxa"/>
          <w:bottom w:w="0" w:type="dxa"/>
          <w:right w:w="0" w:type="dxa"/>
        </w:tblCellMar>
      </w:tblPr>
      <w:tblGrid>
        <w:gridCol w:w="1280"/>
        <w:gridCol w:w="60"/>
        <w:gridCol w:w="140"/>
        <w:gridCol w:w="1100"/>
        <w:gridCol w:w="60"/>
        <w:gridCol w:w="60"/>
        <w:gridCol w:w="140"/>
        <w:gridCol w:w="1100"/>
        <w:gridCol w:w="60"/>
        <w:gridCol w:w="60"/>
        <w:gridCol w:w="140"/>
        <w:gridCol w:w="980"/>
        <w:gridCol w:w="75"/>
      </w:tblGrid>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shd w:fill="auto" w:val="clear"/>
            <w:vAlign w:val="center"/>
          </w:tcPr>
          <w:p>
            <w:pPr>
              <w:pStyle w:val="TableContents"/>
              <w:spacing w:before="0" w:after="283"/>
              <w:jc w:val="center"/>
              <w:rPr>
                <w:b/>
              </w:rPr>
            </w:pPr>
            <w:r>
              <w:rPr>
                <w:b/>
              </w:rPr>
              <w:t>For the 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Variance</w:t>
            </w:r>
          </w:p>
        </w:tc>
        <w:tc>
          <w:tcPr>
            <w:tcW w:w="75" w:type="dxa"/>
            <w:tcBorders/>
            <w:shd w:fill="auto"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283"/>
              <w:rPr>
                <w:b/>
              </w:rPr>
            </w:pPr>
            <w:r>
              <w:rPr>
                <w:b/>
              </w:rPr>
              <w:t>Cost of sales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16,521,000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13,505,000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spacing w:before="0" w:after="283"/>
              <w:jc w:val="right"/>
              <w:rPr/>
            </w:pPr>
            <w:r>
              <w:rPr/>
              <w:t>3,016,000</w:t>
            </w:r>
          </w:p>
        </w:tc>
        <w:tc>
          <w:tcPr>
            <w:tcW w:w="75" w:type="dxa"/>
            <w:tcBorders/>
            <w:shd w:fill="CCEEFF" w:val="clear"/>
            <w:vAlign w:val="center"/>
          </w:tcPr>
          <w:p>
            <w:pPr>
              <w:pStyle w:val="TableContents"/>
              <w:spacing w:before="0" w:after="283"/>
              <w:jc w:val="left"/>
              <w:rPr/>
            </w:pPr>
            <w:r>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increase in our cost of sales between periods was largely attributable to an increase in the volume of unit sales of our formulations and products and our associated costs of such sales.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Gross Profit and Margin</w:t>
      </w:r>
    </w:p>
    <w:p>
      <w:pPr>
        <w:pStyle w:val="TextBody"/>
        <w:jc w:val="both"/>
        <w:rPr>
          <w:caps w:val="false"/>
          <w:smallCaps w:val="false"/>
        </w:rPr>
      </w:pPr>
      <w:r>
        <w:rPr>
          <w:caps w:val="false"/>
          <w:smallCaps w:val="false"/>
        </w:rPr>
        <w:t> </w:t>
      </w:r>
    </w:p>
    <w:tbl>
      <w:tblPr>
        <w:tblW w:w="6005" w:type="dxa"/>
        <w:jc w:val="left"/>
        <w:tblInd w:w="0" w:type="dxa"/>
        <w:tblCellMar>
          <w:top w:w="0" w:type="dxa"/>
          <w:left w:w="0" w:type="dxa"/>
          <w:bottom w:w="0" w:type="dxa"/>
          <w:right w:w="0" w:type="dxa"/>
        </w:tblCellMar>
      </w:tblPr>
      <w:tblGrid>
        <w:gridCol w:w="1445"/>
        <w:gridCol w:w="60"/>
        <w:gridCol w:w="140"/>
        <w:gridCol w:w="1100"/>
        <w:gridCol w:w="215"/>
        <w:gridCol w:w="60"/>
        <w:gridCol w:w="140"/>
        <w:gridCol w:w="1100"/>
        <w:gridCol w:w="215"/>
        <w:gridCol w:w="60"/>
        <w:gridCol w:w="140"/>
        <w:gridCol w:w="1100"/>
        <w:gridCol w:w="230"/>
      </w:tblGrid>
      <w:tr>
        <w:trPr/>
        <w:tc>
          <w:tcPr>
            <w:tcW w:w="14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5" w:type="dxa"/>
            <w:gridSpan w:val="6"/>
            <w:tcBorders/>
            <w:shd w:fill="auto" w:val="clear"/>
            <w:vAlign w:val="center"/>
          </w:tcPr>
          <w:p>
            <w:pPr>
              <w:pStyle w:val="TableContents"/>
              <w:spacing w:before="0" w:after="283"/>
              <w:jc w:val="center"/>
              <w:rPr>
                <w:b/>
              </w:rPr>
            </w:pPr>
            <w:r>
              <w:rPr>
                <w:b/>
              </w:rPr>
              <w:t>For the year ended</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30" w:type="dxa"/>
            <w:tcBorders/>
            <w:shd w:fill="auto"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2018</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Variance</w:t>
            </w:r>
          </w:p>
        </w:tc>
        <w:tc>
          <w:tcPr>
            <w:tcW w:w="230"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283"/>
              <w:jc w:val="left"/>
              <w:rPr>
                <w:b/>
              </w:rPr>
            </w:pPr>
            <w:r>
              <w:rPr>
                <w:b/>
              </w:rPr>
              <w:t>Gross Profit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24,851,000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13,269,000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11,582,000</w:t>
            </w:r>
          </w:p>
        </w:tc>
        <w:tc>
          <w:tcPr>
            <w:tcW w:w="230" w:type="dxa"/>
            <w:tcBorders/>
            <w:shd w:fill="CCEEFF" w:val="clear"/>
            <w:vAlign w:val="center"/>
          </w:tcPr>
          <w:p>
            <w:pPr>
              <w:pStyle w:val="TableContents"/>
              <w:spacing w:before="0" w:after="283"/>
              <w:jc w:val="left"/>
              <w:rPr/>
            </w:pPr>
            <w:r>
              <w:rPr/>
              <w:t> </w:t>
            </w:r>
          </w:p>
        </w:tc>
      </w:tr>
      <w:tr>
        <w:trPr/>
        <w:tc>
          <w:tcPr>
            <w:tcW w:w="1445" w:type="dxa"/>
            <w:tcBorders/>
            <w:shd w:fill="FFFFFF" w:val="clear"/>
            <w:vAlign w:val="center"/>
          </w:tcPr>
          <w:p>
            <w:pPr>
              <w:pStyle w:val="TableContents"/>
              <w:spacing w:before="0" w:after="283"/>
              <w:jc w:val="left"/>
              <w:rPr>
                <w:b/>
              </w:rPr>
            </w:pPr>
            <w:r>
              <w:rPr>
                <w:b/>
              </w:rPr>
              <w:t>Gross Margin</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60.1</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49.6</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10.5</w:t>
            </w:r>
          </w:p>
        </w:tc>
        <w:tc>
          <w:tcPr>
            <w:tcW w:w="230" w:type="dxa"/>
            <w:tcBorders/>
            <w:shd w:fill="FFFFFF" w:val="clear"/>
            <w:vAlign w:val="center"/>
          </w:tcPr>
          <w:p>
            <w:pPr>
              <w:pStyle w:val="TableContents"/>
              <w:spacing w:before="0" w:after="283"/>
              <w:jc w:val="left"/>
              <w:rPr/>
            </w:pPr>
            <w:r>
              <w:rPr/>
              <w:t>%</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increase in gross profit and gross margin between periods is largely attributable to increased efficiencies in our production process and utilization of capacities as a result of increased output, in particular, at NJOF. We estimate gross margins at NJOF were greater than 60% during 2018.</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Selling, General and Administrative Expenses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presents our selling, general and administrative expenses for the year ended December 31, 2018 and 2017:</w:t>
      </w:r>
    </w:p>
    <w:p>
      <w:pPr>
        <w:pStyle w:val="TextBody"/>
        <w:ind w:left="0" w:right="0" w:firstLine="720"/>
        <w:jc w:val="both"/>
        <w:rPr>
          <w:caps w:val="false"/>
          <w:smallCaps w:val="false"/>
        </w:rPr>
      </w:pPr>
      <w:r>
        <w:rPr>
          <w:caps w:val="false"/>
          <w:smallCaps w:val="false"/>
        </w:rPr>
        <w:t> </w:t>
      </w:r>
    </w:p>
    <w:tbl>
      <w:tblPr>
        <w:tblW w:w="7520" w:type="dxa"/>
        <w:jc w:val="left"/>
        <w:tblInd w:w="0" w:type="dxa"/>
        <w:tblCellMar>
          <w:top w:w="0" w:type="dxa"/>
          <w:left w:w="0" w:type="dxa"/>
          <w:bottom w:w="0" w:type="dxa"/>
          <w:right w:w="0" w:type="dxa"/>
        </w:tblCellMar>
      </w:tblPr>
      <w:tblGrid>
        <w:gridCol w:w="3545"/>
        <w:gridCol w:w="60"/>
        <w:gridCol w:w="140"/>
        <w:gridCol w:w="1100"/>
        <w:gridCol w:w="60"/>
        <w:gridCol w:w="60"/>
        <w:gridCol w:w="140"/>
        <w:gridCol w:w="1100"/>
        <w:gridCol w:w="60"/>
        <w:gridCol w:w="60"/>
        <w:gridCol w:w="140"/>
        <w:gridCol w:w="980"/>
        <w:gridCol w:w="75"/>
      </w:tblGrid>
      <w:tr>
        <w:trPr/>
        <w:tc>
          <w:tcPr>
            <w:tcW w:w="35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shd w:fill="auto" w:val="clear"/>
            <w:vAlign w:val="center"/>
          </w:tcPr>
          <w:p>
            <w:pPr>
              <w:pStyle w:val="TableContents"/>
              <w:spacing w:before="0" w:after="283"/>
              <w:jc w:val="center"/>
              <w:rPr>
                <w:b/>
              </w:rPr>
            </w:pPr>
            <w:r>
              <w:rPr>
                <w:b/>
              </w:rPr>
              <w:t>For the 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35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Variance</w:t>
            </w:r>
          </w:p>
        </w:tc>
        <w:tc>
          <w:tcPr>
            <w:tcW w:w="75" w:type="dxa"/>
            <w:tcBorders/>
            <w:shd w:fill="auto" w:val="clear"/>
            <w:vAlign w:val="center"/>
          </w:tcPr>
          <w:p>
            <w:pPr>
              <w:pStyle w:val="TableContents"/>
              <w:spacing w:before="0" w:after="283"/>
              <w:rPr/>
            </w:pPr>
            <w:r>
              <w:rPr/>
              <w:t> </w:t>
            </w:r>
          </w:p>
        </w:tc>
      </w:tr>
      <w:tr>
        <w:trPr/>
        <w:tc>
          <w:tcPr>
            <w:tcW w:w="3545" w:type="dxa"/>
            <w:tcBorders/>
            <w:shd w:fill="CCEEFF" w:val="clear"/>
            <w:vAlign w:val="center"/>
          </w:tcPr>
          <w:p>
            <w:pPr>
              <w:pStyle w:val="TableContents"/>
              <w:spacing w:before="0" w:after="283"/>
              <w:jc w:val="left"/>
              <w:rPr>
                <w:b/>
              </w:rPr>
            </w:pPr>
            <w:r>
              <w:rPr>
                <w:b/>
              </w:rPr>
              <w:t>Selling, general and administrative</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29,243,000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25,019,000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spacing w:before="0" w:after="283"/>
              <w:jc w:val="right"/>
              <w:rPr/>
            </w:pPr>
            <w:r>
              <w:rPr/>
              <w:t>4,224,000</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increase in general and administrative expenses between periods was largely attributable to increased sales commission amounts, legal expenses and settlements incurred associated with ongoing litigation and costs related to the operations of Melt.</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 xml:space="preserve">Research and Development Expenses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research and development expenses primarily include expenses related to the development of acquired intellectual property, investigator-initiated research and evaluations and other costs related to the clinical development of our assets.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presents our research and development expenses for the years ended December 31, 2018 and 2017:</w:t>
      </w:r>
    </w:p>
    <w:p>
      <w:pPr>
        <w:pStyle w:val="TextBody"/>
        <w:jc w:val="both"/>
        <w:rPr>
          <w:caps w:val="false"/>
          <w:smallCaps w:val="false"/>
        </w:rPr>
      </w:pPr>
      <w:r>
        <w:rPr>
          <w:caps w:val="false"/>
          <w:smallCaps w:val="false"/>
        </w:rPr>
        <w:t> </w:t>
      </w:r>
    </w:p>
    <w:tbl>
      <w:tblPr>
        <w:tblW w:w="5985" w:type="dxa"/>
        <w:jc w:val="left"/>
        <w:tblInd w:w="0" w:type="dxa"/>
        <w:tblCellMar>
          <w:top w:w="0" w:type="dxa"/>
          <w:left w:w="0" w:type="dxa"/>
          <w:bottom w:w="0" w:type="dxa"/>
          <w:right w:w="0" w:type="dxa"/>
        </w:tblCellMar>
      </w:tblPr>
      <w:tblGrid>
        <w:gridCol w:w="2780"/>
        <w:gridCol w:w="60"/>
        <w:gridCol w:w="140"/>
        <w:gridCol w:w="800"/>
        <w:gridCol w:w="60"/>
        <w:gridCol w:w="60"/>
        <w:gridCol w:w="140"/>
        <w:gridCol w:w="800"/>
        <w:gridCol w:w="60"/>
        <w:gridCol w:w="60"/>
        <w:gridCol w:w="141"/>
        <w:gridCol w:w="809"/>
        <w:gridCol w:w="75"/>
      </w:tblGrid>
      <w:tr>
        <w:trPr/>
        <w:tc>
          <w:tcPr>
            <w:tcW w:w="27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00" w:type="dxa"/>
            <w:gridSpan w:val="6"/>
            <w:tcBorders/>
            <w:shd w:fill="auto" w:val="clear"/>
            <w:vAlign w:val="center"/>
          </w:tcPr>
          <w:p>
            <w:pPr>
              <w:pStyle w:val="TableContents"/>
              <w:spacing w:before="0" w:after="283"/>
              <w:jc w:val="center"/>
              <w:rPr>
                <w:b/>
              </w:rPr>
            </w:pPr>
            <w:r>
              <w:rPr>
                <w:b/>
              </w:rPr>
              <w:t>For the 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7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0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27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Variance</w:t>
            </w:r>
          </w:p>
        </w:tc>
        <w:tc>
          <w:tcPr>
            <w:tcW w:w="75" w:type="dxa"/>
            <w:tcBorders/>
            <w:shd w:fill="auto"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283"/>
              <w:jc w:val="left"/>
              <w:rPr>
                <w:b/>
              </w:rPr>
            </w:pPr>
            <w:r>
              <w:rPr>
                <w:b/>
              </w:rPr>
              <w:t>Research and development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pPr>
            <w:r>
              <w:rPr/>
              <w:t>825,000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pPr>
            <w:r>
              <w:rPr/>
              <w:t>413,000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09" w:type="dxa"/>
            <w:tcBorders>
              <w:bottom w:val="double" w:sz="6" w:space="0" w:color="000000"/>
            </w:tcBorders>
            <w:shd w:fill="CCEEFF" w:val="clear"/>
            <w:tcMar>
              <w:bottom w:w="28" w:type="dxa"/>
            </w:tcMar>
            <w:vAlign w:val="center"/>
          </w:tcPr>
          <w:p>
            <w:pPr>
              <w:pStyle w:val="TableContents"/>
              <w:spacing w:before="0" w:after="283"/>
              <w:jc w:val="right"/>
              <w:rPr/>
            </w:pPr>
            <w:r>
              <w:rPr/>
              <w:t>412,000</w:t>
            </w:r>
          </w:p>
        </w:tc>
        <w:tc>
          <w:tcPr>
            <w:tcW w:w="75" w:type="dxa"/>
            <w:tcBorders/>
            <w:shd w:fill="CCEEFF" w:val="clear"/>
            <w:vAlign w:val="center"/>
          </w:tcPr>
          <w:p>
            <w:pPr>
              <w:pStyle w:val="TableContents"/>
              <w:spacing w:before="0" w:after="283"/>
              <w:jc w:val="left"/>
              <w:rPr/>
            </w:pPr>
            <w:r>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increase in research and development expenses between periods was primarily attributable to the increase in formulation development studies and the clinical development program for our subsidiaries Radley and Melt (prior to its deconsolidation) that occurred during the year ended December 31, 2018.</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Interest Expense, net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Interest expense, net was $2,728,000 and $3,026,000 for the years ended December 31, 2018 and 2017, respectively. The decrease was primarily due to interest expense recognition related to the capital leases and deferred acquisition obligations related to our acquisition of Park.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Investment Gain from Eton Pharmaceuticals, net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7"/>
        </w:rPr>
        <w:t>During the year ended December 31, 2018 and December 31, 2017, we recorded a loss of $3,507,000 and $2,218,000, respectively, for our share of losses based on our ownership of Eton. We began using equity method accounting for our investment in Eton beginning on June 16, 2017, the date we no longer had a controlling interest, prior to that date, Eton’s losses were consolidated within our consolidated statements of operations. During the year ended December 31, 2017, we recorded a gain of $5,725,000 on the deconsolidation of Eton</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our ownership of Eton fell below 20% and we ceased accounting for our investment in Eton under equity method accounting, and we recorded investment income of $21,420,000 related to the fair market value of the 3,500,000 shares of Eton common stock we hold, based on the closing price Eton common stock of $6.12 per share as of December 31, 2018.</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See Note 2 and Note 4 in the notes to the consolidated financial statements for a more detailed explanation of these transactions.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Investment Gain from Surface Pharmaceuticals, net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we recorded a loss of $373,000, for our share of losses based on our ownership of Surface. We began using equity method accounting for our investment in Surface beginning on June 11, 2018, the date we no longer had a controlling interest, prior to that date, Surface’s losses were consolidated within our consolidated statements of operations. During the year ended December 31, 2018, we recorded a gain of $5,320,000 on the deconsolidation of Surface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See Note 2 and Note 5 in the notes to the consolidated financial statements for a more detailed explanation of these transactions.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Loss on Sale of Assets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2017, we recorded a loss of $354,000, mostly related to assets associated with the sale of Imprimis TX and our sinus assets.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2018 we recorded an expense of $393,000 related to the impairment and write-off of all amounts owed under a note receivable.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Other Income (Expense), net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2017 we recorded a loss on early extinguishment of debt of $884,000. In 2017, this loss was related to the early extinguishment of the LSAF Loan.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we recorded other income of $103,000 related primarily to expenses that were paid by us and reimbursed by Surface following its deconsolidation.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Income Tax Benefit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Income tax benefit was $935,000 for the year ended December 31, 2017, which was related to the net change in our deferred tax liabilities and assets, specifically those related to the Park acquisition and its identifiable intangible assets.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Net Income (Loss)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table presents our net income (loss) for the years ended December 31, 2018 and 2017:</w:t>
      </w:r>
    </w:p>
    <w:p>
      <w:pPr>
        <w:pStyle w:val="TextBody"/>
        <w:jc w:val="both"/>
        <w:rPr>
          <w:caps w:val="false"/>
          <w:smallCaps w:val="false"/>
        </w:rPr>
      </w:pPr>
      <w:r>
        <w:rPr>
          <w:caps w:val="false"/>
          <w:smallCaps w:val="false"/>
        </w:rPr>
        <w:t> </w:t>
      </w:r>
    </w:p>
    <w:tbl>
      <w:tblPr>
        <w:tblW w:w="7458" w:type="dxa"/>
        <w:jc w:val="left"/>
        <w:tblInd w:w="0" w:type="dxa"/>
        <w:tblCellMar>
          <w:top w:w="0" w:type="dxa"/>
          <w:left w:w="0" w:type="dxa"/>
          <w:bottom w:w="0" w:type="dxa"/>
          <w:right w:w="0" w:type="dxa"/>
        </w:tblCellMar>
      </w:tblPr>
      <w:tblGrid>
        <w:gridCol w:w="3380"/>
        <w:gridCol w:w="60"/>
        <w:gridCol w:w="213"/>
        <w:gridCol w:w="1681"/>
        <w:gridCol w:w="60"/>
        <w:gridCol w:w="60"/>
        <w:gridCol w:w="201"/>
        <w:gridCol w:w="1693"/>
        <w:gridCol w:w="110"/>
      </w:tblGrid>
      <w:tr>
        <w:trPr/>
        <w:tc>
          <w:tcPr>
            <w:tcW w:w="3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For the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For the</w:t>
            </w:r>
          </w:p>
        </w:tc>
        <w:tc>
          <w:tcPr>
            <w:tcW w:w="110"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Year Ended</w:t>
            </w:r>
          </w:p>
        </w:tc>
        <w:tc>
          <w:tcPr>
            <w:tcW w:w="110"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30, 2017</w:t>
            </w:r>
          </w:p>
        </w:tc>
        <w:tc>
          <w:tcPr>
            <w:tcW w:w="110"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283"/>
              <w:jc w:val="left"/>
              <w:rPr/>
            </w:pPr>
            <w:r>
              <w:rPr/>
              <w:t>Net income (loss)</w:t>
            </w:r>
          </w:p>
        </w:tc>
        <w:tc>
          <w:tcPr>
            <w:tcW w:w="60" w:type="dxa"/>
            <w:tcBorders/>
            <w:shd w:fill="CCEEFF" w:val="clear"/>
            <w:vAlign w:val="center"/>
          </w:tcPr>
          <w:p>
            <w:pPr>
              <w:pStyle w:val="TableContents"/>
              <w:spacing w:before="0" w:after="283"/>
              <w:rPr/>
            </w:pPr>
            <w:r>
              <w:rPr/>
              <w:t> </w:t>
            </w:r>
          </w:p>
        </w:tc>
        <w:tc>
          <w:tcPr>
            <w:tcW w:w="21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81" w:type="dxa"/>
            <w:tcBorders>
              <w:bottom w:val="double" w:sz="6" w:space="0" w:color="000000"/>
            </w:tcBorders>
            <w:shd w:fill="CCEEFF" w:val="clear"/>
            <w:tcMar>
              <w:bottom w:w="28" w:type="dxa"/>
            </w:tcMar>
            <w:vAlign w:val="center"/>
          </w:tcPr>
          <w:p>
            <w:pPr>
              <w:pStyle w:val="TableContents"/>
              <w:spacing w:before="0" w:after="283"/>
              <w:jc w:val="right"/>
              <w:rPr/>
            </w:pPr>
            <w:r>
              <w:rPr/>
              <w:t>14,625,000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93" w:type="dxa"/>
            <w:tcBorders>
              <w:bottom w:val="double" w:sz="6" w:space="0" w:color="000000"/>
            </w:tcBorders>
            <w:shd w:fill="CCEEFF" w:val="clear"/>
            <w:tcMar>
              <w:bottom w:w="28" w:type="dxa"/>
            </w:tcMar>
            <w:vAlign w:val="center"/>
          </w:tcPr>
          <w:p>
            <w:pPr>
              <w:pStyle w:val="TableContents"/>
              <w:spacing w:before="0" w:after="283"/>
              <w:jc w:val="right"/>
              <w:rPr/>
            </w:pPr>
            <w:r>
              <w:rPr/>
              <w:t>(11,985,000</w:t>
            </w:r>
          </w:p>
        </w:tc>
        <w:tc>
          <w:tcPr>
            <w:tcW w:w="110" w:type="dxa"/>
            <w:tcBorders/>
            <w:shd w:fill="CCEEFF" w:val="clear"/>
            <w:vAlign w:val="center"/>
          </w:tcPr>
          <w:p>
            <w:pPr>
              <w:pStyle w:val="TableContents"/>
              <w:spacing w:before="0" w:after="283"/>
              <w:jc w:val="left"/>
              <w:rPr/>
            </w:pPr>
            <w:r>
              <w:rPr/>
              <w:t>)</w:t>
            </w:r>
          </w:p>
        </w:tc>
      </w:tr>
      <w:tr>
        <w:trPr/>
        <w:tc>
          <w:tcPr>
            <w:tcW w:w="3380" w:type="dxa"/>
            <w:tcBorders/>
            <w:shd w:fill="FFFFFF" w:val="clear"/>
            <w:vAlign w:val="center"/>
          </w:tcPr>
          <w:p>
            <w:pPr>
              <w:pStyle w:val="TableContents"/>
              <w:spacing w:before="0" w:after="283"/>
              <w:jc w:val="left"/>
              <w:rPr/>
            </w:pPr>
            <w:r>
              <w:rPr/>
              <w:t>Net income (loss) per share, basic</w:t>
            </w:r>
          </w:p>
        </w:tc>
        <w:tc>
          <w:tcPr>
            <w:tcW w:w="60" w:type="dxa"/>
            <w:tcBorders/>
            <w:shd w:fill="FFFFFF" w:val="clear"/>
            <w:vAlign w:val="center"/>
          </w:tcPr>
          <w:p>
            <w:pPr>
              <w:pStyle w:val="TableContents"/>
              <w:spacing w:before="0" w:after="283"/>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681" w:type="dxa"/>
            <w:tcBorders>
              <w:bottom w:val="double" w:sz="6" w:space="0" w:color="000000"/>
            </w:tcBorders>
            <w:shd w:fill="FFFFFF" w:val="clear"/>
            <w:tcMar>
              <w:bottom w:w="28" w:type="dxa"/>
            </w:tcMar>
            <w:vAlign w:val="center"/>
          </w:tcPr>
          <w:p>
            <w:pPr>
              <w:pStyle w:val="TableContents"/>
              <w:spacing w:before="0" w:after="283"/>
              <w:jc w:val="right"/>
              <w:rPr/>
            </w:pPr>
            <w:r>
              <w:rPr/>
              <w:t>0.67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1"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693" w:type="dxa"/>
            <w:tcBorders>
              <w:bottom w:val="double" w:sz="6" w:space="0" w:color="000000"/>
            </w:tcBorders>
            <w:shd w:fill="FFFFFF" w:val="clear"/>
            <w:tcMar>
              <w:bottom w:w="28" w:type="dxa"/>
            </w:tcMar>
            <w:vAlign w:val="center"/>
          </w:tcPr>
          <w:p>
            <w:pPr>
              <w:pStyle w:val="TableContents"/>
              <w:spacing w:before="0" w:after="283"/>
              <w:jc w:val="right"/>
              <w:rPr/>
            </w:pPr>
            <w:r>
              <w:rPr/>
              <w:t>(0.60</w:t>
            </w:r>
          </w:p>
        </w:tc>
        <w:tc>
          <w:tcPr>
            <w:tcW w:w="110" w:type="dxa"/>
            <w:tcBorders/>
            <w:shd w:fill="FFFFFF" w:val="clear"/>
            <w:vAlign w:val="center"/>
          </w:tcPr>
          <w:p>
            <w:pPr>
              <w:pStyle w:val="TableContents"/>
              <w:spacing w:before="0" w:after="283"/>
              <w:jc w:val="left"/>
              <w:rPr/>
            </w:pPr>
            <w:r>
              <w:rPr/>
              <w:t>)</w:t>
            </w:r>
          </w:p>
        </w:tc>
      </w:tr>
      <w:tr>
        <w:trPr/>
        <w:tc>
          <w:tcPr>
            <w:tcW w:w="3380" w:type="dxa"/>
            <w:tcBorders/>
            <w:shd w:fill="CCEEFF" w:val="clear"/>
            <w:vAlign w:val="center"/>
          </w:tcPr>
          <w:p>
            <w:pPr>
              <w:pStyle w:val="TableContents"/>
              <w:spacing w:before="0" w:after="283"/>
              <w:jc w:val="left"/>
              <w:rPr/>
            </w:pPr>
            <w:r>
              <w:rPr/>
              <w:t>Net income (loss) per share, diluted</w:t>
            </w:r>
          </w:p>
        </w:tc>
        <w:tc>
          <w:tcPr>
            <w:tcW w:w="60" w:type="dxa"/>
            <w:tcBorders/>
            <w:shd w:fill="CCEEFF" w:val="clear"/>
            <w:vAlign w:val="center"/>
          </w:tcPr>
          <w:p>
            <w:pPr>
              <w:pStyle w:val="TableContents"/>
              <w:spacing w:before="0" w:after="283"/>
              <w:rPr/>
            </w:pPr>
            <w:r>
              <w:rPr/>
              <w:t> </w:t>
            </w:r>
          </w:p>
        </w:tc>
        <w:tc>
          <w:tcPr>
            <w:tcW w:w="21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81" w:type="dxa"/>
            <w:tcBorders>
              <w:bottom w:val="double" w:sz="6" w:space="0" w:color="000000"/>
            </w:tcBorders>
            <w:shd w:fill="CCEEFF" w:val="clear"/>
            <w:tcMar>
              <w:bottom w:w="28" w:type="dxa"/>
            </w:tcMar>
            <w:vAlign w:val="center"/>
          </w:tcPr>
          <w:p>
            <w:pPr>
              <w:pStyle w:val="TableContents"/>
              <w:spacing w:before="0" w:after="283"/>
              <w:jc w:val="right"/>
              <w:rPr/>
            </w:pPr>
            <w:r>
              <w:rPr/>
              <w:t>0.61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93" w:type="dxa"/>
            <w:tcBorders>
              <w:bottom w:val="double" w:sz="6" w:space="0" w:color="000000"/>
            </w:tcBorders>
            <w:shd w:fill="CCEEFF" w:val="clear"/>
            <w:tcMar>
              <w:bottom w:w="28" w:type="dxa"/>
            </w:tcMar>
            <w:vAlign w:val="center"/>
          </w:tcPr>
          <w:p>
            <w:pPr>
              <w:pStyle w:val="TableContents"/>
              <w:spacing w:before="0" w:after="283"/>
              <w:jc w:val="right"/>
              <w:rPr/>
            </w:pPr>
            <w:r>
              <w:rPr/>
              <w:t>(0.60</w:t>
            </w:r>
          </w:p>
        </w:tc>
        <w:tc>
          <w:tcPr>
            <w:tcW w:w="110" w:type="dxa"/>
            <w:tcBorders/>
            <w:shd w:fill="CCEEFF" w:val="cle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Liquidity and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Liquidity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cash on hand (including restricted cash) at December 31, 2018 was $6,838,000, compared to $4,219,000 at December 31, 2017. Since inception through December 31, 2018, we have incurred aggregate losses of $74,211,000.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the date of this Annual Report, we believe that cash and cash equivalents of $6,638,000 and restricted investments of $200,000 totaling approximately $6,838,000 at December 31, 2018, will be sufficient to sustain our planned level of operations and capital expenditures for at least the next 12 months. We also may consider the sale of certain assets including, but not limited to, part of, or all of, our ownership interest in Eton and/or any of our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Net Cash Flow</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provides detailed information about our net cash flows for the years ended December 31, 2018 and 2017:</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170"/>
        <w:gridCol w:w="60"/>
        <w:gridCol w:w="223"/>
        <w:gridCol w:w="1688"/>
        <w:gridCol w:w="95"/>
        <w:gridCol w:w="60"/>
        <w:gridCol w:w="209"/>
        <w:gridCol w:w="1588"/>
        <w:gridCol w:w="112"/>
      </w:tblGrid>
      <w:tr>
        <w:trPr/>
        <w:tc>
          <w:tcPr>
            <w:tcW w:w="6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11" w:type="dxa"/>
            <w:gridSpan w:val="2"/>
            <w:tcBorders/>
            <w:shd w:fill="auto" w:val="clear"/>
            <w:vAlign w:val="center"/>
          </w:tcPr>
          <w:p>
            <w:pPr>
              <w:pStyle w:val="TableContents"/>
              <w:spacing w:before="0" w:after="283"/>
              <w:jc w:val="center"/>
              <w:rPr>
                <w:b/>
              </w:rPr>
            </w:pPr>
            <w:r>
              <w:rPr>
                <w:b/>
              </w:rPr>
              <w:t>For the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7" w:type="dxa"/>
            <w:gridSpan w:val="2"/>
            <w:tcBorders/>
            <w:shd w:fill="auto" w:val="clear"/>
            <w:vAlign w:val="center"/>
          </w:tcPr>
          <w:p>
            <w:pPr>
              <w:pStyle w:val="TableContents"/>
              <w:spacing w:before="0" w:after="283"/>
              <w:jc w:val="center"/>
              <w:rPr>
                <w:b/>
              </w:rPr>
            </w:pPr>
            <w:r>
              <w:rPr>
                <w:b/>
              </w:rPr>
              <w:t>For the</w:t>
            </w:r>
          </w:p>
        </w:tc>
        <w:tc>
          <w:tcPr>
            <w:tcW w:w="112" w:type="dxa"/>
            <w:tcBorders/>
            <w:shd w:fill="auto" w:val="clear"/>
            <w:vAlign w:val="center"/>
          </w:tcPr>
          <w:p>
            <w:pPr>
              <w:pStyle w:val="TableContents"/>
              <w:spacing w:before="0" w:after="283"/>
              <w:rPr/>
            </w:pPr>
            <w:r>
              <w:rPr/>
              <w:t> </w:t>
            </w:r>
          </w:p>
        </w:tc>
      </w:tr>
      <w:tr>
        <w:trPr/>
        <w:tc>
          <w:tcPr>
            <w:tcW w:w="6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11" w:type="dxa"/>
            <w:gridSpan w:val="2"/>
            <w:tcBorders/>
            <w:shd w:fill="auto" w:val="clear"/>
            <w:vAlign w:val="center"/>
          </w:tcPr>
          <w:p>
            <w:pPr>
              <w:pStyle w:val="TableContents"/>
              <w:spacing w:before="0" w:after="283"/>
              <w:jc w:val="center"/>
              <w:rPr>
                <w:b/>
              </w:rPr>
            </w:pPr>
            <w:r>
              <w:rPr>
                <w:b/>
              </w:rPr>
              <w:t>Year Ended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7" w:type="dxa"/>
            <w:gridSpan w:val="2"/>
            <w:tcBorders/>
            <w:shd w:fill="auto" w:val="clear"/>
            <w:vAlign w:val="center"/>
          </w:tcPr>
          <w:p>
            <w:pPr>
              <w:pStyle w:val="TableContents"/>
              <w:spacing w:before="0" w:after="283"/>
              <w:jc w:val="center"/>
              <w:rPr>
                <w:b/>
              </w:rPr>
            </w:pPr>
            <w:r>
              <w:rPr>
                <w:b/>
              </w:rPr>
              <w:t>Year Ended</w:t>
            </w:r>
          </w:p>
        </w:tc>
        <w:tc>
          <w:tcPr>
            <w:tcW w:w="112" w:type="dxa"/>
            <w:tcBorders/>
            <w:shd w:fill="auto" w:val="clear"/>
            <w:vAlign w:val="center"/>
          </w:tcPr>
          <w:p>
            <w:pPr>
              <w:pStyle w:val="TableContents"/>
              <w:spacing w:before="0" w:after="283"/>
              <w:rPr/>
            </w:pPr>
            <w:r>
              <w:rPr/>
              <w:t> </w:t>
            </w:r>
          </w:p>
        </w:tc>
      </w:tr>
      <w:tr>
        <w:trPr/>
        <w:tc>
          <w:tcPr>
            <w:tcW w:w="6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1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r>
            <w:r>
              <w:rPr>
                <w:rFonts w:ascii="Times New Roman;Times;Serif" w:hAnsi="Times New Roman;Times;Serif"/>
                <w:b/>
                <w:sz w:val="17"/>
              </w:rPr>
              <w:t>2017</w:t>
            </w:r>
          </w:p>
        </w:tc>
        <w:tc>
          <w:tcPr>
            <w:tcW w:w="112" w:type="dxa"/>
            <w:tcBorders/>
            <w:shd w:fill="auto" w:val="clear"/>
            <w:vAlign w:val="center"/>
          </w:tcPr>
          <w:p>
            <w:pPr>
              <w:pStyle w:val="TableContents"/>
              <w:spacing w:before="0" w:after="283"/>
              <w:rPr/>
            </w:pPr>
            <w:r>
              <w:rPr/>
              <w:t> </w:t>
            </w:r>
          </w:p>
        </w:tc>
      </w:tr>
      <w:tr>
        <w:trPr/>
        <w:tc>
          <w:tcPr>
            <w:tcW w:w="6170" w:type="dxa"/>
            <w:tcBorders/>
            <w:shd w:fill="CCEEFF" w:val="clear"/>
            <w:vAlign w:val="center"/>
          </w:tcPr>
          <w:p>
            <w:pPr>
              <w:pStyle w:val="TableContents"/>
              <w:spacing w:before="0" w:after="283"/>
              <w:jc w:val="left"/>
              <w:rPr/>
            </w:pPr>
            <w:r>
              <w:rPr/>
              <w:t>Net cash provided by (used in) operating activities</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w:t>
            </w:r>
          </w:p>
        </w:tc>
        <w:tc>
          <w:tcPr>
            <w:tcW w:w="1688" w:type="dxa"/>
            <w:tcBorders/>
            <w:shd w:fill="CCEEFF" w:val="clear"/>
            <w:vAlign w:val="center"/>
          </w:tcPr>
          <w:p>
            <w:pPr>
              <w:pStyle w:val="TableContents"/>
              <w:spacing w:before="0" w:after="283"/>
              <w:jc w:val="right"/>
              <w:rPr/>
            </w:pPr>
            <w:r>
              <w:rPr/>
              <w:t>687,000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w:t>
            </w:r>
          </w:p>
        </w:tc>
        <w:tc>
          <w:tcPr>
            <w:tcW w:w="1588" w:type="dxa"/>
            <w:tcBorders/>
            <w:shd w:fill="CCEEFF" w:val="clear"/>
            <w:vAlign w:val="center"/>
          </w:tcPr>
          <w:p>
            <w:pPr>
              <w:pStyle w:val="TableContents"/>
              <w:spacing w:before="0" w:after="283"/>
              <w:jc w:val="right"/>
              <w:rPr/>
            </w:pPr>
            <w:r>
              <w:rPr/>
              <w:t>(8,803,000</w:t>
            </w:r>
          </w:p>
        </w:tc>
        <w:tc>
          <w:tcPr>
            <w:tcW w:w="112" w:type="dxa"/>
            <w:tcBorders/>
            <w:shd w:fill="CCEEFF" w:val="clear"/>
            <w:vAlign w:val="center"/>
          </w:tcPr>
          <w:p>
            <w:pPr>
              <w:pStyle w:val="TableContents"/>
              <w:spacing w:before="0" w:after="283"/>
              <w:jc w:val="left"/>
              <w:rPr/>
            </w:pPr>
            <w:r>
              <w:rPr/>
              <w:t>)</w:t>
            </w:r>
          </w:p>
        </w:tc>
      </w:tr>
      <w:tr>
        <w:trPr/>
        <w:tc>
          <w:tcPr>
            <w:tcW w:w="6170" w:type="dxa"/>
            <w:tcBorders/>
            <w:shd w:fill="FFFFFF" w:val="clear"/>
            <w:vAlign w:val="center"/>
          </w:tcPr>
          <w:p>
            <w:pPr>
              <w:pStyle w:val="TableContents"/>
              <w:spacing w:before="0" w:after="283"/>
              <w:jc w:val="left"/>
              <w:rPr/>
            </w:pPr>
            <w:r>
              <w:rPr/>
              <w:t>Net cash used in investing activities</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688" w:type="dxa"/>
            <w:tcBorders/>
            <w:shd w:fill="FFFFFF" w:val="clear"/>
            <w:vAlign w:val="center"/>
          </w:tcPr>
          <w:p>
            <w:pPr>
              <w:pStyle w:val="TableContents"/>
              <w:spacing w:before="0" w:after="283"/>
              <w:jc w:val="right"/>
              <w:rPr/>
            </w:pPr>
            <w:r>
              <w:rPr/>
              <w:t>(2,199,000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588" w:type="dxa"/>
            <w:tcBorders/>
            <w:shd w:fill="FFFFFF" w:val="clear"/>
            <w:vAlign w:val="center"/>
          </w:tcPr>
          <w:p>
            <w:pPr>
              <w:pStyle w:val="TableContents"/>
              <w:spacing w:before="0" w:after="283"/>
              <w:jc w:val="right"/>
              <w:rPr/>
            </w:pPr>
            <w:r>
              <w:rPr/>
              <w:t>(961,000</w:t>
            </w:r>
          </w:p>
        </w:tc>
        <w:tc>
          <w:tcPr>
            <w:tcW w:w="112" w:type="dxa"/>
            <w:tcBorders/>
            <w:shd w:fill="FFFFFF" w:val="clear"/>
            <w:vAlign w:val="center"/>
          </w:tcPr>
          <w:p>
            <w:pPr>
              <w:pStyle w:val="TableContents"/>
              <w:spacing w:before="0" w:after="283"/>
              <w:jc w:val="left"/>
              <w:rPr/>
            </w:pPr>
            <w:r>
              <w:rPr/>
              <w:t>)</w:t>
            </w:r>
          </w:p>
        </w:tc>
      </w:tr>
      <w:tr>
        <w:trPr/>
        <w:tc>
          <w:tcPr>
            <w:tcW w:w="6170" w:type="dxa"/>
            <w:tcBorders/>
            <w:shd w:fill="CCEEFF" w:val="clear"/>
            <w:vAlign w:val="center"/>
          </w:tcPr>
          <w:p>
            <w:pPr>
              <w:pStyle w:val="TableContents"/>
              <w:spacing w:before="0" w:after="283"/>
              <w:jc w:val="left"/>
              <w:rPr/>
            </w:pPr>
            <w:r>
              <w:rPr/>
              <w:t>Net cash provided by financing activities</w:t>
            </w:r>
          </w:p>
        </w:tc>
        <w:tc>
          <w:tcPr>
            <w:tcW w:w="60" w:type="dxa"/>
            <w:tcBorders/>
            <w:shd w:fill="CCEEFF" w:val="clear"/>
            <w:vAlign w:val="center"/>
          </w:tcPr>
          <w:p>
            <w:pPr>
              <w:pStyle w:val="TableContents"/>
              <w:spacing w:before="0" w:after="283"/>
              <w:rPr/>
            </w:pPr>
            <w:r>
              <w:rPr/>
              <w:t> </w:t>
            </w:r>
          </w:p>
        </w:tc>
        <w:tc>
          <w:tcPr>
            <w:tcW w:w="22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88" w:type="dxa"/>
            <w:tcBorders>
              <w:bottom w:val="single" w:sz="12" w:space="0" w:color="000000"/>
            </w:tcBorders>
            <w:shd w:fill="CCEEFF" w:val="clear"/>
            <w:tcMar>
              <w:bottom w:w="28" w:type="dxa"/>
            </w:tcMar>
            <w:vAlign w:val="center"/>
          </w:tcPr>
          <w:p>
            <w:pPr>
              <w:pStyle w:val="TableContents"/>
              <w:spacing w:before="0" w:after="283"/>
              <w:jc w:val="right"/>
              <w:rPr/>
            </w:pPr>
            <w:r>
              <w:rPr/>
              <w:t>4,131,000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88" w:type="dxa"/>
            <w:tcBorders>
              <w:bottom w:val="single" w:sz="12" w:space="0" w:color="000000"/>
            </w:tcBorders>
            <w:shd w:fill="CCEEFF" w:val="clear"/>
            <w:tcMar>
              <w:bottom w:w="28" w:type="dxa"/>
            </w:tcMar>
            <w:vAlign w:val="center"/>
          </w:tcPr>
          <w:p>
            <w:pPr>
              <w:pStyle w:val="TableContents"/>
              <w:spacing w:before="0" w:after="283"/>
              <w:jc w:val="right"/>
              <w:rPr/>
            </w:pPr>
            <w:r>
              <w:rPr/>
              <w:t>4,930,000</w:t>
            </w:r>
          </w:p>
        </w:tc>
        <w:tc>
          <w:tcPr>
            <w:tcW w:w="112" w:type="dxa"/>
            <w:tcBorders/>
            <w:shd w:fill="CCEEFF" w:val="clear"/>
            <w:vAlign w:val="center"/>
          </w:tcPr>
          <w:p>
            <w:pPr>
              <w:pStyle w:val="TableContents"/>
              <w:spacing w:before="0" w:after="283"/>
              <w:jc w:val="left"/>
              <w:rPr/>
            </w:pPr>
            <w:r>
              <w:rPr/>
              <w:t> </w:t>
            </w:r>
          </w:p>
        </w:tc>
      </w:tr>
      <w:tr>
        <w:trPr/>
        <w:tc>
          <w:tcPr>
            <w:tcW w:w="6170" w:type="dxa"/>
            <w:tcBorders/>
            <w:shd w:fill="FFFFFF" w:val="clear"/>
            <w:vAlign w:val="center"/>
          </w:tcPr>
          <w:p>
            <w:pPr>
              <w:pStyle w:val="TableContents"/>
              <w:spacing w:before="0" w:after="283"/>
              <w:jc w:val="left"/>
              <w:rPr/>
            </w:pPr>
            <w:r>
              <w:rPr/>
              <w:t>Net change in cash and cash equivalents</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688" w:type="dxa"/>
            <w:tcBorders/>
            <w:shd w:fill="FFFFFF" w:val="clear"/>
            <w:vAlign w:val="center"/>
          </w:tcPr>
          <w:p>
            <w:pPr>
              <w:pStyle w:val="TableContents"/>
              <w:spacing w:before="0" w:after="283"/>
              <w:jc w:val="right"/>
              <w:rPr/>
            </w:pPr>
            <w:r>
              <w:rPr/>
              <w:t>2,619,000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588" w:type="dxa"/>
            <w:tcBorders/>
            <w:shd w:fill="FFFFFF" w:val="clear"/>
            <w:vAlign w:val="center"/>
          </w:tcPr>
          <w:p>
            <w:pPr>
              <w:pStyle w:val="TableContents"/>
              <w:spacing w:before="0" w:after="283"/>
              <w:jc w:val="right"/>
              <w:rPr/>
            </w:pPr>
            <w:r>
              <w:rPr/>
              <w:t>(4,834,000</w:t>
            </w:r>
          </w:p>
        </w:tc>
        <w:tc>
          <w:tcPr>
            <w:tcW w:w="112" w:type="dxa"/>
            <w:tcBorders/>
            <w:shd w:fill="FFFFFF" w:val="clear"/>
            <w:vAlign w:val="center"/>
          </w:tcPr>
          <w:p>
            <w:pPr>
              <w:pStyle w:val="TableContents"/>
              <w:spacing w:before="0" w:after="283"/>
              <w:jc w:val="left"/>
              <w:rPr/>
            </w:pPr>
            <w:r>
              <w:rPr/>
              <w:t>)</w:t>
            </w:r>
          </w:p>
        </w:tc>
      </w:tr>
      <w:tr>
        <w:trPr/>
        <w:tc>
          <w:tcPr>
            <w:tcW w:w="6170" w:type="dxa"/>
            <w:tcBorders/>
            <w:shd w:fill="CCEEFF" w:val="clear"/>
            <w:vAlign w:val="center"/>
          </w:tcPr>
          <w:p>
            <w:pPr>
              <w:pStyle w:val="TableContents"/>
              <w:spacing w:before="0" w:after="283"/>
              <w:jc w:val="left"/>
              <w:rPr/>
            </w:pPr>
            <w:r>
              <w:rPr/>
              <w:t>Cash, cash equivalents and restricted cash at beginning of the period</w:t>
            </w:r>
          </w:p>
        </w:tc>
        <w:tc>
          <w:tcPr>
            <w:tcW w:w="60" w:type="dxa"/>
            <w:tcBorders/>
            <w:shd w:fill="CCEEFF" w:val="clear"/>
            <w:vAlign w:val="center"/>
          </w:tcPr>
          <w:p>
            <w:pPr>
              <w:pStyle w:val="TableContents"/>
              <w:spacing w:before="0" w:after="283"/>
              <w:rPr/>
            </w:pPr>
            <w:r>
              <w:rPr/>
              <w:t> </w:t>
            </w:r>
          </w:p>
        </w:tc>
        <w:tc>
          <w:tcPr>
            <w:tcW w:w="22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88" w:type="dxa"/>
            <w:tcBorders>
              <w:bottom w:val="single" w:sz="12" w:space="0" w:color="000000"/>
            </w:tcBorders>
            <w:shd w:fill="CCEEFF" w:val="clear"/>
            <w:tcMar>
              <w:bottom w:w="28" w:type="dxa"/>
            </w:tcMar>
            <w:vAlign w:val="center"/>
          </w:tcPr>
          <w:p>
            <w:pPr>
              <w:pStyle w:val="TableContents"/>
              <w:spacing w:before="0" w:after="283"/>
              <w:jc w:val="right"/>
              <w:rPr/>
            </w:pPr>
            <w:r>
              <w:rPr/>
              <w:t>4,219,000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88" w:type="dxa"/>
            <w:tcBorders>
              <w:bottom w:val="single" w:sz="12" w:space="0" w:color="000000"/>
            </w:tcBorders>
            <w:shd w:fill="CCEEFF" w:val="clear"/>
            <w:tcMar>
              <w:bottom w:w="28" w:type="dxa"/>
            </w:tcMar>
            <w:vAlign w:val="center"/>
          </w:tcPr>
          <w:p>
            <w:pPr>
              <w:pStyle w:val="TableContents"/>
              <w:spacing w:before="0" w:after="283"/>
              <w:jc w:val="right"/>
              <w:rPr/>
            </w:pPr>
            <w:r>
              <w:rPr/>
              <w:t>9,053,000</w:t>
            </w:r>
          </w:p>
        </w:tc>
        <w:tc>
          <w:tcPr>
            <w:tcW w:w="112" w:type="dxa"/>
            <w:tcBorders/>
            <w:shd w:fill="CCEEFF" w:val="clear"/>
            <w:vAlign w:val="center"/>
          </w:tcPr>
          <w:p>
            <w:pPr>
              <w:pStyle w:val="TableContents"/>
              <w:spacing w:before="0" w:after="283"/>
              <w:jc w:val="left"/>
              <w:rPr/>
            </w:pPr>
            <w:r>
              <w:rPr/>
              <w:t> </w:t>
            </w:r>
          </w:p>
        </w:tc>
      </w:tr>
      <w:tr>
        <w:trPr/>
        <w:tc>
          <w:tcPr>
            <w:tcW w:w="6170" w:type="dxa"/>
            <w:tcBorders/>
            <w:shd w:fill="FFFFFF" w:val="clear"/>
            <w:vAlign w:val="center"/>
          </w:tcPr>
          <w:p>
            <w:pPr>
              <w:pStyle w:val="TableContents"/>
              <w:spacing w:before="0" w:after="283"/>
              <w:jc w:val="left"/>
              <w:rPr/>
            </w:pPr>
            <w:r>
              <w:rPr/>
              <w:t>Cash, cash equivalents and restricted cash at end of the year</w:t>
            </w:r>
          </w:p>
        </w:tc>
        <w:tc>
          <w:tcPr>
            <w:tcW w:w="60" w:type="dxa"/>
            <w:tcBorders/>
            <w:shd w:fill="FFFFFF" w:val="clear"/>
            <w:vAlign w:val="center"/>
          </w:tcPr>
          <w:p>
            <w:pPr>
              <w:pStyle w:val="TableContents"/>
              <w:spacing w:before="0" w:after="283"/>
              <w:rPr/>
            </w:pPr>
            <w:r>
              <w:rPr/>
              <w:t> </w:t>
            </w:r>
          </w:p>
        </w:tc>
        <w:tc>
          <w:tcPr>
            <w:tcW w:w="22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688" w:type="dxa"/>
            <w:tcBorders>
              <w:bottom w:val="double" w:sz="6" w:space="0" w:color="000000"/>
            </w:tcBorders>
            <w:shd w:fill="FFFFFF" w:val="clear"/>
            <w:tcMar>
              <w:bottom w:w="28" w:type="dxa"/>
            </w:tcMar>
            <w:vAlign w:val="center"/>
          </w:tcPr>
          <w:p>
            <w:pPr>
              <w:pStyle w:val="TableContents"/>
              <w:spacing w:before="0" w:after="283"/>
              <w:jc w:val="right"/>
              <w:rPr/>
            </w:pPr>
            <w:r>
              <w:rPr/>
              <w:t>6,838,000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588" w:type="dxa"/>
            <w:tcBorders>
              <w:bottom w:val="double" w:sz="6" w:space="0" w:color="000000"/>
            </w:tcBorders>
            <w:shd w:fill="FFFFFF" w:val="clear"/>
            <w:tcMar>
              <w:bottom w:w="28" w:type="dxa"/>
            </w:tcMar>
            <w:vAlign w:val="center"/>
          </w:tcPr>
          <w:p>
            <w:pPr>
              <w:pStyle w:val="TableContents"/>
              <w:spacing w:before="0" w:after="283"/>
              <w:jc w:val="right"/>
              <w:rPr/>
            </w:pPr>
            <w:r>
              <w:rPr/>
              <w:t>4,219,000</w:t>
            </w:r>
          </w:p>
        </w:tc>
        <w:tc>
          <w:tcPr>
            <w:tcW w:w="112"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Operating Activities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Net cash provided by operating activities was $687,000 in 2018, as compared to $(8,803,000) used in operating activities in the prior year. The improvement in operating cash flows during the year ended December 31, 2018 as compared to 2017 is attributed to increased unit volumes and sales, production efficiencies and management of operating expenses.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Investing Activities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Net cash used in investing activities in 2018 and 2017 was $(2,199,000) and $(961,000), respectively. Cash used in investing activities in 2018 as compared to 2017 were primarily associated with additional equipment purchases, facility expansions and upgrades, and investments in our intellectual property portfolio.</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Financing Activities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Net cash provided by financing activities in 2018 and 2017 was $4,131,000 and $4,930,000, respectively. The cash provided by financing activities during 2018 is primarily attributable to proceeds from the exercise of warrants. Cash provided by financing activities during 2017 is primarily attributable to proceeds from the registered direct offering and sale of shares of common stock in March 2017 and through the Sales Agreement, and net proceeds from the SWK Loan (less the concurrent retirement of our then existing term loan).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Sources of Capital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principal sources of cash consist of cash provided by operating activities from our pharmaceutical compounding business. We may also sell some or all of our ownership interests in Eton, Surface, Melt or our other subsidiaries. We just recently began producing cash from our operations during 2018, however historically, we haven’t received sufficient revenues to support our operations and may not be able to continue to do so.</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Critical Accounting Policies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Revenue Recognition and Deferred Revenue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January 1, 2018, we adopted ASU 2014-09, using the modified retrospective transition method. There was no effect for any adjustments to retained earnings upon adoption of the standard on January 1, 2018. We have two primary streams of revenue: (1) revenue recognized from our sale of products within our pharmacy services and (2) revenue recognized from intellectual property license and asset purchase agreements.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Product Revenues from Pharmacy Services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sell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ASU 2014-09, we have identified the following:</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Identify the contract(s) with a customer: A contract exists with a customer at the time the prescription or order is received by the Company.</w:t>
            </w:r>
          </w:p>
        </w:tc>
      </w:tr>
      <w:tr>
        <w:trPr/>
        <w:tc>
          <w:tcPr>
            <w:tcW w:w="148"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tc>
      </w:tr>
      <w:tr>
        <w:trPr/>
        <w:tc>
          <w:tcPr>
            <w:tcW w:w="148"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Determine the transaction price: the transaction price is based on the product being sold to the customer, and any related customer discounts. These amounts are pre-determined and built into our order management software.</w:t>
            </w:r>
          </w:p>
        </w:tc>
      </w:tr>
      <w:tr>
        <w:trPr/>
        <w:tc>
          <w:tcPr>
            <w:tcW w:w="148"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Allocate the transaction price to the performance obligations in the contract: The transaction price associated with the product(s) being ordered is allocated according to the pre-determined amounts.</w:t>
            </w:r>
          </w:p>
        </w:tc>
      </w:tr>
      <w:tr>
        <w:trPr/>
        <w:tc>
          <w:tcPr>
            <w:tcW w:w="148"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5.</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Recognize revenue when (or as) the entity satisfies a performance obligation: At the time of shipment from the pharmacy or outsourcing facility the performance obligation has been met.</w:t>
            </w:r>
          </w:p>
        </w:tc>
      </w:tr>
    </w:tbl>
    <w:p>
      <w:pPr>
        <w:pStyle w:val="TextBody"/>
        <w:ind w:left="108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revenue recognition policy has been established for the pharmacy services division:</w:t>
      </w:r>
    </w:p>
    <w:p>
      <w:pPr>
        <w:pStyle w:val="TextBody"/>
        <w:jc w:val="both"/>
        <w:rPr>
          <w:caps w:val="false"/>
          <w:smallCaps w:val="false"/>
        </w:rPr>
      </w:pPr>
      <w:r>
        <w:rPr>
          <w:caps w:val="false"/>
          <w:smallCaps w:val="false"/>
        </w:rPr>
        <w:t> </w:t>
      </w:r>
    </w:p>
    <w:p>
      <w:pPr>
        <w:pStyle w:val="TextBody"/>
        <w:ind w:left="720" w:right="0" w:hanging="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We record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We will defer any revenues received for a product that has not been delivered or is subject to refund until such time that we and the customer jointly determine that the product has been delivered and no refund will be required.</w:t>
      </w:r>
    </w:p>
    <w:p>
      <w:pPr>
        <w:pStyle w:val="TextBody"/>
        <w:ind w:left="72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Intellectual Property License Revenues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currently hold five intellectual property license and related agreements in which we have promised to grant a license or sale which provides a customer with right to access our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it has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its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Investment in Eton Pharmaceuticals, Inc.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April 2017, we formed Eton as a wholly owned subsidiary. In June 2017 we lost voting and ownership control of Eton and ceased consolidating Eton’s financial statements. At the time of deconsolidation, we recorded a gain of $5,725 and adjusted the carrying value in Eton to reflect the increased valuation of Eton and our new ownership percent in accordance with ASC 810-10-40-4(c), </w:t>
      </w:r>
      <w:r>
        <w:rPr>
          <w:rFonts w:ascii="Times New Roman;Times;Serif" w:hAnsi="Times New Roman;Times;Serif"/>
          <w:b w:val="false"/>
          <w:i/>
          <w:caps w:val="false"/>
          <w:smallCaps w:val="false"/>
          <w:sz w:val="17"/>
        </w:rPr>
        <w:t>Consolidation</w:t>
      </w:r>
      <w:r>
        <w:rPr>
          <w:rFonts w:ascii="Times New Roman;Times;Serif" w:hAnsi="Times New Roman;Times;Serif"/>
          <w:b w:val="false"/>
          <w:i w:val="false"/>
          <w:caps w:val="false"/>
          <w:smallCaps w:val="false"/>
          <w:sz w:val="17"/>
        </w:rPr>
        <w:t>. At the time of deconsolidation, we used the equity method of accounting as management determined that we had the ability to exercise significant influence over the operating and financial decisions of Eton. Under this method, we recognized earnings and losses of Eton in its consolidated financial statements and adjusted the carrying amount of its investment in Eton accordingly. During the years ended December 31, 2018 and 2017, the Company recorded equity in net loss of Eton of $3,507,000 and $2,218,000 respectively.</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Following the close of the Eton IPO we estimate our common stock position in Eton equaled approximately 19.98% of the equity and voting interests issued and outstanding of Eton, and we ceased using the equity method of accounting for our investment in Eton. We recognize earnings and losses of Eton in our financial statements based on the fair market value of the shares owned and adjust the carrying amount of our investment in Eton accordingly. Eton’s common stock currently trades on the NASDAQ Global Market exchange. At December 31, 2018, the fair market value of Eton’s common stock was $6.12 per share, the closing share price of Eton common stock on that day.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Investment in Surface Pharmaceuticals, Inc.</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April 2017, we formed Surface as a wholly owned subsidiary. In May and July 2018, Surface entered into and closed on a definitive stock purchase agreement with an institutional investor for the purchase of Surface’s Series A Preferred Stock (the “Surface Series A Stock”) that resulted in total proceeds to Surface of approximately $21 million. At the time of the first closing in May 2018, we lost voting and ownership control of Surface and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(“IPO”) of Surface common stock or similar transaction.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the time of deconsolidation, we recorded a gain of $5.3 million and adjusted the carrying value in Surface to reflect the increased valuation of Surface and our new ownership percent in accordance with Accounting Standard Codification (“ASC”) 810-10-40-4(c), Consolidation.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own 3,500,000 common shares (which is approximately 30% of the equity interest as of December 31, 2018, and calculated after the second closing of the sale Series A Preferred Stock in July 2018) of Surface and use the equity method of accounting for this investment, as management has determined that we have the ability to exercise significant influence over the operating and financial decisions of Surface. Under this method, we recognize earnings and losses of Surface in our consolidated financial statements and adjust the carrying amount of our investment in Surface accordingly. Our share of earnings and losses are based on the shares of common stock and in-substance common stock of Surface held by us. Any intra-entity profits and losses are eliminated.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Stock-Based Compensation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 stock-based payments to employees, directors and consultants, including grants of stock options, warrants, restricted stock units and restricted stock, are recognized in the consolidated financial statements based upon their estimated fair values. We use the Black-Scholes-Merton option pricing model and Monte Carlo Simulation to estimate the fair value of stock-based awards. Fair value is determined at the date of grant. The financial statement effect of forfeitures is estimated at the time of grant and revised, if necessary, if the actual effect differs from those estimates.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accounting policy for equity instruments issued to consultants and vendors in exchange for goods and services follows the Financial Accounting Standards Board (FASB) guidance.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stock-based consulting expenses in our consolidated balance sheets.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Income Taxes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part of the process of preparing our consolidated financial statements, we must estimate our actual current tax liabilities and assess permanent and temporary differences that result from differing treatment of items for tax and accounting purposes. The temporary differences result in deferred tax assets and liabilities, which are included within the balance sheet. We must assess the likelihood that the deferred tax assets will be recovered from future taxable income and, to the extent we believe that recovery is not more likely than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statement of operations.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Research and Development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Intellectual Property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We began capitalizing certain costs associated with acquiring intellectual property rights during 2015, if costs are not capitalized they are expensed as incurred.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Impairment of Long-Lived Assets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Long-lived assets, such as furniture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Goodwill and Intangible Assets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Patents and trademarks are recorded at cost and capitalized at a time when the future economic benefits of such patents and trademarks become more certain. At that time, we capitalize third 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pStyle w:val="TextBody"/>
        <w:ind w:left="0" w:right="0" w:firstLine="720"/>
        <w:jc w:val="both"/>
        <w:rPr>
          <w:caps w:val="false"/>
          <w:smallCaps w:val="false"/>
        </w:rPr>
      </w:pPr>
      <w:r>
        <w:rPr>
          <w:caps w:val="false"/>
          <w:smallCaps w:val="false"/>
        </w:rPr>
        <w:t> </w:t>
      </w:r>
    </w:p>
    <w:tbl>
      <w:tblPr>
        <w:tblW w:w="8080" w:type="dxa"/>
        <w:jc w:val="left"/>
        <w:tblInd w:w="0" w:type="dxa"/>
        <w:tblCellMar>
          <w:top w:w="0" w:type="dxa"/>
          <w:left w:w="0" w:type="dxa"/>
          <w:bottom w:w="0" w:type="dxa"/>
          <w:right w:w="0" w:type="dxa"/>
        </w:tblCellMar>
      </w:tblPr>
      <w:tblGrid>
        <w:gridCol w:w="75"/>
        <w:gridCol w:w="170"/>
        <w:gridCol w:w="783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8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significant underperformance of the our business relative to expected operating results;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783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8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significant adverse economic and industry trends;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783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8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significant decline in the our market capitalization for an extended period of time relative to net book value;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783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8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expectations that a reporting unit will be sold or otherwise disposed.</w:t>
            </w:r>
          </w:p>
        </w:tc>
      </w:tr>
    </w:tbl>
    <w:p>
      <w:pPr>
        <w:pStyle w:val="TextBody"/>
        <w:ind w:left="108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goodwill impairment test consists of a two-step process as follows: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17"/>
        </w:rPr>
      </w:pPr>
      <w:r>
        <w:rPr>
          <w:rFonts w:ascii="Times New Roman;Times;Serif" w:hAnsi="Times New Roman;Times;Serif"/>
          <w:b/>
          <w:i/>
          <w:caps w:val="false"/>
          <w:smallCaps w:val="false"/>
          <w:sz w:val="17"/>
        </w:rPr>
        <w:t xml:space="preserve">Debt Issuance Costs and Debt Discount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Debt issuance costs and the debt discount are recorded net of note payable in the consolidated balance sheet. Amortization expense of debt issuance costs and the debt discount is calculated using the effective interest method over the term of the debt and is recorded in interest expense in the accompanying consolidated statement of operations.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Off-Balance Sheet Arrangements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7A. QUANTITATIVE AND QUALITATIVE DISCLOSURES ABOUT MARKET RISK</w:t>
      </w:r>
    </w:p>
    <w:p>
      <w:pPr>
        <w:pStyle w:val="TextBody"/>
        <w:shd w:fill="FFFFFF" w:val="clear"/>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Not applicable.</w:t>
      </w:r>
    </w:p>
    <w:p>
      <w:pPr>
        <w:pStyle w:val="TextBody"/>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17"/>
        </w:rPr>
      </w:pPr>
      <w:bookmarkStart w:id="14" w:name="a_012"/>
      <w:bookmarkEnd w:id="14"/>
      <w:r>
        <w:rPr>
          <w:rFonts w:ascii="Times New Roman;Times;Serif" w:hAnsi="Times New Roman;Times;Serif"/>
          <w:b/>
          <w:i w:val="false"/>
          <w:caps w:val="false"/>
          <w:smallCaps w:val="false"/>
          <w:sz w:val="17"/>
        </w:rPr>
        <w:t>ITEM 8. FINANCIAL STATEMENTS AND SUPPLEMENTARY DATA</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financial statements and supplementary data required by this item are included in this Annual Report beginning on page F-1 immediately following the signature page hereto and are incorporated herein by reference.</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15" w:name="a_013"/>
      <w:bookmarkEnd w:id="15"/>
      <w:r>
        <w:rPr>
          <w:rFonts w:ascii="Times New Roman;Times;Serif" w:hAnsi="Times New Roman;Times;Serif"/>
          <w:b/>
          <w:i w:val="false"/>
          <w:caps w:val="false"/>
          <w:smallCaps w:val="false"/>
          <w:sz w:val="17"/>
        </w:rPr>
        <w:t>ITEM 9. CHANGES IN AND DISAGREEMENTS WITH ACCOUNTANTS ON ACCOUNTING AND FINANCIAL DISCLOSURES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None.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16" w:name="a_014"/>
      <w:bookmarkEnd w:id="16"/>
      <w:r>
        <w:rPr>
          <w:rFonts w:ascii="Times New Roman;Times;Serif" w:hAnsi="Times New Roman;Times;Serif"/>
          <w:b/>
          <w:i w:val="false"/>
          <w:caps w:val="false"/>
          <w:smallCaps w:val="false"/>
          <w:sz w:val="17"/>
        </w:rPr>
        <w:t>ITEM 9A. CONTROLS AND PROCEDURES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Disclosure Controls and Procedures</w:t>
      </w:r>
    </w:p>
    <w:p>
      <w:pPr>
        <w:pStyle w:val="TextBody"/>
        <w:jc w:val="both"/>
        <w:rPr>
          <w:caps w:val="false"/>
          <w:smallCaps w:val="false"/>
        </w:rPr>
      </w:pPr>
      <w:r>
        <w:rPr>
          <w:caps w:val="false"/>
          <w:smallCaps w:val="false"/>
        </w:rPr>
        <w:t> </w:t>
      </w:r>
    </w:p>
    <w:p>
      <w:pPr>
        <w:pStyle w:val="TextBody"/>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2018, the end of the period covered by this Annual Report, pursuant to Rules 13a-15(b) and 15d-15(b) under the Securities Exchange Act of 1934, as amended (Exchange Act).</w:t>
      </w:r>
    </w:p>
    <w:p>
      <w:pPr>
        <w:pStyle w:val="TextBody"/>
        <w:ind w:left="0" w:right="0" w:firstLine="490"/>
        <w:jc w:val="both"/>
        <w:rPr>
          <w:caps w:val="false"/>
          <w:smallCaps w:val="false"/>
        </w:rPr>
      </w:pPr>
      <w:r>
        <w:rPr>
          <w:caps w:val="false"/>
          <w:smallCaps w:val="false"/>
        </w:rPr>
        <w:t> </w:t>
      </w:r>
    </w:p>
    <w:p>
      <w:pPr>
        <w:pStyle w:val="TextBody"/>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connection with that evaluation, our CEO and CFO concluded that, as of December 31, 2018,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pStyle w:val="TextBody"/>
        <w:ind w:left="0" w:right="0" w:firstLine="49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Management’s Annual Report on Internal Control over Financial Reporting</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Times New Roman;Times;Serif" w:hAnsi="Times New Roman;Times;Serif"/>
          <w:b w:val="false"/>
          <w:i/>
          <w:caps w:val="false"/>
          <w:smallCaps w:val="false"/>
          <w:sz w:val="17"/>
        </w:rPr>
        <w:t>Internal Control — Integrated Framework (2013)</w:t>
      </w:r>
      <w:r>
        <w:rPr>
          <w:rFonts w:ascii="Times New Roman;Times;Serif" w:hAnsi="Times New Roman;Times;Serif"/>
          <w:b w:val="false"/>
          <w:i w:val="false"/>
          <w:caps w:val="false"/>
          <w:smallCaps w:val="false"/>
          <w:sz w:val="17"/>
        </w:rPr>
        <w:t xml:space="preserve"> issued by the Committee of Sponsoring Organizations (COSO). Based on such evaluation, management concluded that our internal control over financial reporting was effective as of December 31, 2018.</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rules of the Securities and Exchange Commission that permit us to provide only management’s report in this Annual Report.</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 xml:space="preserve">Changes in Internal Control over Financial Reporting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There has been no change in our internal control over financial reporting (as defined in Rule 13a-15(f) under the Exchange Act) during our quarter ended December 31, 2018, that has materially affected, or is reasonably likely to materially affect our internal control over financial reporting.</w:t>
      </w:r>
    </w:p>
    <w:p>
      <w:pPr>
        <w:pStyle w:val="TextBody"/>
        <w:ind w:left="0" w:right="0" w:firstLine="49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Inherent Limitations on Effectiveness of Controls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17" w:name="a_015"/>
      <w:bookmarkEnd w:id="17"/>
      <w:r>
        <w:rPr>
          <w:rFonts w:ascii="Times New Roman;Times;Serif" w:hAnsi="Times New Roman;Times;Serif"/>
          <w:b/>
          <w:i w:val="false"/>
          <w:caps w:val="false"/>
          <w:smallCaps w:val="false"/>
          <w:sz w:val="17"/>
        </w:rPr>
        <w:t>ITEM 9B. OTHER INFORMATION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None.</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PART III</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19" w:name="a_017"/>
      <w:bookmarkEnd w:id="19"/>
      <w:r>
        <w:rPr>
          <w:rFonts w:ascii="Times New Roman;Times;Serif" w:hAnsi="Times New Roman;Times;Serif"/>
          <w:b/>
          <w:i w:val="false"/>
          <w:caps w:val="false"/>
          <w:smallCaps w:val="false"/>
          <w:sz w:val="17"/>
        </w:rPr>
        <w:t>ITEM 10. DIRECTORS, EXECUTIVE OFFICERS AND CORPORATE GOVERNANCE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Times New Roman;Times;Serif" w:hAnsi="Times New Roman;Times;Serif"/>
          <w:b w:val="false"/>
          <w:i w:val="false"/>
          <w:caps w:val="false"/>
          <w:smallCaps w:val="false"/>
          <w:position w:val="5"/>
          <w:sz w:val="13"/>
          <w:sz w:val="17"/>
        </w:rPr>
        <w:t>th</w:t>
      </w:r>
      <w:r>
        <w:rPr>
          <w:rFonts w:ascii="Times New Roman;Times;Serif" w:hAnsi="Times New Roman;Times;Serif"/>
          <w:b w:val="false"/>
          <w:i w:val="false"/>
          <w:caps w:val="false"/>
          <w:smallCaps w:val="false"/>
          <w:sz w:val="17"/>
        </w:rPr>
        <w:t xml:space="preserve"> day after the end of the fiscal year covered by this Annual Report.</w:t>
      </w:r>
    </w:p>
    <w:p>
      <w:pPr>
        <w:pStyle w:val="TextBody"/>
        <w:ind w:left="0" w:right="0" w:firstLine="49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20" w:name="a_018"/>
      <w:bookmarkEnd w:id="20"/>
      <w:r>
        <w:rPr>
          <w:rFonts w:ascii="Times New Roman;Times;Serif" w:hAnsi="Times New Roman;Times;Serif"/>
          <w:b/>
          <w:i w:val="false"/>
          <w:caps w:val="false"/>
          <w:smallCaps w:val="false"/>
          <w:sz w:val="17"/>
        </w:rPr>
        <w:t>ITEM 11. EXECUTIVE COMPENSATION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Times New Roman;Times;Serif" w:hAnsi="Times New Roman;Times;Serif"/>
          <w:b w:val="false"/>
          <w:i w:val="false"/>
          <w:caps w:val="false"/>
          <w:smallCaps w:val="false"/>
          <w:position w:val="5"/>
          <w:sz w:val="13"/>
          <w:sz w:val="17"/>
        </w:rPr>
        <w:t>th</w:t>
      </w:r>
      <w:r>
        <w:rPr>
          <w:rFonts w:ascii="Times New Roman;Times;Serif" w:hAnsi="Times New Roman;Times;Serif"/>
          <w:b w:val="false"/>
          <w:i w:val="false"/>
          <w:caps w:val="false"/>
          <w:smallCaps w:val="false"/>
          <w:sz w:val="17"/>
        </w:rPr>
        <w:t xml:space="preserve"> day after the end of the fiscal year covered by this Annual Report.</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21" w:name="a_019"/>
      <w:bookmarkEnd w:id="21"/>
      <w:r>
        <w:rPr>
          <w:rFonts w:ascii="Times New Roman;Times;Serif" w:hAnsi="Times New Roman;Times;Serif"/>
          <w:b/>
          <w:i w:val="false"/>
          <w:caps w:val="false"/>
          <w:smallCaps w:val="false"/>
          <w:sz w:val="17"/>
        </w:rPr>
        <w:t>ITEM 12. SECURITY OWNERSHIP OF CERTAIN BENEFICIAL OWNERS AND MANAGEMENT AND RELATED STOCKHOLDER MATTERS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Times New Roman;Times;Serif" w:hAnsi="Times New Roman;Times;Serif"/>
          <w:b w:val="false"/>
          <w:i w:val="false"/>
          <w:caps w:val="false"/>
          <w:smallCaps w:val="false"/>
          <w:position w:val="5"/>
          <w:sz w:val="13"/>
          <w:sz w:val="17"/>
        </w:rPr>
        <w:t>th</w:t>
      </w:r>
      <w:r>
        <w:rPr>
          <w:rFonts w:ascii="Times New Roman;Times;Serif" w:hAnsi="Times New Roman;Times;Serif"/>
          <w:b w:val="false"/>
          <w:i w:val="false"/>
          <w:caps w:val="false"/>
          <w:smallCaps w:val="false"/>
          <w:sz w:val="17"/>
        </w:rPr>
        <w:t xml:space="preserve"> day after the end of the fiscal year covered by this Annual Report.</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22" w:name="a_020"/>
      <w:bookmarkEnd w:id="22"/>
      <w:r>
        <w:rPr>
          <w:rFonts w:ascii="Times New Roman;Times;Serif" w:hAnsi="Times New Roman;Times;Serif"/>
          <w:b/>
          <w:i w:val="false"/>
          <w:caps w:val="false"/>
          <w:smallCaps w:val="false"/>
          <w:sz w:val="17"/>
        </w:rPr>
        <w:t>ITEM 13. CERTAIN RELATIONSHIPS AND RELATED TRANSACTIONS, AND DIRECTOR INDEPENDENCE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Times New Roman;Times;Serif" w:hAnsi="Times New Roman;Times;Serif"/>
          <w:b w:val="false"/>
          <w:i w:val="false"/>
          <w:caps w:val="false"/>
          <w:smallCaps w:val="false"/>
          <w:position w:val="5"/>
          <w:sz w:val="13"/>
          <w:sz w:val="17"/>
        </w:rPr>
        <w:t>th</w:t>
      </w:r>
      <w:r>
        <w:rPr>
          <w:rFonts w:ascii="Times New Roman;Times;Serif" w:hAnsi="Times New Roman;Times;Serif"/>
          <w:b w:val="false"/>
          <w:i w:val="false"/>
          <w:caps w:val="false"/>
          <w:smallCaps w:val="false"/>
          <w:sz w:val="17"/>
        </w:rPr>
        <w:t xml:space="preserve"> day after the end of the fiscal year covered by this Annual Report.</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23" w:name="a_021"/>
      <w:bookmarkEnd w:id="23"/>
      <w:r>
        <w:rPr>
          <w:rFonts w:ascii="Times New Roman;Times;Serif" w:hAnsi="Times New Roman;Times;Serif"/>
          <w:b/>
          <w:i w:val="false"/>
          <w:caps w:val="false"/>
          <w:smallCaps w:val="false"/>
          <w:sz w:val="17"/>
        </w:rPr>
        <w:t>ITEM 14. PRINCIPAL ACCOUNTANT FEES AND SERVICES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Times New Roman;Times;Serif" w:hAnsi="Times New Roman;Times;Serif"/>
          <w:b w:val="false"/>
          <w:i w:val="false"/>
          <w:caps w:val="false"/>
          <w:smallCaps w:val="false"/>
          <w:position w:val="5"/>
          <w:sz w:val="13"/>
          <w:sz w:val="17"/>
        </w:rPr>
        <w:t>th</w:t>
      </w:r>
      <w:r>
        <w:rPr>
          <w:rFonts w:ascii="Times New Roman;Times;Serif" w:hAnsi="Times New Roman;Times;Serif"/>
          <w:b w:val="false"/>
          <w:i w:val="false"/>
          <w:caps w:val="false"/>
          <w:smallCaps w:val="false"/>
          <w:sz w:val="17"/>
        </w:rPr>
        <w:t xml:space="preserve"> day after the end of the fiscal year covered by this Annual Report.</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PART IV</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bookmarkStart w:id="25" w:name="a_023"/>
      <w:bookmarkEnd w:id="25"/>
      <w:r>
        <w:rPr>
          <w:rFonts w:ascii="Times New Roman;Times;Serif" w:hAnsi="Times New Roman;Times;Serif"/>
          <w:b/>
          <w:i w:val="false"/>
          <w:caps w:val="false"/>
          <w:smallCaps w:val="false"/>
          <w:sz w:val="17"/>
        </w:rPr>
        <w:t>ITEM 15. EXHIBITS AND FINANCIAL STATEMENT SCHEDULES</w:t>
      </w:r>
    </w:p>
    <w:p>
      <w:pPr>
        <w:pStyle w:val="TextBody"/>
        <w:jc w:val="both"/>
        <w:rPr>
          <w:caps w:val="false"/>
          <w:smallCaps w:val="false"/>
        </w:rPr>
      </w:pPr>
      <w:r>
        <w:rPr>
          <w:caps w:val="false"/>
          <w:smallCaps w:val="false"/>
        </w:rPr>
        <w:t> </w:t>
      </w:r>
    </w:p>
    <w:tbl>
      <w:tblPr>
        <w:tblW w:w="4360" w:type="dxa"/>
        <w:jc w:val="left"/>
        <w:tblInd w:w="0" w:type="dxa"/>
        <w:tblCellMar>
          <w:top w:w="0" w:type="dxa"/>
          <w:left w:w="0" w:type="dxa"/>
          <w:bottom w:w="0" w:type="dxa"/>
          <w:right w:w="0" w:type="dxa"/>
        </w:tblCellMar>
      </w:tblPr>
      <w:tblGrid>
        <w:gridCol w:w="75"/>
        <w:gridCol w:w="215"/>
        <w:gridCol w:w="407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w:t>
            </w:r>
          </w:p>
        </w:tc>
        <w:tc>
          <w:tcPr>
            <w:tcW w:w="40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List of the following documents filed as part of the report: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60"/>
        <w:gridCol w:w="218"/>
        <w:gridCol w:w="9852"/>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1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w:t>
            </w:r>
          </w:p>
        </w:tc>
        <w:tc>
          <w:tcPr>
            <w:tcW w:w="98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See the index to our consolidated financial statements on page F-1 for a list of the financial statements being filed in this Annual Report.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18"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52"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1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w:t>
            </w:r>
          </w:p>
        </w:tc>
        <w:tc>
          <w:tcPr>
            <w:tcW w:w="98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 financial statement schedules are omitted because they are not applicable or the required information is shown in the consolidated financial statements or the notes thereto.</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18"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52"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1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w:t>
            </w:r>
          </w:p>
        </w:tc>
        <w:tc>
          <w:tcPr>
            <w:tcW w:w="98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See Item 15(b) below for all exhibits being filed or incorporated by reference herein.</w:t>
            </w:r>
          </w:p>
        </w:tc>
      </w:tr>
    </w:tbl>
    <w:p>
      <w:pPr>
        <w:pStyle w:val="TextBody"/>
        <w:rPr>
          <w:caps w:val="false"/>
          <w:smallCaps w:val="false"/>
        </w:rPr>
      </w:pPr>
      <w:r>
        <w:rPr>
          <w:caps w:val="false"/>
          <w:smallCaps w:val="false"/>
        </w:rPr>
        <w:t> </w:t>
      </w:r>
    </w:p>
    <w:tbl>
      <w:tblPr>
        <w:tblW w:w="6280" w:type="dxa"/>
        <w:jc w:val="left"/>
        <w:tblInd w:w="0" w:type="dxa"/>
        <w:tblCellMar>
          <w:top w:w="0" w:type="dxa"/>
          <w:left w:w="0" w:type="dxa"/>
          <w:bottom w:w="0" w:type="dxa"/>
          <w:right w:w="0" w:type="dxa"/>
        </w:tblCellMar>
      </w:tblPr>
      <w:tblGrid>
        <w:gridCol w:w="75"/>
        <w:gridCol w:w="230"/>
        <w:gridCol w:w="597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w:t>
            </w:r>
          </w:p>
        </w:tc>
        <w:tc>
          <w:tcPr>
            <w:tcW w:w="5975" w:type="dxa"/>
            <w:tcBorders/>
            <w:shd w:fill="auto" w:val="clear"/>
            <w:vAlign w:val="center"/>
          </w:tcPr>
          <w:p>
            <w:pPr>
              <w:pStyle w:val="TableContents"/>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Exhibits:</w:t>
            </w:r>
          </w:p>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Exhibit Index attached to this Annual Report is incorporated by reference herein.</w:t>
            </w:r>
          </w:p>
        </w:tc>
      </w:tr>
    </w:tbl>
    <w:p>
      <w:pPr>
        <w:pStyle w:val="TextBody"/>
        <w:jc w:val="center"/>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6" w:name="a_029"/>
      <w:bookmarkEnd w:id="26"/>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Pursuant to the requirements of Section 13 or 15(d) of the Securities Exchange Act of 1934, the registrant has duly caused this report to be signed on its behalf by the undersigned, thereunto duly authorized.</w:t>
      </w:r>
    </w:p>
    <w:p>
      <w:pPr>
        <w:pStyle w:val="TextBody"/>
        <w:ind w:left="0" w:right="0" w:firstLine="720"/>
        <w:jc w:val="both"/>
        <w:rPr>
          <w:caps w:val="false"/>
          <w:smallCaps w:val="false"/>
        </w:rPr>
      </w:pPr>
      <w:r>
        <w:rPr>
          <w:caps w:val="false"/>
          <w:smallCaps w:val="false"/>
        </w:rPr>
        <w:t> </w:t>
      </w:r>
    </w:p>
    <w:tbl>
      <w:tblPr>
        <w:tblW w:w="4285" w:type="dxa"/>
        <w:jc w:val="left"/>
        <w:tblInd w:w="0" w:type="dxa"/>
        <w:tblCellMar>
          <w:top w:w="0" w:type="dxa"/>
          <w:left w:w="0" w:type="dxa"/>
          <w:bottom w:w="0" w:type="dxa"/>
          <w:right w:w="0" w:type="dxa"/>
        </w:tblCellMar>
      </w:tblPr>
      <w:tblGrid>
        <w:gridCol w:w="75"/>
        <w:gridCol w:w="470"/>
        <w:gridCol w:w="374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21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HARROW HEALTH, INC.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21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By:</w:t>
            </w:r>
          </w:p>
        </w:tc>
        <w:tc>
          <w:tcPr>
            <w:tcW w:w="374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Mark L. Baum</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Name:</w:t>
            </w:r>
          </w:p>
        </w:tc>
        <w:tc>
          <w:tcPr>
            <w:tcW w:w="37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Mark L. Baum</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Title:</w:t>
            </w:r>
          </w:p>
        </w:tc>
        <w:tc>
          <w:tcPr>
            <w:tcW w:w="37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Chief Executive Officer (Principal Executive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caps w:val="false"/>
                <w:smallCaps w:val="false"/>
              </w:rPr>
            </w:pPr>
            <w:r>
              <w:rPr>
                <w:caps w:val="false"/>
                <w:smallCaps w:val="false"/>
              </w:rPr>
              <w:t> </w:t>
            </w:r>
          </w:p>
        </w:tc>
        <w:tc>
          <w:tcPr>
            <w:tcW w:w="374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Date:</w:t>
            </w:r>
          </w:p>
        </w:tc>
        <w:tc>
          <w:tcPr>
            <w:tcW w:w="37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bookmarkStart w:id="27" w:name="h_001"/>
      <w:bookmarkEnd w:id="27"/>
      <w:r>
        <w:rPr>
          <w:rFonts w:ascii="Times New Roman;Times;Serif" w:hAnsi="Times New Roman;Times;Serif"/>
          <w:b/>
          <w:i w:val="false"/>
          <w:caps w:val="false"/>
          <w:smallCaps w:val="false"/>
          <w:sz w:val="17"/>
        </w:rPr>
        <w:t>POWER OF ATTORNEY</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Pursuant to the requirements of the Securities Exchange Act of 1934, this report has been signed below by the following persons on behalf of the registrant and in the capacities and on the dates indicated.</w:t>
      </w:r>
    </w:p>
    <w:p>
      <w:pPr>
        <w:pStyle w:val="TextBody"/>
        <w:ind w:left="0" w:right="0" w:firstLine="720"/>
        <w:rPr>
          <w:caps w:val="false"/>
          <w:smallCaps w:val="false"/>
        </w:rPr>
      </w:pPr>
      <w:r>
        <w:rPr>
          <w:caps w:val="false"/>
          <w:smallCaps w:val="false"/>
        </w:rPr>
        <w:t> </w:t>
      </w:r>
    </w:p>
    <w:tbl>
      <w:tblPr>
        <w:tblW w:w="6150" w:type="dxa"/>
        <w:jc w:val="left"/>
        <w:tblInd w:w="0" w:type="dxa"/>
        <w:tblCellMar>
          <w:top w:w="0" w:type="dxa"/>
          <w:left w:w="0" w:type="dxa"/>
          <w:bottom w:w="28" w:type="dxa"/>
          <w:right w:w="0" w:type="dxa"/>
        </w:tblCellMar>
      </w:tblPr>
      <w:tblGrid>
        <w:gridCol w:w="1700"/>
        <w:gridCol w:w="60"/>
        <w:gridCol w:w="3170"/>
        <w:gridCol w:w="60"/>
        <w:gridCol w:w="1160"/>
      </w:tblGrid>
      <w:tr>
        <w:trPr/>
        <w:tc>
          <w:tcPr>
            <w:tcW w:w="17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Signature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Title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Date</w:t>
            </w:r>
          </w:p>
        </w:tc>
      </w:tr>
      <w:tr>
        <w:trPr/>
        <w:tc>
          <w:tcPr>
            <w:tcW w:w="170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caps w:val="false"/>
                <w:smallCaps w:val="false"/>
                <w:sz w:val="17"/>
              </w:rPr>
              <w:t>/s/ Mark L. Baum</w:t>
            </w:r>
            <w:r>
              <w:rPr>
                <w:rFonts w:ascii="Times New Roman;Times;Serif" w:hAnsi="Times New Roman;Times;Serif"/>
                <w:b w:val="false"/>
                <w:i w:val="false"/>
                <w:caps w:val="false"/>
                <w:smallCaps w:val="false"/>
                <w:sz w:val="17"/>
              </w:rPr>
              <w:t xml:space="preserve"> </w:t>
            </w:r>
          </w:p>
        </w:tc>
        <w:tc>
          <w:tcPr>
            <w:tcW w:w="60" w:type="dxa"/>
            <w:tcBorders>
              <w:bottom w:val="single" w:sz="24" w:space="0" w:color="FFFFFF"/>
            </w:tcBorders>
            <w:shd w:fill="auto" w:val="clear"/>
            <w:vAlign w:val="center"/>
          </w:tcPr>
          <w:p>
            <w:pPr>
              <w:pStyle w:val="TableContents"/>
              <w:spacing w:before="0" w:after="283"/>
              <w:rPr>
                <w:caps w:val="false"/>
                <w:smallCaps w:val="false"/>
              </w:rPr>
            </w:pPr>
            <w:r>
              <w:rPr>
                <w:caps w:val="false"/>
                <w:smallCaps w:val="false"/>
              </w:rPr>
              <w:t> </w:t>
            </w:r>
          </w:p>
        </w:tc>
        <w:tc>
          <w:tcPr>
            <w:tcW w:w="3170" w:type="dxa"/>
            <w:tcBorders>
              <w:bottom w:val="single" w:sz="24" w:space="0" w:color="FFFFFF"/>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Chief Executive Officer and Director</w:t>
            </w:r>
          </w:p>
        </w:tc>
        <w:tc>
          <w:tcPr>
            <w:tcW w:w="60" w:type="dxa"/>
            <w:tcBorders>
              <w:bottom w:val="single" w:sz="24" w:space="0" w:color="FFFFFF"/>
            </w:tcBorders>
            <w:shd w:fill="auto" w:val="clear"/>
            <w:vAlign w:val="center"/>
          </w:tcPr>
          <w:p>
            <w:pPr>
              <w:pStyle w:val="TableContents"/>
              <w:spacing w:before="0" w:after="283"/>
              <w:rPr>
                <w:caps w:val="false"/>
                <w:smallCaps w:val="false"/>
              </w:rPr>
            </w:pPr>
            <w:r>
              <w:rPr>
                <w:caps w:val="false"/>
                <w:smallCaps w:val="false"/>
              </w:rPr>
              <w:t> </w:t>
            </w:r>
          </w:p>
        </w:tc>
        <w:tc>
          <w:tcPr>
            <w:tcW w:w="1160" w:type="dxa"/>
            <w:tcBorders>
              <w:bottom w:val="single" w:sz="24" w:space="0" w:color="FFFFFF"/>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Mark L. Baum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(Principal Executive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caps w:val="false"/>
                <w:smallCaps w:val="false"/>
                <w:sz w:val="17"/>
              </w:rPr>
              <w:t>/s/ Andrew R. Boll</w:t>
            </w:r>
            <w:r>
              <w:rPr>
                <w:rFonts w:ascii="Times New Roman;Times;Serif" w:hAnsi="Times New Roman;Times;Serif"/>
                <w:b w:val="false"/>
                <w:i w:val="false"/>
                <w:caps w:val="false"/>
                <w:smallCaps w:val="false"/>
                <w:sz w:val="17"/>
              </w:rPr>
              <w:t xml:space="preserve"> </w:t>
            </w:r>
          </w:p>
        </w:tc>
        <w:tc>
          <w:tcPr>
            <w:tcW w:w="60" w:type="dxa"/>
            <w:tcBorders>
              <w:bottom w:val="single" w:sz="24" w:space="0" w:color="FFFFFF"/>
            </w:tcBorders>
            <w:shd w:fill="auto" w:val="clear"/>
            <w:vAlign w:val="center"/>
          </w:tcPr>
          <w:p>
            <w:pPr>
              <w:pStyle w:val="TableContents"/>
              <w:spacing w:before="0" w:after="283"/>
              <w:rPr>
                <w:caps w:val="false"/>
                <w:smallCaps w:val="false"/>
              </w:rPr>
            </w:pPr>
            <w:r>
              <w:rPr>
                <w:caps w:val="false"/>
                <w:smallCaps w:val="false"/>
              </w:rPr>
              <w:t> </w:t>
            </w:r>
          </w:p>
        </w:tc>
        <w:tc>
          <w:tcPr>
            <w:tcW w:w="3170" w:type="dxa"/>
            <w:tcBorders>
              <w:bottom w:val="single" w:sz="24" w:space="0" w:color="FFFFFF"/>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Chief Financial Officer</w:t>
            </w:r>
          </w:p>
        </w:tc>
        <w:tc>
          <w:tcPr>
            <w:tcW w:w="60" w:type="dxa"/>
            <w:tcBorders>
              <w:bottom w:val="single" w:sz="24" w:space="0" w:color="FFFFFF"/>
            </w:tcBorders>
            <w:shd w:fill="auto" w:val="clear"/>
            <w:vAlign w:val="center"/>
          </w:tcPr>
          <w:p>
            <w:pPr>
              <w:pStyle w:val="TableContents"/>
              <w:spacing w:before="0" w:after="283"/>
              <w:rPr>
                <w:caps w:val="false"/>
                <w:smallCaps w:val="false"/>
              </w:rPr>
            </w:pPr>
            <w:r>
              <w:rPr>
                <w:caps w:val="false"/>
                <w:smallCaps w:val="false"/>
              </w:rPr>
              <w:t> </w:t>
            </w:r>
          </w:p>
        </w:tc>
        <w:tc>
          <w:tcPr>
            <w:tcW w:w="1160" w:type="dxa"/>
            <w:tcBorders>
              <w:bottom w:val="single" w:sz="24" w:space="0" w:color="FFFFFF"/>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Andrew R. Boll</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(Principal Accounting and Financial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caps w:val="false"/>
                <w:smallCaps w:val="false"/>
                <w:sz w:val="17"/>
              </w:rPr>
              <w:t>/s/ Robert J. Kammer</w:t>
            </w:r>
            <w:r>
              <w:rPr>
                <w:rFonts w:ascii="Times New Roman;Times;Serif" w:hAnsi="Times New Roman;Times;Serif"/>
                <w:b w:val="false"/>
                <w:i w:val="false"/>
                <w:caps w:val="false"/>
                <w:smallCaps w:val="false"/>
                <w:sz w:val="17"/>
              </w:rPr>
              <w:t xml:space="preserve"> </w:t>
            </w:r>
          </w:p>
        </w:tc>
        <w:tc>
          <w:tcPr>
            <w:tcW w:w="60" w:type="dxa"/>
            <w:tcBorders>
              <w:bottom w:val="single" w:sz="24" w:space="0" w:color="FFFFFF"/>
            </w:tcBorders>
            <w:shd w:fill="auto" w:val="clear"/>
            <w:vAlign w:val="center"/>
          </w:tcPr>
          <w:p>
            <w:pPr>
              <w:pStyle w:val="TableContents"/>
              <w:spacing w:before="0" w:after="283"/>
              <w:rPr>
                <w:caps w:val="false"/>
                <w:smallCaps w:val="false"/>
              </w:rPr>
            </w:pPr>
            <w:r>
              <w:rPr>
                <w:caps w:val="false"/>
                <w:smallCaps w:val="false"/>
              </w:rPr>
              <w:t> </w:t>
            </w:r>
          </w:p>
        </w:tc>
        <w:tc>
          <w:tcPr>
            <w:tcW w:w="3170" w:type="dxa"/>
            <w:tcBorders>
              <w:bottom w:val="single" w:sz="24" w:space="0" w:color="FFFFFF"/>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bottom w:val="single" w:sz="24" w:space="0" w:color="FFFFFF"/>
            </w:tcBorders>
            <w:shd w:fill="auto" w:val="clear"/>
            <w:vAlign w:val="center"/>
          </w:tcPr>
          <w:p>
            <w:pPr>
              <w:pStyle w:val="TableContents"/>
              <w:spacing w:before="0" w:after="283"/>
              <w:rPr>
                <w:caps w:val="false"/>
                <w:smallCaps w:val="false"/>
              </w:rPr>
            </w:pPr>
            <w:r>
              <w:rPr>
                <w:caps w:val="false"/>
                <w:smallCaps w:val="false"/>
              </w:rPr>
              <w:t> </w:t>
            </w:r>
          </w:p>
        </w:tc>
        <w:tc>
          <w:tcPr>
            <w:tcW w:w="1160" w:type="dxa"/>
            <w:tcBorders>
              <w:bottom w:val="single" w:sz="24" w:space="0" w:color="FFFFFF"/>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Robert J. Kammer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Chairman of the Board of Directors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Stephen G. Austin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tc>
      </w:tr>
      <w:tr>
        <w:trPr/>
        <w:tc>
          <w:tcPr>
            <w:tcW w:w="1700" w:type="dxa"/>
            <w:tcBorders>
              <w:top w:val="single" w:sz="12" w:space="0" w:color="000000"/>
            </w:tcBorders>
            <w:shd w:fill="auto" w:val="clear"/>
            <w:tcMar>
              <w:top w:w="28" w:type="dxa"/>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Stephen G. Austin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Richard L. Lindstrom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Richard L. Lindstrom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Anthony J. Principi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Anthony J. Principi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right"/>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FINANCIAL STATEMENTS</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Harrow Health, Inc.</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Index to Consolidated Financial Statements</w:t>
      </w:r>
    </w:p>
    <w:p>
      <w:pPr>
        <w:pStyle w:val="TextBody"/>
        <w:jc w:val="center"/>
        <w:rPr>
          <w:caps w:val="false"/>
          <w:smallCaps w:val="false"/>
        </w:rPr>
      </w:pPr>
      <w:r>
        <w:rPr>
          <w:caps w:val="false"/>
          <w:smallCaps w:val="false"/>
        </w:rPr>
        <w:t> </w:t>
      </w:r>
    </w:p>
    <w:tbl>
      <w:tblPr>
        <w:tblW w:w="7210" w:type="dxa"/>
        <w:jc w:val="left"/>
        <w:tblInd w:w="0" w:type="dxa"/>
        <w:tblCellMar>
          <w:top w:w="0" w:type="dxa"/>
          <w:left w:w="0" w:type="dxa"/>
          <w:bottom w:w="0" w:type="dxa"/>
          <w:right w:w="0" w:type="dxa"/>
        </w:tblCellMar>
      </w:tblPr>
      <w:tblGrid>
        <w:gridCol w:w="6935"/>
        <w:gridCol w:w="275"/>
      </w:tblGrid>
      <w:tr>
        <w:trPr/>
        <w:tc>
          <w:tcPr>
            <w:tcW w:w="6935" w:type="dxa"/>
            <w:tcBorders/>
            <w:shd w:fill="CCEEFF" w:val="clear"/>
            <w:vAlign w:val="center"/>
          </w:tcPr>
          <w:p>
            <w:pPr>
              <w:pStyle w:val="TableContents"/>
              <w:spacing w:before="0" w:after="283"/>
              <w:rPr/>
            </w:pPr>
            <w:hyperlink w:anchor="a_024">
              <w:r>
                <w:rPr>
                  <w:rStyle w:val="InternetLink"/>
                  <w:rFonts w:ascii="Times New Roman;Times;Serif" w:hAnsi="Times New Roman;Times;Serif"/>
                  <w:b w:val="false"/>
                  <w:i w:val="false"/>
                  <w:caps w:val="false"/>
                  <w:smallCaps w:val="false"/>
                  <w:sz w:val="17"/>
                </w:rPr>
                <w:t>Report of Independent Registered Public Accounting Firm</w:t>
              </w:r>
            </w:hyperlink>
          </w:p>
        </w:tc>
        <w:tc>
          <w:tcPr>
            <w:tcW w:w="2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F-2</w:t>
            </w:r>
          </w:p>
        </w:tc>
      </w:tr>
      <w:tr>
        <w:trPr/>
        <w:tc>
          <w:tcPr>
            <w:tcW w:w="6935"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35" w:type="dxa"/>
            <w:tcBorders/>
            <w:shd w:fill="CCEEFF" w:val="clear"/>
            <w:vAlign w:val="center"/>
          </w:tcPr>
          <w:p>
            <w:pPr>
              <w:pStyle w:val="TableContents"/>
              <w:spacing w:before="0" w:after="283"/>
              <w:rPr/>
            </w:pPr>
            <w:hyperlink w:anchor="a_025">
              <w:r>
                <w:rPr>
                  <w:rStyle w:val="InternetLink"/>
                  <w:rFonts w:ascii="Times New Roman;Times;Serif" w:hAnsi="Times New Roman;Times;Serif"/>
                  <w:b w:val="false"/>
                  <w:i w:val="false"/>
                  <w:caps w:val="false"/>
                  <w:smallCaps w:val="false"/>
                  <w:sz w:val="17"/>
                </w:rPr>
                <w:t>Consolidated Balance Sheets at December 31, 2018 and 2017</w:t>
              </w:r>
            </w:hyperlink>
          </w:p>
        </w:tc>
        <w:tc>
          <w:tcPr>
            <w:tcW w:w="2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F-3</w:t>
            </w:r>
          </w:p>
        </w:tc>
      </w:tr>
      <w:tr>
        <w:trPr/>
        <w:tc>
          <w:tcPr>
            <w:tcW w:w="6935"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35" w:type="dxa"/>
            <w:tcBorders/>
            <w:shd w:fill="CCEEFF" w:val="clear"/>
            <w:vAlign w:val="center"/>
          </w:tcPr>
          <w:p>
            <w:pPr>
              <w:pStyle w:val="TableContents"/>
              <w:spacing w:before="0" w:after="283"/>
              <w:rPr/>
            </w:pPr>
            <w:hyperlink w:anchor="a_026">
              <w:r>
                <w:rPr>
                  <w:rStyle w:val="InternetLink"/>
                  <w:rFonts w:ascii="Times New Roman;Times;Serif" w:hAnsi="Times New Roman;Times;Serif"/>
                  <w:b w:val="false"/>
                  <w:i w:val="false"/>
                  <w:caps w:val="false"/>
                  <w:smallCaps w:val="false"/>
                  <w:sz w:val="17"/>
                </w:rPr>
                <w:t>Consolidated Statements of Operations for the years ended December 31, 2018 and 2017</w:t>
              </w:r>
            </w:hyperlink>
          </w:p>
        </w:tc>
        <w:tc>
          <w:tcPr>
            <w:tcW w:w="2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F-4</w:t>
            </w:r>
          </w:p>
        </w:tc>
      </w:tr>
      <w:tr>
        <w:trPr/>
        <w:tc>
          <w:tcPr>
            <w:tcW w:w="6935"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35" w:type="dxa"/>
            <w:tcBorders/>
            <w:shd w:fill="CCEEFF" w:val="clear"/>
            <w:vAlign w:val="center"/>
          </w:tcPr>
          <w:p>
            <w:pPr>
              <w:pStyle w:val="TableContents"/>
              <w:spacing w:before="0" w:after="283"/>
              <w:rPr/>
            </w:pPr>
            <w:hyperlink w:anchor="a_027">
              <w:r>
                <w:rPr>
                  <w:rStyle w:val="InternetLink"/>
                  <w:rFonts w:ascii="Times New Roman;Times;Serif" w:hAnsi="Times New Roman;Times;Serif"/>
                  <w:b w:val="false"/>
                  <w:i w:val="false"/>
                  <w:caps w:val="false"/>
                  <w:smallCaps w:val="false"/>
                  <w:sz w:val="17"/>
                </w:rPr>
                <w:t>Consolidated Statements of Stockholders’ Equity for the years ended December 31, 2018 and 2017</w:t>
              </w:r>
            </w:hyperlink>
          </w:p>
        </w:tc>
        <w:tc>
          <w:tcPr>
            <w:tcW w:w="2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F-5</w:t>
            </w:r>
          </w:p>
        </w:tc>
      </w:tr>
      <w:tr>
        <w:trPr/>
        <w:tc>
          <w:tcPr>
            <w:tcW w:w="6935"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35" w:type="dxa"/>
            <w:tcBorders/>
            <w:shd w:fill="CCEEFF" w:val="clear"/>
            <w:vAlign w:val="center"/>
          </w:tcPr>
          <w:p>
            <w:pPr>
              <w:pStyle w:val="TableContents"/>
              <w:spacing w:before="0" w:after="283"/>
              <w:rPr/>
            </w:pPr>
            <w:hyperlink w:anchor="a_028">
              <w:r>
                <w:rPr>
                  <w:rStyle w:val="InternetLink"/>
                  <w:rFonts w:ascii="Times New Roman;Times;Serif" w:hAnsi="Times New Roman;Times;Serif"/>
                  <w:b w:val="false"/>
                  <w:i w:val="false"/>
                  <w:caps w:val="false"/>
                  <w:smallCaps w:val="false"/>
                  <w:sz w:val="17"/>
                </w:rPr>
                <w:t>Consolidated Statements of Cash Flows for the years ended December 31, 2018 and 2017</w:t>
              </w:r>
            </w:hyperlink>
          </w:p>
        </w:tc>
        <w:tc>
          <w:tcPr>
            <w:tcW w:w="2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F-6</w:t>
            </w:r>
          </w:p>
        </w:tc>
      </w:tr>
      <w:tr>
        <w:trPr/>
        <w:tc>
          <w:tcPr>
            <w:tcW w:w="6935"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35" w:type="dxa"/>
            <w:tcBorders/>
            <w:shd w:fill="CCEEFF" w:val="clear"/>
            <w:vAlign w:val="center"/>
          </w:tcPr>
          <w:p>
            <w:pPr>
              <w:pStyle w:val="TableContents"/>
              <w:spacing w:before="0" w:after="283"/>
              <w:rPr/>
            </w:pPr>
            <w:hyperlink w:anchor="a_030">
              <w:r>
                <w:rPr>
                  <w:rStyle w:val="InternetLink"/>
                  <w:rFonts w:ascii="Times New Roman;Times;Serif" w:hAnsi="Times New Roman;Times;Serif"/>
                  <w:b w:val="false"/>
                  <w:i w:val="false"/>
                  <w:caps w:val="false"/>
                  <w:smallCaps w:val="false"/>
                  <w:sz w:val="17"/>
                </w:rPr>
                <w:t>Notes to the Consolidated Financial Statements</w:t>
              </w:r>
            </w:hyperlink>
          </w:p>
        </w:tc>
        <w:tc>
          <w:tcPr>
            <w:tcW w:w="2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F-7</w:t>
            </w:r>
          </w:p>
        </w:tc>
      </w:tr>
    </w:tbl>
    <w:p>
      <w:pPr>
        <w:pStyle w:val="TextBody"/>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8" w:name="a_024"/>
      <w:bookmarkEnd w:id="28"/>
      <w:r>
        <w:rPr>
          <w:rFonts w:ascii="Times New Roman;Times;Serif" w:hAnsi="Times New Roman;Times;Serif"/>
          <w:b/>
          <w:i w:val="false"/>
          <w:caps w:val="false"/>
          <w:smallCaps w:val="false"/>
          <w:sz w:val="20"/>
        </w:rPr>
        <w:t>REPORT OF INDEPENDENT REGISTERED PUBLIC ACCOUNTING FIRM</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To the Board of Directors and Stockholders of</w:t>
        <w:br/>
        <w:t>Harrow Health, Inc.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Opinion on the Consolidated Financial Statements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audited the accompanying consolidated balance sheets of Harrow Health, Inc. and subsidiaries (the “Company”) as of December 31, 2018 and 2017, the related consolidated statements of operations, stockholders’ equity and cash flows for each of the two years in the period ended December 31, 2018, and the related notes (collectively referred to as the “consolidated financial statements”). In our opinion, the consolidated financial statements referred to above present fairly, in all material respects, the financial position of the Company as of December 31, 2018 and 2017, and the results of their operations and their cash flows for each of the two years in the period ended December 31, 2018, in conformity with accounting principles generally accepted in the United States of America.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Basis for Opinion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jc w:val="both"/>
        <w:rPr>
          <w:caps w:val="false"/>
          <w:smallCaps w:val="false"/>
        </w:rPr>
      </w:pPr>
      <w:r>
        <w:rPr>
          <w:caps w:val="false"/>
          <w:smallCaps w:val="false"/>
        </w:rPr>
        <w:t> </w:t>
      </w:r>
    </w:p>
    <w:tbl>
      <w:tblPr>
        <w:tblW w:w="2360" w:type="dxa"/>
        <w:jc w:val="left"/>
        <w:tblInd w:w="0" w:type="dxa"/>
        <w:tblCellMar>
          <w:top w:w="0" w:type="dxa"/>
          <w:left w:w="0" w:type="dxa"/>
          <w:bottom w:w="0" w:type="dxa"/>
          <w:right w:w="0" w:type="dxa"/>
        </w:tblCellMar>
      </w:tblPr>
      <w:tblGrid>
        <w:gridCol w:w="2285"/>
        <w:gridCol w:w="75"/>
      </w:tblGrid>
      <w:tr>
        <w:trPr/>
        <w:tc>
          <w:tcPr>
            <w:tcW w:w="2285" w:type="dxa"/>
            <w:tcBorders/>
            <w:shd w:fill="auto" w:val="cle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KMJ Corbin &amp; Company LLP</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served as the Company’s auditor since 2007.</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Costa Mesa, California</w:t>
        <w:br/>
        <w:t>March 12, 2019</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bookmarkStart w:id="29" w:name="a_025"/>
      <w:bookmarkEnd w:id="29"/>
      <w:r>
        <w:rPr>
          <w:rFonts w:ascii="Times New Roman;Times;Serif" w:hAnsi="Times New Roman;Times;Serif"/>
          <w:b/>
          <w:i w:val="false"/>
          <w:caps w:val="false"/>
          <w:smallCaps w:val="false"/>
          <w:sz w:val="17"/>
        </w:rPr>
        <w:t>HARROW HEALTH, INC.</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CONSOLIDATED BALANCE SHEETS</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 thousands, except share data)</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740"/>
        <w:gridCol w:w="60"/>
        <w:gridCol w:w="213"/>
        <w:gridCol w:w="1156"/>
        <w:gridCol w:w="95"/>
        <w:gridCol w:w="60"/>
        <w:gridCol w:w="213"/>
        <w:gridCol w:w="1156"/>
        <w:gridCol w:w="512"/>
      </w:tblGrid>
      <w:tr>
        <w:trPr/>
        <w:tc>
          <w:tcPr>
            <w:tcW w:w="67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512" w:type="dxa"/>
            <w:tcBorders/>
            <w:shd w:fill="auto" w:val="clear"/>
            <w:vAlign w:val="center"/>
          </w:tcPr>
          <w:p>
            <w:pPr>
              <w:pStyle w:val="TableContents"/>
              <w:spacing w:before="0" w:after="283"/>
              <w:rPr/>
            </w:pPr>
            <w:r>
              <w:rPr/>
              <w:t> </w:t>
            </w:r>
          </w:p>
        </w:tc>
      </w:tr>
      <w:tr>
        <w:trPr/>
        <w:tc>
          <w:tcPr>
            <w:tcW w:w="67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9"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9" w:type="dxa"/>
            <w:gridSpan w:val="2"/>
            <w:tcBorders/>
            <w:shd w:fill="auto" w:val="clear"/>
            <w:vAlign w:val="center"/>
          </w:tcPr>
          <w:p>
            <w:pPr>
              <w:pStyle w:val="TableContents"/>
              <w:spacing w:before="0" w:after="283"/>
              <w:rPr/>
            </w:pPr>
            <w:r>
              <w:rPr/>
              <w:t> </w:t>
            </w:r>
          </w:p>
        </w:tc>
        <w:tc>
          <w:tcPr>
            <w:tcW w:w="512" w:type="dxa"/>
            <w:tcBorders/>
            <w:shd w:fill="auto" w:val="clear"/>
            <w:vAlign w:val="center"/>
          </w:tcPr>
          <w:p>
            <w:pPr>
              <w:pStyle w:val="TableContents"/>
              <w:spacing w:before="0" w:after="283"/>
              <w:rPr/>
            </w:pPr>
            <w:r>
              <w:rPr/>
              <w:t> </w:t>
            </w:r>
          </w:p>
        </w:tc>
      </w:tr>
      <w:tr>
        <w:trPr/>
        <w:tc>
          <w:tcPr>
            <w:tcW w:w="6740" w:type="dxa"/>
            <w:tcBorders/>
            <w:shd w:fill="CCEEFF" w:val="clear"/>
            <w:vAlign w:val="center"/>
          </w:tcPr>
          <w:p>
            <w:pPr>
              <w:pStyle w:val="TableContents"/>
              <w:spacing w:before="0" w:after="283"/>
              <w:jc w:val="center"/>
              <w:rPr/>
            </w:pPr>
            <w:r>
              <w:rPr/>
              <w:t>ASSETS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 </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Current assets</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 </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740" w:type="dxa"/>
            <w:tcBorders/>
            <w:shd w:fill="CCEEFF" w:val="clear"/>
            <w:vAlign w:val="center"/>
          </w:tcPr>
          <w:p>
            <w:pPr>
              <w:pStyle w:val="TableContents"/>
              <w:spacing w:before="0" w:after="283"/>
              <w:jc w:val="left"/>
              <w:rPr/>
            </w:pPr>
            <w:r>
              <w:rPr/>
              <w:t>Cash and cash equivalents, including restricted cash of $200</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w:t>
            </w:r>
          </w:p>
        </w:tc>
        <w:tc>
          <w:tcPr>
            <w:tcW w:w="1156" w:type="dxa"/>
            <w:tcBorders/>
            <w:shd w:fill="CCEEFF" w:val="clear"/>
            <w:vAlign w:val="center"/>
          </w:tcPr>
          <w:p>
            <w:pPr>
              <w:pStyle w:val="TableContents"/>
              <w:spacing w:before="0" w:after="283"/>
              <w:jc w:val="right"/>
              <w:rPr/>
            </w:pPr>
            <w:r>
              <w:rPr/>
              <w:t>6,838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w:t>
            </w:r>
          </w:p>
        </w:tc>
        <w:tc>
          <w:tcPr>
            <w:tcW w:w="1156" w:type="dxa"/>
            <w:tcBorders/>
            <w:shd w:fill="CCEEFF" w:val="clear"/>
            <w:vAlign w:val="center"/>
          </w:tcPr>
          <w:p>
            <w:pPr>
              <w:pStyle w:val="TableContents"/>
              <w:spacing w:before="0" w:after="283"/>
              <w:jc w:val="right"/>
              <w:rPr/>
            </w:pPr>
            <w:r>
              <w:rPr/>
              <w:t>4,219</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740" w:type="dxa"/>
            <w:tcBorders/>
            <w:shd w:fill="FFFFFF" w:val="clear"/>
            <w:vAlign w:val="center"/>
          </w:tcPr>
          <w:p>
            <w:pPr>
              <w:pStyle w:val="TableContents"/>
              <w:spacing w:before="0" w:after="283"/>
              <w:jc w:val="left"/>
              <w:rPr/>
            </w:pPr>
            <w:r>
              <w:rPr/>
              <w:t>Investment in Eton Pharmaceuticals</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21,420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740" w:type="dxa"/>
            <w:tcBorders/>
            <w:shd w:fill="CCEEFF" w:val="clear"/>
            <w:vAlign w:val="center"/>
          </w:tcPr>
          <w:p>
            <w:pPr>
              <w:pStyle w:val="TableContents"/>
              <w:spacing w:before="0" w:after="283"/>
              <w:jc w:val="left"/>
              <w:rPr/>
            </w:pPr>
            <w:r>
              <w:rPr/>
              <w:t>Accounts receivable, net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1,914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1,529</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740" w:type="dxa"/>
            <w:tcBorders/>
            <w:shd w:fill="FFFFFF" w:val="clear"/>
            <w:vAlign w:val="center"/>
          </w:tcPr>
          <w:p>
            <w:pPr>
              <w:pStyle w:val="TableContents"/>
              <w:spacing w:before="0" w:after="283"/>
              <w:rPr/>
            </w:pPr>
            <w:r>
              <w:rPr/>
              <w:t>Inventories</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1,834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2,249</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740" w:type="dxa"/>
            <w:tcBorders/>
            <w:shd w:fill="CCEEFF" w:val="clear"/>
            <w:vAlign w:val="center"/>
          </w:tcPr>
          <w:p>
            <w:pPr>
              <w:pStyle w:val="TableContents"/>
              <w:spacing w:before="0" w:after="283"/>
              <w:jc w:val="left"/>
              <w:rPr/>
            </w:pPr>
            <w:r>
              <w:rPr/>
              <w:t>Prepaid expenses and other current assets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837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714</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740" w:type="dxa"/>
            <w:tcBorders/>
            <w:shd w:fill="FFFFFF" w:val="clear"/>
            <w:vAlign w:val="center"/>
          </w:tcPr>
          <w:p>
            <w:pPr>
              <w:pStyle w:val="TableContents"/>
              <w:spacing w:before="0" w:after="283"/>
              <w:jc w:val="left"/>
              <w:rPr/>
            </w:pPr>
            <w:r>
              <w:rPr/>
              <w:t>Note receivable, current portion</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95</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740" w:type="dxa"/>
            <w:tcBorders/>
            <w:shd w:fill="CCEEFF" w:val="clear"/>
            <w:vAlign w:val="center"/>
          </w:tcPr>
          <w:p>
            <w:pPr>
              <w:pStyle w:val="TableContents"/>
              <w:spacing w:before="0" w:after="283"/>
              <w:jc w:val="left"/>
              <w:rPr/>
            </w:pPr>
            <w:r>
              <w:rPr/>
              <w:t>Total current assets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32,843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8,806</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Property, plant and equipment, net</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6,375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6,215</w:t>
            </w:r>
          </w:p>
        </w:tc>
        <w:tc>
          <w:tcPr>
            <w:tcW w:w="512" w:type="dxa"/>
            <w:tcBorders/>
            <w:shd w:fill="FFFFFF" w:val="clear"/>
            <w:vAlign w:val="center"/>
          </w:tcPr>
          <w:p>
            <w:pPr>
              <w:pStyle w:val="TableContents"/>
              <w:spacing w:before="0" w:after="283"/>
              <w:jc w:val="left"/>
              <w:rPr/>
            </w:pPr>
            <w:r>
              <w:rPr/>
              <w:t> </w:t>
            </w:r>
          </w:p>
        </w:tc>
      </w:tr>
      <w:tr>
        <w:trPr/>
        <w:tc>
          <w:tcPr>
            <w:tcW w:w="6740" w:type="dxa"/>
            <w:tcBorders/>
            <w:shd w:fill="CCEEFF" w:val="clear"/>
            <w:vAlign w:val="center"/>
          </w:tcPr>
          <w:p>
            <w:pPr>
              <w:pStyle w:val="TableContents"/>
              <w:spacing w:before="0" w:after="283"/>
              <w:jc w:val="left"/>
              <w:rPr/>
            </w:pPr>
            <w:r>
              <w:rPr/>
              <w:t>Intangible assets, net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3,059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2,860</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Investment in Surface Pharmaceuticals</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4,947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w:t>
            </w:r>
          </w:p>
        </w:tc>
        <w:tc>
          <w:tcPr>
            <w:tcW w:w="512" w:type="dxa"/>
            <w:tcBorders/>
            <w:shd w:fill="FFFFFF" w:val="clear"/>
            <w:vAlign w:val="center"/>
          </w:tcPr>
          <w:p>
            <w:pPr>
              <w:pStyle w:val="TableContents"/>
              <w:spacing w:before="0" w:after="283"/>
              <w:jc w:val="left"/>
              <w:rPr/>
            </w:pPr>
            <w:r>
              <w:rPr/>
              <w:t> </w:t>
            </w:r>
          </w:p>
        </w:tc>
      </w:tr>
      <w:tr>
        <w:trPr/>
        <w:tc>
          <w:tcPr>
            <w:tcW w:w="6740" w:type="dxa"/>
            <w:tcBorders/>
            <w:shd w:fill="CCEEFF" w:val="clear"/>
            <w:vAlign w:val="center"/>
          </w:tcPr>
          <w:p>
            <w:pPr>
              <w:pStyle w:val="TableContents"/>
              <w:spacing w:before="0" w:after="283"/>
              <w:jc w:val="left"/>
              <w:rPr/>
            </w:pPr>
            <w:r>
              <w:rPr/>
              <w:t>Investment in Eton Pharmaceuticals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3,507</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Note receivable, less current portion</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302</w:t>
            </w:r>
          </w:p>
        </w:tc>
        <w:tc>
          <w:tcPr>
            <w:tcW w:w="512" w:type="dxa"/>
            <w:tcBorders/>
            <w:shd w:fill="FFFFFF" w:val="clear"/>
            <w:vAlign w:val="center"/>
          </w:tcPr>
          <w:p>
            <w:pPr>
              <w:pStyle w:val="TableContents"/>
              <w:spacing w:before="0" w:after="283"/>
              <w:jc w:val="left"/>
              <w:rPr/>
            </w:pPr>
            <w:r>
              <w:rPr/>
              <w:t> </w:t>
            </w:r>
          </w:p>
        </w:tc>
      </w:tr>
      <w:tr>
        <w:trPr/>
        <w:tc>
          <w:tcPr>
            <w:tcW w:w="6740" w:type="dxa"/>
            <w:tcBorders/>
            <w:shd w:fill="CCEEFF" w:val="clear"/>
            <w:vAlign w:val="center"/>
          </w:tcPr>
          <w:p>
            <w:pPr>
              <w:pStyle w:val="TableContents"/>
              <w:spacing w:before="0" w:after="283"/>
              <w:rPr/>
            </w:pPr>
            <w:r>
              <w:rPr/>
              <w:t>Goodwill</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283"/>
              <w:jc w:val="right"/>
              <w:rPr/>
            </w:pPr>
            <w:r>
              <w:rPr/>
              <w:t>2,227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283"/>
              <w:jc w:val="right"/>
              <w:rPr/>
            </w:pPr>
            <w:r>
              <w:rPr/>
              <w:t>2,227</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740" w:type="dxa"/>
            <w:tcBorders/>
            <w:shd w:fill="FFFFFF" w:val="clear"/>
            <w:vAlign w:val="center"/>
          </w:tcPr>
          <w:p>
            <w:pPr>
              <w:pStyle w:val="TableContents"/>
              <w:spacing w:before="0" w:after="283"/>
              <w:jc w:val="left"/>
              <w:rPr/>
            </w:pPr>
            <w:r>
              <w:rPr/>
              <w:t>TOTAL ASSETS</w:t>
            </w:r>
          </w:p>
        </w:tc>
        <w:tc>
          <w:tcPr>
            <w:tcW w:w="60" w:type="dxa"/>
            <w:tcBorders/>
            <w:shd w:fill="FFFFFF" w:val="clear"/>
            <w:vAlign w:val="center"/>
          </w:tcPr>
          <w:p>
            <w:pPr>
              <w:pStyle w:val="TableContents"/>
              <w:spacing w:before="0" w:after="283"/>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spacing w:before="0" w:after="283"/>
              <w:jc w:val="right"/>
              <w:rPr/>
            </w:pPr>
            <w:r>
              <w:rPr/>
              <w:t>49,451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spacing w:before="0" w:after="283"/>
              <w:jc w:val="right"/>
              <w:rPr/>
            </w:pPr>
            <w:r>
              <w:rPr/>
              <w:t>23,917</w:t>
            </w:r>
          </w:p>
        </w:tc>
        <w:tc>
          <w:tcPr>
            <w:tcW w:w="512" w:type="dxa"/>
            <w:tcBorders/>
            <w:shd w:fill="FFFFFF" w:val="clear"/>
            <w:vAlign w:val="center"/>
          </w:tcPr>
          <w:p>
            <w:pPr>
              <w:pStyle w:val="TableContents"/>
              <w:spacing w:before="0" w:after="283"/>
              <w:jc w:val="left"/>
              <w:rPr/>
            </w:pPr>
            <w:r>
              <w:rPr/>
              <w:t> </w:t>
            </w:r>
          </w:p>
        </w:tc>
      </w:tr>
      <w:tr>
        <w:trPr/>
        <w:tc>
          <w:tcPr>
            <w:tcW w:w="6740" w:type="dxa"/>
            <w:tcBorders/>
            <w:shd w:fill="CCEEFF" w:val="clear"/>
            <w:vAlign w:val="center"/>
          </w:tcPr>
          <w:p>
            <w:pPr>
              <w:pStyle w:val="TableContents"/>
              <w:spacing w:before="0" w:after="283"/>
              <w:jc w:val="center"/>
              <w:rPr/>
            </w:pPr>
            <w:r>
              <w:rPr/>
              <w:t>LIABILITIES AND STOCKHOLDERS’ EQUITY</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 </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Current liabilities</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 </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740"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w:t>
            </w:r>
          </w:p>
        </w:tc>
        <w:tc>
          <w:tcPr>
            <w:tcW w:w="1156" w:type="dxa"/>
            <w:tcBorders/>
            <w:shd w:fill="CCEEFF" w:val="clear"/>
            <w:vAlign w:val="center"/>
          </w:tcPr>
          <w:p>
            <w:pPr>
              <w:pStyle w:val="TableContents"/>
              <w:spacing w:before="0" w:after="283"/>
              <w:jc w:val="right"/>
              <w:rPr/>
            </w:pPr>
            <w:r>
              <w:rPr/>
              <w:t>6,250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w:t>
            </w:r>
          </w:p>
        </w:tc>
        <w:tc>
          <w:tcPr>
            <w:tcW w:w="1156" w:type="dxa"/>
            <w:tcBorders/>
            <w:shd w:fill="CCEEFF" w:val="clear"/>
            <w:vAlign w:val="center"/>
          </w:tcPr>
          <w:p>
            <w:pPr>
              <w:pStyle w:val="TableContents"/>
              <w:spacing w:before="0" w:after="283"/>
              <w:jc w:val="right"/>
              <w:rPr/>
            </w:pPr>
            <w:r>
              <w:rPr/>
              <w:t>3,885</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740" w:type="dxa"/>
            <w:tcBorders/>
            <w:shd w:fill="FFFFFF" w:val="clear"/>
            <w:vAlign w:val="center"/>
          </w:tcPr>
          <w:p>
            <w:pPr>
              <w:pStyle w:val="TableContents"/>
              <w:spacing w:before="0" w:after="283"/>
              <w:jc w:val="left"/>
              <w:rPr/>
            </w:pPr>
            <w:r>
              <w:rPr/>
              <w:t>Accrued payroll and related liabilities</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2,283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1,209</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740" w:type="dxa"/>
            <w:tcBorders/>
            <w:shd w:fill="CCEEFF" w:val="clear"/>
            <w:vAlign w:val="center"/>
          </w:tcPr>
          <w:p>
            <w:pPr>
              <w:pStyle w:val="TableContents"/>
              <w:spacing w:before="0" w:after="283"/>
              <w:jc w:val="left"/>
              <w:rPr/>
            </w:pPr>
            <w:r>
              <w:rPr/>
              <w:t>Deferred revenue and customer deposits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119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29</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740" w:type="dxa"/>
            <w:tcBorders/>
            <w:shd w:fill="FFFFFF" w:val="clear"/>
            <w:vAlign w:val="center"/>
          </w:tcPr>
          <w:p>
            <w:pPr>
              <w:pStyle w:val="TableContents"/>
              <w:spacing w:before="0" w:after="283"/>
              <w:jc w:val="left"/>
              <w:rPr/>
            </w:pPr>
            <w:r>
              <w:rPr/>
              <w:t>Current portion of deferred acquisition obligation and accrued interest</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53</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740" w:type="dxa"/>
            <w:tcBorders/>
            <w:shd w:fill="CCEEFF" w:val="clear"/>
            <w:vAlign w:val="center"/>
          </w:tcPr>
          <w:p>
            <w:pPr>
              <w:pStyle w:val="TableContents"/>
              <w:spacing w:before="0" w:after="283"/>
              <w:jc w:val="left"/>
              <w:rPr/>
            </w:pPr>
            <w:r>
              <w:rPr/>
              <w:t>Current portion of note payable, net of unamortized debt discount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2,529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740" w:type="dxa"/>
            <w:tcBorders/>
            <w:shd w:fill="FFFFFF" w:val="clear"/>
            <w:vAlign w:val="center"/>
          </w:tcPr>
          <w:p>
            <w:pPr>
              <w:pStyle w:val="TableContents"/>
              <w:spacing w:before="0" w:after="283"/>
              <w:jc w:val="left"/>
              <w:rPr/>
            </w:pPr>
            <w:r>
              <w:rPr/>
              <w:t>Current portion of capital lease obligations, net of unamortized discount</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720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598</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740" w:type="dxa"/>
            <w:tcBorders/>
            <w:shd w:fill="CCEEFF" w:val="clear"/>
            <w:vAlign w:val="center"/>
          </w:tcPr>
          <w:p>
            <w:pPr>
              <w:pStyle w:val="TableContents"/>
              <w:spacing w:before="0" w:after="283"/>
              <w:jc w:val="left"/>
              <w:rPr/>
            </w:pPr>
            <w:r>
              <w:rPr/>
              <w:t>Total current liabilities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11,901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5,774</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Capital lease obligations, net of current portion and unamortized discount</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720</w:t>
            </w:r>
          </w:p>
        </w:tc>
        <w:tc>
          <w:tcPr>
            <w:tcW w:w="512" w:type="dxa"/>
            <w:tcBorders/>
            <w:shd w:fill="FFFFFF" w:val="clear"/>
            <w:vAlign w:val="center"/>
          </w:tcPr>
          <w:p>
            <w:pPr>
              <w:pStyle w:val="TableContents"/>
              <w:spacing w:before="0" w:after="283"/>
              <w:jc w:val="left"/>
              <w:rPr/>
            </w:pPr>
            <w:r>
              <w:rPr/>
              <w:t> </w:t>
            </w:r>
          </w:p>
        </w:tc>
      </w:tr>
      <w:tr>
        <w:trPr/>
        <w:tc>
          <w:tcPr>
            <w:tcW w:w="6740" w:type="dxa"/>
            <w:tcBorders/>
            <w:shd w:fill="CCEEFF" w:val="clear"/>
            <w:vAlign w:val="center"/>
          </w:tcPr>
          <w:p>
            <w:pPr>
              <w:pStyle w:val="TableContents"/>
              <w:spacing w:before="0" w:after="283"/>
              <w:jc w:val="left"/>
              <w:rPr/>
            </w:pPr>
            <w:r>
              <w:rPr/>
              <w:t>Accrued expenses, net of current portion</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800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800</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Note payable, net of current portion and unamortized debt discount</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11,999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14,008</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740" w:type="dxa"/>
            <w:tcBorders/>
            <w:shd w:fill="CCEEFF" w:val="clear"/>
            <w:vAlign w:val="center"/>
          </w:tcPr>
          <w:p>
            <w:pPr>
              <w:pStyle w:val="TableContents"/>
              <w:spacing w:before="0" w:after="283"/>
              <w:jc w:val="left"/>
              <w:rPr/>
            </w:pPr>
            <w:r>
              <w:rPr/>
              <w:t>TOTAL LIABILITIES</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283"/>
              <w:jc w:val="right"/>
              <w:rPr/>
            </w:pPr>
            <w:r>
              <w:rPr/>
              <w:t>24,700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283"/>
              <w:jc w:val="right"/>
              <w:rPr/>
            </w:pPr>
            <w:r>
              <w:rPr/>
              <w:t>21,302</w:t>
            </w:r>
          </w:p>
        </w:tc>
        <w:tc>
          <w:tcPr>
            <w:tcW w:w="512" w:type="dxa"/>
            <w:tcBorders/>
            <w:shd w:fill="CCEEFF" w:val="clear"/>
            <w:vAlign w:val="center"/>
          </w:tcPr>
          <w:p>
            <w:pPr>
              <w:pStyle w:val="TableContents"/>
              <w:spacing w:before="0" w:after="283"/>
              <w:jc w:val="left"/>
              <w:rPr/>
            </w:pPr>
            <w:r>
              <w:rPr/>
              <w:t> </w:t>
            </w:r>
          </w:p>
        </w:tc>
      </w:tr>
      <w:tr>
        <w:trPr/>
        <w:tc>
          <w:tcPr>
            <w:tcW w:w="6740" w:type="dxa"/>
            <w:tcBorders/>
            <w:shd w:fill="FFFFFF" w:val="clear"/>
            <w:vAlign w:val="center"/>
          </w:tcPr>
          <w:p>
            <w:pPr>
              <w:pStyle w:val="TableContents"/>
              <w:spacing w:before="0" w:after="283"/>
              <w:jc w:val="left"/>
              <w:rPr/>
            </w:pPr>
            <w:r>
              <w:rPr/>
              <w:t>STOCKHOLDERS’ EQUITY</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 </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740" w:type="dxa"/>
            <w:tcBorders/>
            <w:shd w:fill="CCEEFF" w:val="clear"/>
            <w:vAlign w:val="center"/>
          </w:tcPr>
          <w:p>
            <w:pPr>
              <w:pStyle w:val="TableContents"/>
              <w:spacing w:before="0" w:after="283"/>
              <w:jc w:val="left"/>
              <w:rPr/>
            </w:pPr>
            <w:r>
              <w:rPr/>
              <w:t>Preferred stock, $0.001 par value, 5,000,000 shares authorized, and no shares issued and outstanding at December 31, 2018 and 2017</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740" w:type="dxa"/>
            <w:tcBorders/>
            <w:shd w:fill="FFFFFF" w:val="clear"/>
            <w:vAlign w:val="center"/>
          </w:tcPr>
          <w:p>
            <w:pPr>
              <w:pStyle w:val="TableContents"/>
              <w:spacing w:before="0" w:after="283"/>
              <w:jc w:val="left"/>
              <w:rPr/>
            </w:pPr>
            <w:r>
              <w:rPr/>
              <w:t xml:space="preserve">Common stock, $0.001 par value, 50,000,000 and 90,000,000 shares authorized, 24,339,610 and 20,623,129 shares issued and outstanding </w:t>
              <w:br/>
              <w:t>at December 31, 2018 and December 31, 2017, respectively</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156" w:type="dxa"/>
            <w:tcBorders/>
            <w:shd w:fill="FFFFFF" w:val="clear"/>
            <w:vAlign w:val="center"/>
          </w:tcPr>
          <w:p>
            <w:pPr>
              <w:pStyle w:val="TableContents"/>
              <w:spacing w:before="0" w:after="283"/>
              <w:jc w:val="right"/>
              <w:rPr/>
            </w:pPr>
            <w:r>
              <w:rPr/>
              <w:t>21</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740" w:type="dxa"/>
            <w:tcBorders/>
            <w:shd w:fill="CCEEFF" w:val="clear"/>
            <w:vAlign w:val="center"/>
          </w:tcPr>
          <w:p>
            <w:pPr>
              <w:pStyle w:val="TableContents"/>
              <w:spacing w:before="0" w:after="283"/>
              <w:jc w:val="left"/>
              <w:rPr/>
            </w:pPr>
            <w:r>
              <w:rPr/>
              <w:t>Additional paid-in capital</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98,938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156" w:type="dxa"/>
            <w:tcBorders/>
            <w:shd w:fill="CCEEFF" w:val="clear"/>
            <w:vAlign w:val="center"/>
          </w:tcPr>
          <w:p>
            <w:pPr>
              <w:pStyle w:val="TableContents"/>
              <w:spacing w:before="0" w:after="283"/>
              <w:jc w:val="right"/>
              <w:rPr/>
            </w:pPr>
            <w:r>
              <w:rPr/>
              <w:t>91,430</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740" w:type="dxa"/>
            <w:tcBorders/>
            <w:shd w:fill="FFFFFF" w:val="clear"/>
            <w:vAlign w:val="center"/>
          </w:tcPr>
          <w:p>
            <w:pPr>
              <w:pStyle w:val="TableContents"/>
              <w:spacing w:before="0" w:after="283"/>
              <w:jc w:val="left"/>
              <w:rPr/>
            </w:pPr>
            <w:r>
              <w:rPr/>
              <w:t>Accumulated deficit</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(74,211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spacing w:before="0" w:after="283"/>
              <w:jc w:val="right"/>
              <w:rPr/>
            </w:pPr>
            <w:r>
              <w:rPr/>
              <w:t>(88,836</w:t>
            </w:r>
          </w:p>
        </w:tc>
        <w:tc>
          <w:tcPr>
            <w:tcW w:w="512" w:type="dxa"/>
            <w:tcBorders/>
            <w:shd w:fill="FFFFFF" w:val="clear"/>
            <w:vAlign w:val="center"/>
          </w:tcPr>
          <w:p>
            <w:pPr>
              <w:pStyle w:val="TableContents"/>
              <w:spacing w:before="0" w:after="283"/>
              <w:ind w:left="0" w:right="0" w:firstLine="400"/>
              <w:jc w:val="left"/>
              <w:rPr/>
            </w:pPr>
            <w:r>
              <w:rPr/>
              <w:t>)</w:t>
            </w:r>
          </w:p>
        </w:tc>
      </w:tr>
      <w:tr>
        <w:trPr/>
        <w:tc>
          <w:tcPr>
            <w:tcW w:w="6740" w:type="dxa"/>
            <w:tcBorders/>
            <w:shd w:fill="CCEEFF" w:val="clear"/>
            <w:vAlign w:val="center"/>
          </w:tcPr>
          <w:p>
            <w:pPr>
              <w:pStyle w:val="TableContents"/>
              <w:spacing w:before="0" w:after="283"/>
              <w:jc w:val="left"/>
              <w:rPr/>
            </w:pPr>
            <w:r>
              <w:rPr/>
              <w:t>TOTAL STOCKHOLDERS’ EQUITY</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283"/>
              <w:jc w:val="right"/>
              <w:rPr/>
            </w:pPr>
            <w:r>
              <w:rPr/>
              <w:t>24,751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spacing w:before="0" w:after="283"/>
              <w:jc w:val="right"/>
              <w:rPr/>
            </w:pPr>
            <w:r>
              <w:rPr/>
              <w:t>2,615</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740" w:type="dxa"/>
            <w:tcBorders/>
            <w:shd w:fill="FFFFFF" w:val="clear"/>
            <w:vAlign w:val="center"/>
          </w:tcPr>
          <w:p>
            <w:pPr>
              <w:pStyle w:val="TableContents"/>
              <w:spacing w:before="0" w:after="283"/>
              <w:jc w:val="left"/>
              <w:rPr/>
            </w:pPr>
            <w:r>
              <w:rPr/>
              <w:t>TOTAL LIABILITIES AND STOCKHOLDERS’ EQUITY</w:t>
            </w:r>
          </w:p>
        </w:tc>
        <w:tc>
          <w:tcPr>
            <w:tcW w:w="60" w:type="dxa"/>
            <w:tcBorders/>
            <w:shd w:fill="FFFFFF" w:val="clear"/>
            <w:vAlign w:val="center"/>
          </w:tcPr>
          <w:p>
            <w:pPr>
              <w:pStyle w:val="TableContents"/>
              <w:spacing w:before="0" w:after="283"/>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spacing w:before="0" w:after="283"/>
              <w:jc w:val="right"/>
              <w:rPr/>
            </w:pPr>
            <w:r>
              <w:rPr/>
              <w:t>49,451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spacing w:before="0" w:after="283"/>
              <w:jc w:val="right"/>
              <w:rPr/>
            </w:pPr>
            <w:r>
              <w:rPr/>
              <w:t>23,917</w:t>
            </w:r>
          </w:p>
        </w:tc>
        <w:tc>
          <w:tcPr>
            <w:tcW w:w="512"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accompanying notes are an integral part of these consolidated financial statements</w:t>
      </w:r>
    </w:p>
    <w:p>
      <w:pPr>
        <w:pStyle w:val="TextBody"/>
        <w:jc w:val="center"/>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bookmarkStart w:id="30" w:name="a_026"/>
      <w:bookmarkEnd w:id="30"/>
      <w:r>
        <w:rPr>
          <w:rFonts w:ascii="Times New Roman;Times;Serif" w:hAnsi="Times New Roman;Times;Serif"/>
          <w:b/>
          <w:i w:val="false"/>
          <w:caps w:val="false"/>
          <w:smallCaps w:val="false"/>
          <w:sz w:val="17"/>
        </w:rPr>
        <w:t>HARROW HEALTH, INC.</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CONSOLIDATED STATEMENTS OF OPERTATIONS</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 thousands, except for share and per share data)</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88"/>
        <w:gridCol w:w="60"/>
        <w:gridCol w:w="202"/>
        <w:gridCol w:w="1593"/>
        <w:gridCol w:w="95"/>
        <w:gridCol w:w="60"/>
        <w:gridCol w:w="202"/>
        <w:gridCol w:w="1593"/>
        <w:gridCol w:w="312"/>
      </w:tblGrid>
      <w:tr>
        <w:trPr/>
        <w:tc>
          <w:tcPr>
            <w:tcW w:w="608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5" w:type="dxa"/>
            <w:gridSpan w:val="2"/>
            <w:tcBorders/>
            <w:shd w:fill="auto" w:val="clear"/>
            <w:vAlign w:val="center"/>
          </w:tcPr>
          <w:p>
            <w:pPr>
              <w:pStyle w:val="TableContents"/>
              <w:spacing w:before="0" w:after="283"/>
              <w:jc w:val="center"/>
              <w:rPr/>
            </w:pPr>
            <w:r>
              <w:rPr/>
              <w:t>For the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5" w:type="dxa"/>
            <w:gridSpan w:val="2"/>
            <w:tcBorders/>
            <w:shd w:fill="auto" w:val="clear"/>
            <w:vAlign w:val="center"/>
          </w:tcPr>
          <w:p>
            <w:pPr>
              <w:pStyle w:val="TableContents"/>
              <w:spacing w:before="0" w:after="283"/>
              <w:jc w:val="center"/>
              <w:rPr/>
            </w:pPr>
            <w:r>
              <w:rPr/>
              <w:t>For the</w:t>
            </w:r>
          </w:p>
        </w:tc>
        <w:tc>
          <w:tcPr>
            <w:tcW w:w="312" w:type="dxa"/>
            <w:tcBorders/>
            <w:shd w:fill="auto" w:val="clear"/>
            <w:vAlign w:val="center"/>
          </w:tcPr>
          <w:p>
            <w:pPr>
              <w:pStyle w:val="TableContents"/>
              <w:spacing w:before="0" w:after="283"/>
              <w:rPr/>
            </w:pPr>
            <w:r>
              <w:rPr/>
              <w:t> </w:t>
            </w:r>
          </w:p>
        </w:tc>
      </w:tr>
      <w:tr>
        <w:trPr/>
        <w:tc>
          <w:tcPr>
            <w:tcW w:w="608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5" w:type="dxa"/>
            <w:gridSpan w:val="2"/>
            <w:tcBorders/>
            <w:shd w:fill="auto" w:val="clear"/>
            <w:vAlign w:val="center"/>
          </w:tcPr>
          <w:p>
            <w:pPr>
              <w:pStyle w:val="TableContents"/>
              <w:spacing w:before="0" w:after="283"/>
              <w:jc w:val="center"/>
              <w:rPr/>
            </w:pPr>
            <w:r>
              <w:rPr/>
              <w:t>Year Ended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5" w:type="dxa"/>
            <w:gridSpan w:val="2"/>
            <w:tcBorders/>
            <w:shd w:fill="auto" w:val="clear"/>
            <w:vAlign w:val="center"/>
          </w:tcPr>
          <w:p>
            <w:pPr>
              <w:pStyle w:val="TableContents"/>
              <w:spacing w:before="0" w:after="283"/>
              <w:jc w:val="center"/>
              <w:rPr/>
            </w:pPr>
            <w:r>
              <w:rPr/>
              <w:t>Year Ended</w:t>
            </w:r>
          </w:p>
        </w:tc>
        <w:tc>
          <w:tcPr>
            <w:tcW w:w="312" w:type="dxa"/>
            <w:tcBorders/>
            <w:shd w:fill="auto" w:val="clear"/>
            <w:vAlign w:val="center"/>
          </w:tcPr>
          <w:p>
            <w:pPr>
              <w:pStyle w:val="TableContents"/>
              <w:spacing w:before="0" w:after="283"/>
              <w:rPr/>
            </w:pPr>
            <w:r>
              <w:rPr/>
              <w:t> </w:t>
            </w:r>
          </w:p>
        </w:tc>
      </w:tr>
      <w:tr>
        <w:trPr/>
        <w:tc>
          <w:tcPr>
            <w:tcW w:w="608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312" w:type="dxa"/>
            <w:tcBorders/>
            <w:shd w:fill="auto" w:val="clear"/>
            <w:vAlign w:val="center"/>
          </w:tcPr>
          <w:p>
            <w:pPr>
              <w:pStyle w:val="TableContents"/>
              <w:spacing w:before="0" w:after="283"/>
              <w:rPr/>
            </w:pPr>
            <w:r>
              <w:rPr/>
              <w:t> </w:t>
            </w:r>
          </w:p>
        </w:tc>
      </w:tr>
      <w:tr>
        <w:trPr/>
        <w:tc>
          <w:tcPr>
            <w:tcW w:w="6088" w:type="dxa"/>
            <w:tcBorders/>
            <w:shd w:fill="CCEEFF" w:val="clear"/>
            <w:vAlign w:val="center"/>
          </w:tcPr>
          <w:p>
            <w:pPr>
              <w:pStyle w:val="TableContents"/>
              <w:spacing w:before="0" w:after="283"/>
              <w:rPr/>
            </w:pPr>
            <w:r>
              <w:rPr/>
              <w:t>Revenues: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 </w:t>
            </w:r>
          </w:p>
        </w:tc>
        <w:tc>
          <w:tcPr>
            <w:tcW w:w="312" w:type="dxa"/>
            <w:tcBorders/>
            <w:shd w:fill="CCEEFF" w:val="clear"/>
            <w:vAlign w:val="center"/>
          </w:tcPr>
          <w:p>
            <w:pPr>
              <w:pStyle w:val="TableContents"/>
              <w:spacing w:before="0" w:after="283"/>
              <w:ind w:left="0" w:right="0" w:firstLine="200"/>
              <w:jc w:val="left"/>
              <w:rPr/>
            </w:pPr>
            <w:r>
              <w:rPr/>
              <w:t> </w:t>
            </w:r>
          </w:p>
        </w:tc>
      </w:tr>
      <w:tr>
        <w:trPr/>
        <w:tc>
          <w:tcPr>
            <w:tcW w:w="6088" w:type="dxa"/>
            <w:tcBorders/>
            <w:shd w:fill="FFFFFF" w:val="clear"/>
            <w:vAlign w:val="center"/>
          </w:tcPr>
          <w:p>
            <w:pPr>
              <w:pStyle w:val="TableContents"/>
              <w:spacing w:before="0" w:after="283"/>
              <w:jc w:val="left"/>
              <w:rPr/>
            </w:pPr>
            <w:r>
              <w:rPr/>
              <w:t>Sales, net</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w:t>
            </w:r>
          </w:p>
        </w:tc>
        <w:tc>
          <w:tcPr>
            <w:tcW w:w="1593" w:type="dxa"/>
            <w:tcBorders/>
            <w:shd w:fill="FFFFFF" w:val="clear"/>
            <w:vAlign w:val="center"/>
          </w:tcPr>
          <w:p>
            <w:pPr>
              <w:pStyle w:val="TableContents"/>
              <w:spacing w:before="0" w:after="283"/>
              <w:jc w:val="right"/>
              <w:rPr/>
            </w:pPr>
            <w:r>
              <w:rPr/>
              <w:t>41,334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w:t>
            </w:r>
          </w:p>
        </w:tc>
        <w:tc>
          <w:tcPr>
            <w:tcW w:w="1593" w:type="dxa"/>
            <w:tcBorders/>
            <w:shd w:fill="FFFFFF" w:val="clear"/>
            <w:vAlign w:val="center"/>
          </w:tcPr>
          <w:p>
            <w:pPr>
              <w:pStyle w:val="TableContents"/>
              <w:spacing w:before="0" w:after="283"/>
              <w:jc w:val="right"/>
              <w:rPr/>
            </w:pPr>
            <w:r>
              <w:rPr/>
              <w:t>26,684</w:t>
            </w:r>
          </w:p>
        </w:tc>
        <w:tc>
          <w:tcPr>
            <w:tcW w:w="312" w:type="dxa"/>
            <w:tcBorders/>
            <w:shd w:fill="FFFFFF" w:val="clear"/>
            <w:vAlign w:val="center"/>
          </w:tcPr>
          <w:p>
            <w:pPr>
              <w:pStyle w:val="TableContents"/>
              <w:spacing w:before="0" w:after="283"/>
              <w:ind w:left="0" w:right="0" w:firstLine="200"/>
              <w:jc w:val="left"/>
              <w:rPr/>
            </w:pPr>
            <w:r>
              <w:rPr/>
              <w:t> </w:t>
            </w:r>
          </w:p>
        </w:tc>
      </w:tr>
      <w:tr>
        <w:trPr/>
        <w:tc>
          <w:tcPr>
            <w:tcW w:w="6088" w:type="dxa"/>
            <w:tcBorders/>
            <w:shd w:fill="CCEEFF" w:val="clear"/>
            <w:vAlign w:val="center"/>
          </w:tcPr>
          <w:p>
            <w:pPr>
              <w:pStyle w:val="TableContents"/>
              <w:spacing w:before="0" w:after="283"/>
              <w:jc w:val="left"/>
              <w:rPr/>
            </w:pPr>
            <w:r>
              <w:rPr/>
              <w:t>License revenues</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90</w:t>
            </w:r>
          </w:p>
        </w:tc>
        <w:tc>
          <w:tcPr>
            <w:tcW w:w="312" w:type="dxa"/>
            <w:tcBorders/>
            <w:shd w:fill="CCEEFF" w:val="clear"/>
            <w:vAlign w:val="center"/>
          </w:tcPr>
          <w:p>
            <w:pPr>
              <w:pStyle w:val="TableContents"/>
              <w:spacing w:before="0" w:after="283"/>
              <w:jc w:val="left"/>
              <w:rPr/>
            </w:pPr>
            <w:r>
              <w:rPr/>
              <w:t> </w:t>
            </w:r>
          </w:p>
        </w:tc>
      </w:tr>
      <w:tr>
        <w:trPr/>
        <w:tc>
          <w:tcPr>
            <w:tcW w:w="6088" w:type="dxa"/>
            <w:tcBorders/>
            <w:shd w:fill="FFFFFF" w:val="clear"/>
            <w:vAlign w:val="center"/>
          </w:tcPr>
          <w:p>
            <w:pPr>
              <w:pStyle w:val="TableContents"/>
              <w:spacing w:before="0" w:after="283"/>
              <w:jc w:val="left"/>
              <w:rPr/>
            </w:pPr>
            <w:r>
              <w:rPr/>
              <w:t>Total revenues</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41,372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26,774</w:t>
            </w:r>
          </w:p>
        </w:tc>
        <w:tc>
          <w:tcPr>
            <w:tcW w:w="312" w:type="dxa"/>
            <w:tcBorders/>
            <w:shd w:fill="FFFFFF" w:val="clear"/>
            <w:vAlign w:val="center"/>
          </w:tcPr>
          <w:p>
            <w:pPr>
              <w:pStyle w:val="TableContents"/>
              <w:spacing w:before="0" w:after="283"/>
              <w:ind w:left="0" w:right="0" w:firstLine="200"/>
              <w:jc w:val="left"/>
              <w:rPr/>
            </w:pPr>
            <w:r>
              <w:rPr/>
              <w:t> </w:t>
            </w:r>
          </w:p>
        </w:tc>
      </w:tr>
      <w:tr>
        <w:trPr/>
        <w:tc>
          <w:tcPr>
            <w:tcW w:w="6088" w:type="dxa"/>
            <w:tcBorders/>
            <w:shd w:fill="CCEEFF" w:val="clear"/>
            <w:vAlign w:val="center"/>
          </w:tcPr>
          <w:p>
            <w:pPr>
              <w:pStyle w:val="TableContents"/>
              <w:spacing w:before="0" w:after="283"/>
              <w:rPr/>
            </w:pPr>
            <w:r>
              <w:rPr/>
              <w:t>Cost of sales</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(16,521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(13,505</w:t>
            </w:r>
          </w:p>
        </w:tc>
        <w:tc>
          <w:tcPr>
            <w:tcW w:w="312" w:type="dxa"/>
            <w:tcBorders/>
            <w:shd w:fill="CCEEFF" w:val="clear"/>
            <w:vAlign w:val="center"/>
          </w:tcPr>
          <w:p>
            <w:pPr>
              <w:pStyle w:val="TableContents"/>
              <w:spacing w:before="0" w:after="283"/>
              <w:jc w:val="left"/>
              <w:rPr/>
            </w:pPr>
            <w:r>
              <w:rPr/>
              <w:t>)</w:t>
            </w:r>
          </w:p>
        </w:tc>
      </w:tr>
      <w:tr>
        <w:trPr/>
        <w:tc>
          <w:tcPr>
            <w:tcW w:w="6088" w:type="dxa"/>
            <w:tcBorders/>
            <w:shd w:fill="FFFFFF" w:val="clear"/>
            <w:vAlign w:val="center"/>
          </w:tcPr>
          <w:p>
            <w:pPr>
              <w:pStyle w:val="TableContents"/>
              <w:spacing w:before="0" w:after="283"/>
              <w:jc w:val="left"/>
              <w:rPr/>
            </w:pPr>
            <w:r>
              <w:rPr/>
              <w:t>Gross profit</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24,851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13,269</w:t>
            </w:r>
          </w:p>
        </w:tc>
        <w:tc>
          <w:tcPr>
            <w:tcW w:w="312" w:type="dxa"/>
            <w:tcBorders/>
            <w:shd w:fill="FFFFFF" w:val="clear"/>
            <w:vAlign w:val="center"/>
          </w:tcPr>
          <w:p>
            <w:pPr>
              <w:pStyle w:val="TableContents"/>
              <w:spacing w:before="0" w:after="283"/>
              <w:jc w:val="left"/>
              <w:rPr/>
            </w:pPr>
            <w:r>
              <w:rPr/>
              <w:t> </w:t>
            </w:r>
          </w:p>
        </w:tc>
      </w:tr>
      <w:tr>
        <w:trPr/>
        <w:tc>
          <w:tcPr>
            <w:tcW w:w="6088"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 </w:t>
            </w:r>
          </w:p>
        </w:tc>
        <w:tc>
          <w:tcPr>
            <w:tcW w:w="312" w:type="dxa"/>
            <w:tcBorders/>
            <w:shd w:fill="CCEEFF" w:val="clear"/>
            <w:vAlign w:val="center"/>
          </w:tcPr>
          <w:p>
            <w:pPr>
              <w:pStyle w:val="TableContents"/>
              <w:spacing w:before="0" w:after="283"/>
              <w:ind w:left="0" w:right="0" w:firstLine="200"/>
              <w:jc w:val="left"/>
              <w:rPr/>
            </w:pPr>
            <w:r>
              <w:rPr/>
              <w:t> </w:t>
            </w:r>
          </w:p>
        </w:tc>
      </w:tr>
      <w:tr>
        <w:trPr/>
        <w:tc>
          <w:tcPr>
            <w:tcW w:w="6088" w:type="dxa"/>
            <w:tcBorders/>
            <w:shd w:fill="FFFFFF" w:val="clear"/>
            <w:vAlign w:val="center"/>
          </w:tcPr>
          <w:p>
            <w:pPr>
              <w:pStyle w:val="TableContents"/>
              <w:spacing w:before="0" w:after="283"/>
              <w:jc w:val="left"/>
              <w:rPr/>
            </w:pPr>
            <w:r>
              <w:rPr/>
              <w:t>Selling, general and administrative</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29,243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25,019</w:t>
            </w:r>
          </w:p>
        </w:tc>
        <w:tc>
          <w:tcPr>
            <w:tcW w:w="312" w:type="dxa"/>
            <w:tcBorders/>
            <w:shd w:fill="FFFFFF" w:val="clear"/>
            <w:vAlign w:val="center"/>
          </w:tcPr>
          <w:p>
            <w:pPr>
              <w:pStyle w:val="TableContents"/>
              <w:spacing w:before="0" w:after="283"/>
              <w:ind w:left="0" w:right="0" w:firstLine="200"/>
              <w:jc w:val="left"/>
              <w:rPr/>
            </w:pPr>
            <w:r>
              <w:rPr/>
              <w:t> </w:t>
            </w:r>
          </w:p>
        </w:tc>
      </w:tr>
      <w:tr>
        <w:trPr/>
        <w:tc>
          <w:tcPr>
            <w:tcW w:w="6088" w:type="dxa"/>
            <w:tcBorders/>
            <w:shd w:fill="CCEEFF" w:val="clear"/>
            <w:vAlign w:val="center"/>
          </w:tcPr>
          <w:p>
            <w:pPr>
              <w:pStyle w:val="TableContents"/>
              <w:spacing w:before="0" w:after="283"/>
              <w:jc w:val="left"/>
              <w:rPr/>
            </w:pPr>
            <w:r>
              <w:rPr/>
              <w:t>Research and development</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825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413</w:t>
            </w:r>
          </w:p>
        </w:tc>
        <w:tc>
          <w:tcPr>
            <w:tcW w:w="312" w:type="dxa"/>
            <w:tcBorders/>
            <w:shd w:fill="CCEEFF" w:val="clear"/>
            <w:vAlign w:val="center"/>
          </w:tcPr>
          <w:p>
            <w:pPr>
              <w:pStyle w:val="TableContents"/>
              <w:spacing w:before="0" w:after="283"/>
              <w:jc w:val="left"/>
              <w:rPr/>
            </w:pPr>
            <w:r>
              <w:rPr/>
              <w:t> </w:t>
            </w:r>
          </w:p>
        </w:tc>
      </w:tr>
      <w:tr>
        <w:trPr/>
        <w:tc>
          <w:tcPr>
            <w:tcW w:w="6088" w:type="dxa"/>
            <w:tcBorders/>
            <w:shd w:fill="FFFFFF" w:val="clear"/>
            <w:vAlign w:val="center"/>
          </w:tcPr>
          <w:p>
            <w:pPr>
              <w:pStyle w:val="TableContents"/>
              <w:spacing w:before="0" w:after="283"/>
              <w:jc w:val="left"/>
              <w:rPr/>
            </w:pPr>
            <w:r>
              <w:rPr/>
              <w:t>Total operating expenses</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30,068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25,432</w:t>
            </w:r>
          </w:p>
        </w:tc>
        <w:tc>
          <w:tcPr>
            <w:tcW w:w="312" w:type="dxa"/>
            <w:tcBorders/>
            <w:shd w:fill="FFFFFF" w:val="clear"/>
            <w:vAlign w:val="center"/>
          </w:tcPr>
          <w:p>
            <w:pPr>
              <w:pStyle w:val="TableContents"/>
              <w:spacing w:before="0" w:after="283"/>
              <w:jc w:val="left"/>
              <w:rPr/>
            </w:pPr>
            <w:r>
              <w:rPr/>
              <w:t> </w:t>
            </w:r>
          </w:p>
        </w:tc>
      </w:tr>
      <w:tr>
        <w:trPr/>
        <w:tc>
          <w:tcPr>
            <w:tcW w:w="6088" w:type="dxa"/>
            <w:tcBorders/>
            <w:shd w:fill="CCEEFF" w:val="clear"/>
            <w:vAlign w:val="center"/>
          </w:tcPr>
          <w:p>
            <w:pPr>
              <w:pStyle w:val="TableContents"/>
              <w:spacing w:before="0" w:after="283"/>
              <w:jc w:val="left"/>
              <w:rPr/>
            </w:pPr>
            <w:r>
              <w:rPr/>
              <w:t>Loss from operations</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(5,217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(12,163</w:t>
            </w:r>
          </w:p>
        </w:tc>
        <w:tc>
          <w:tcPr>
            <w:tcW w:w="312" w:type="dxa"/>
            <w:tcBorders/>
            <w:shd w:fill="CCEEFF" w:val="clear"/>
            <w:vAlign w:val="center"/>
          </w:tcPr>
          <w:p>
            <w:pPr>
              <w:pStyle w:val="TableContents"/>
              <w:spacing w:before="0" w:after="283"/>
              <w:jc w:val="left"/>
              <w:rPr/>
            </w:pPr>
            <w:r>
              <w:rPr/>
              <w:t>)</w:t>
            </w:r>
          </w:p>
        </w:tc>
      </w:tr>
      <w:tr>
        <w:trPr/>
        <w:tc>
          <w:tcPr>
            <w:tcW w:w="6088" w:type="dxa"/>
            <w:tcBorders/>
            <w:shd w:fill="FFFFFF" w:val="clear"/>
            <w:vAlign w:val="center"/>
          </w:tcPr>
          <w:p>
            <w:pPr>
              <w:pStyle w:val="TableContents"/>
              <w:spacing w:before="0" w:after="283"/>
              <w:jc w:val="left"/>
              <w:rPr/>
            </w:pPr>
            <w:r>
              <w:rPr/>
              <w:t>Other income (expense):</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 </w:t>
            </w:r>
          </w:p>
        </w:tc>
        <w:tc>
          <w:tcPr>
            <w:tcW w:w="312" w:type="dxa"/>
            <w:tcBorders/>
            <w:shd w:fill="FFFFFF" w:val="clear"/>
            <w:vAlign w:val="center"/>
          </w:tcPr>
          <w:p>
            <w:pPr>
              <w:pStyle w:val="TableContents"/>
              <w:spacing w:before="0" w:after="283"/>
              <w:ind w:left="0" w:right="0" w:firstLine="200"/>
              <w:jc w:val="left"/>
              <w:rPr/>
            </w:pPr>
            <w:r>
              <w:rPr/>
              <w:t> </w:t>
            </w:r>
          </w:p>
        </w:tc>
      </w:tr>
      <w:tr>
        <w:trPr/>
        <w:tc>
          <w:tcPr>
            <w:tcW w:w="6088" w:type="dxa"/>
            <w:tcBorders/>
            <w:shd w:fill="CCEEFF" w:val="clear"/>
            <w:vAlign w:val="center"/>
          </w:tcPr>
          <w:p>
            <w:pPr>
              <w:pStyle w:val="TableContents"/>
              <w:spacing w:before="0" w:after="283"/>
              <w:jc w:val="left"/>
              <w:rPr/>
            </w:pPr>
            <w:r>
              <w:rPr/>
              <w:t>Interest expense, net</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(2,728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(3,026</w:t>
            </w:r>
          </w:p>
        </w:tc>
        <w:tc>
          <w:tcPr>
            <w:tcW w:w="312" w:type="dxa"/>
            <w:tcBorders/>
            <w:shd w:fill="CCEEFF" w:val="clear"/>
            <w:vAlign w:val="center"/>
          </w:tcPr>
          <w:p>
            <w:pPr>
              <w:pStyle w:val="TableContents"/>
              <w:spacing w:before="0" w:after="283"/>
              <w:ind w:left="0" w:right="0" w:firstLine="200"/>
              <w:jc w:val="left"/>
              <w:rPr/>
            </w:pPr>
            <w:r>
              <w:rPr/>
              <w:t>)</w:t>
            </w:r>
          </w:p>
        </w:tc>
      </w:tr>
      <w:tr>
        <w:trPr/>
        <w:tc>
          <w:tcPr>
            <w:tcW w:w="6088" w:type="dxa"/>
            <w:tcBorders/>
            <w:shd w:fill="FFFFFF" w:val="clear"/>
            <w:vAlign w:val="center"/>
          </w:tcPr>
          <w:p>
            <w:pPr>
              <w:pStyle w:val="TableContents"/>
              <w:spacing w:before="0" w:after="283"/>
              <w:jc w:val="left"/>
              <w:rPr/>
            </w:pPr>
            <w:r>
              <w:rPr/>
              <w:t>Investment gain from Surface Pharmaceuticals, net</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4,947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w:t>
            </w:r>
          </w:p>
        </w:tc>
        <w:tc>
          <w:tcPr>
            <w:tcW w:w="312" w:type="dxa"/>
            <w:tcBorders/>
            <w:shd w:fill="FFFFFF" w:val="clear"/>
            <w:vAlign w:val="center"/>
          </w:tcPr>
          <w:p>
            <w:pPr>
              <w:pStyle w:val="TableContents"/>
              <w:spacing w:before="0" w:after="283"/>
              <w:ind w:left="0" w:right="0" w:firstLine="200"/>
              <w:jc w:val="left"/>
              <w:rPr/>
            </w:pPr>
            <w:r>
              <w:rPr/>
              <w:t> </w:t>
            </w:r>
          </w:p>
        </w:tc>
      </w:tr>
      <w:tr>
        <w:trPr/>
        <w:tc>
          <w:tcPr>
            <w:tcW w:w="6088" w:type="dxa"/>
            <w:tcBorders/>
            <w:shd w:fill="CCEEFF" w:val="clear"/>
            <w:vAlign w:val="center"/>
          </w:tcPr>
          <w:p>
            <w:pPr>
              <w:pStyle w:val="TableContents"/>
              <w:spacing w:before="0" w:after="283"/>
              <w:jc w:val="left"/>
              <w:rPr/>
            </w:pPr>
            <w:r>
              <w:rPr/>
              <w:t>Investment gain from Eton Pharmaceuticals, net</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17,913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3,507</w:t>
            </w:r>
          </w:p>
        </w:tc>
        <w:tc>
          <w:tcPr>
            <w:tcW w:w="312" w:type="dxa"/>
            <w:tcBorders/>
            <w:shd w:fill="CCEEFF" w:val="clear"/>
            <w:vAlign w:val="center"/>
          </w:tcPr>
          <w:p>
            <w:pPr>
              <w:pStyle w:val="TableContents"/>
              <w:spacing w:before="0" w:after="283"/>
              <w:ind w:left="0" w:right="0" w:firstLine="200"/>
              <w:jc w:val="left"/>
              <w:rPr/>
            </w:pPr>
            <w:r>
              <w:rPr/>
              <w:t> </w:t>
            </w:r>
          </w:p>
        </w:tc>
      </w:tr>
      <w:tr>
        <w:trPr/>
        <w:tc>
          <w:tcPr>
            <w:tcW w:w="6088" w:type="dxa"/>
            <w:tcBorders/>
            <w:shd w:fill="FFFFFF" w:val="clear"/>
            <w:vAlign w:val="center"/>
          </w:tcPr>
          <w:p>
            <w:pPr>
              <w:pStyle w:val="TableContents"/>
              <w:spacing w:before="0" w:after="283"/>
              <w:jc w:val="left"/>
              <w:rPr/>
            </w:pPr>
            <w:r>
              <w:rPr/>
              <w:t>Loss on sale of assets</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(393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1593" w:type="dxa"/>
            <w:tcBorders/>
            <w:shd w:fill="FFFFFF" w:val="clear"/>
            <w:vAlign w:val="center"/>
          </w:tcPr>
          <w:p>
            <w:pPr>
              <w:pStyle w:val="TableContents"/>
              <w:spacing w:before="0" w:after="283"/>
              <w:jc w:val="right"/>
              <w:rPr/>
            </w:pPr>
            <w:r>
              <w:rPr/>
              <w:t>(354</w:t>
            </w:r>
          </w:p>
        </w:tc>
        <w:tc>
          <w:tcPr>
            <w:tcW w:w="312" w:type="dxa"/>
            <w:tcBorders/>
            <w:shd w:fill="FFFFFF" w:val="clear"/>
            <w:vAlign w:val="center"/>
          </w:tcPr>
          <w:p>
            <w:pPr>
              <w:pStyle w:val="TableContents"/>
              <w:spacing w:before="0" w:after="283"/>
              <w:ind w:left="0" w:right="0" w:firstLine="200"/>
              <w:jc w:val="left"/>
              <w:rPr/>
            </w:pPr>
            <w:r>
              <w:rPr/>
              <w:t>)</w:t>
            </w:r>
          </w:p>
        </w:tc>
      </w:tr>
      <w:tr>
        <w:trPr/>
        <w:tc>
          <w:tcPr>
            <w:tcW w:w="6088" w:type="dxa"/>
            <w:tcBorders/>
            <w:shd w:fill="CCEEFF" w:val="clear"/>
            <w:vAlign w:val="center"/>
          </w:tcPr>
          <w:p>
            <w:pPr>
              <w:pStyle w:val="TableContents"/>
              <w:spacing w:before="0" w:after="283"/>
              <w:jc w:val="left"/>
              <w:rPr/>
            </w:pPr>
            <w:r>
              <w:rPr/>
              <w:t>Other income (expense), net</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103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CCEEFF" w:val="clear"/>
            <w:tcMar>
              <w:bottom w:w="28" w:type="dxa"/>
            </w:tcMar>
            <w:vAlign w:val="center"/>
          </w:tcPr>
          <w:p>
            <w:pPr>
              <w:pStyle w:val="TableContents"/>
              <w:spacing w:before="0" w:after="283"/>
              <w:jc w:val="right"/>
              <w:rPr/>
            </w:pPr>
            <w:r>
              <w:rPr/>
              <w:t>(884</w:t>
            </w:r>
          </w:p>
        </w:tc>
        <w:tc>
          <w:tcPr>
            <w:tcW w:w="312" w:type="dxa"/>
            <w:tcBorders/>
            <w:shd w:fill="CCEEFF" w:val="clear"/>
            <w:vAlign w:val="center"/>
          </w:tcPr>
          <w:p>
            <w:pPr>
              <w:pStyle w:val="TableContents"/>
              <w:spacing w:before="0" w:after="283"/>
              <w:jc w:val="left"/>
              <w:rPr/>
            </w:pPr>
            <w:r>
              <w:rPr/>
              <w:t>)</w:t>
            </w:r>
          </w:p>
        </w:tc>
      </w:tr>
      <w:tr>
        <w:trPr/>
        <w:tc>
          <w:tcPr>
            <w:tcW w:w="6088" w:type="dxa"/>
            <w:tcBorders/>
            <w:shd w:fill="FFFFFF" w:val="clear"/>
            <w:vAlign w:val="center"/>
          </w:tcPr>
          <w:p>
            <w:pPr>
              <w:pStyle w:val="TableContents"/>
              <w:spacing w:before="0" w:after="283"/>
              <w:jc w:val="left"/>
              <w:rPr/>
            </w:pPr>
            <w:r>
              <w:rPr/>
              <w:t>Total other income (expense), net</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19,842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(757</w:t>
            </w:r>
          </w:p>
        </w:tc>
        <w:tc>
          <w:tcPr>
            <w:tcW w:w="312" w:type="dxa"/>
            <w:tcBorders/>
            <w:shd w:fill="FFFFFF" w:val="clear"/>
            <w:vAlign w:val="center"/>
          </w:tcPr>
          <w:p>
            <w:pPr>
              <w:pStyle w:val="TableContents"/>
              <w:spacing w:before="0" w:after="283"/>
              <w:jc w:val="left"/>
              <w:rPr/>
            </w:pPr>
            <w:r>
              <w:rPr/>
              <w:t>)</w:t>
            </w:r>
          </w:p>
        </w:tc>
      </w:tr>
      <w:tr>
        <w:trPr/>
        <w:tc>
          <w:tcPr>
            <w:tcW w:w="6088" w:type="dxa"/>
            <w:tcBorders/>
            <w:shd w:fill="CCEEFF" w:val="clear"/>
            <w:vAlign w:val="center"/>
          </w:tcPr>
          <w:p>
            <w:pPr>
              <w:pStyle w:val="TableContents"/>
              <w:spacing w:before="0" w:after="283"/>
              <w:jc w:val="left"/>
              <w:rPr/>
            </w:pPr>
            <w:r>
              <w:rPr/>
              <w:t>Income (loss) before income taxes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14,625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593" w:type="dxa"/>
            <w:tcBorders/>
            <w:shd w:fill="CCEEFF" w:val="clear"/>
            <w:vAlign w:val="center"/>
          </w:tcPr>
          <w:p>
            <w:pPr>
              <w:pStyle w:val="TableContents"/>
              <w:spacing w:before="0" w:after="283"/>
              <w:jc w:val="right"/>
              <w:rPr/>
            </w:pPr>
            <w:r>
              <w:rPr/>
              <w:t>(12,920</w:t>
            </w:r>
          </w:p>
        </w:tc>
        <w:tc>
          <w:tcPr>
            <w:tcW w:w="312" w:type="dxa"/>
            <w:tcBorders/>
            <w:shd w:fill="CCEEFF" w:val="clear"/>
            <w:vAlign w:val="center"/>
          </w:tcPr>
          <w:p>
            <w:pPr>
              <w:pStyle w:val="TableContents"/>
              <w:spacing w:before="0" w:after="283"/>
              <w:ind w:left="0" w:right="0" w:firstLine="200"/>
              <w:jc w:val="left"/>
              <w:rPr/>
            </w:pPr>
            <w:r>
              <w:rPr/>
              <w:t>)</w:t>
            </w:r>
          </w:p>
        </w:tc>
      </w:tr>
      <w:tr>
        <w:trPr/>
        <w:tc>
          <w:tcPr>
            <w:tcW w:w="6088" w:type="dxa"/>
            <w:tcBorders/>
            <w:shd w:fill="FFFFFF" w:val="clear"/>
            <w:vAlign w:val="center"/>
          </w:tcPr>
          <w:p>
            <w:pPr>
              <w:pStyle w:val="TableContents"/>
              <w:spacing w:before="0" w:after="283"/>
              <w:jc w:val="left"/>
              <w:rPr/>
            </w:pPr>
            <w:r>
              <w:rPr/>
              <w:t>Income tax benefit, net</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single" w:sz="12" w:space="0" w:color="000000"/>
            </w:tcBorders>
            <w:shd w:fill="FFFFFF" w:val="clear"/>
            <w:tcMar>
              <w:bottom w:w="28" w:type="dxa"/>
            </w:tcMar>
            <w:vAlign w:val="center"/>
          </w:tcPr>
          <w:p>
            <w:pPr>
              <w:pStyle w:val="TableContents"/>
              <w:spacing w:before="0" w:after="283"/>
              <w:jc w:val="right"/>
              <w:rPr/>
            </w:pPr>
            <w:r>
              <w:rPr/>
              <w:t>935</w:t>
            </w:r>
          </w:p>
        </w:tc>
        <w:tc>
          <w:tcPr>
            <w:tcW w:w="312" w:type="dxa"/>
            <w:tcBorders/>
            <w:shd w:fill="FFFFFF" w:val="clear"/>
            <w:vAlign w:val="center"/>
          </w:tcPr>
          <w:p>
            <w:pPr>
              <w:pStyle w:val="TableContents"/>
              <w:spacing w:before="0" w:after="283"/>
              <w:jc w:val="left"/>
              <w:rPr/>
            </w:pPr>
            <w:r>
              <w:rPr/>
              <w:t> </w:t>
            </w:r>
          </w:p>
        </w:tc>
      </w:tr>
      <w:tr>
        <w:trPr/>
        <w:tc>
          <w:tcPr>
            <w:tcW w:w="6088" w:type="dxa"/>
            <w:tcBorders/>
            <w:shd w:fill="CCEEFF" w:val="clear"/>
            <w:vAlign w:val="center"/>
          </w:tcPr>
          <w:p>
            <w:pPr>
              <w:pStyle w:val="TableContents"/>
              <w:spacing w:before="0" w:after="283"/>
              <w:jc w:val="left"/>
              <w:rPr/>
            </w:pPr>
            <w:r>
              <w:rPr/>
              <w:t>Net income (loss)</w:t>
            </w:r>
          </w:p>
        </w:tc>
        <w:tc>
          <w:tcPr>
            <w:tcW w:w="60"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93" w:type="dxa"/>
            <w:tcBorders>
              <w:bottom w:val="double" w:sz="6" w:space="0" w:color="000000"/>
            </w:tcBorders>
            <w:shd w:fill="CCEEFF" w:val="clear"/>
            <w:tcMar>
              <w:bottom w:w="28" w:type="dxa"/>
            </w:tcMar>
            <w:vAlign w:val="center"/>
          </w:tcPr>
          <w:p>
            <w:pPr>
              <w:pStyle w:val="TableContents"/>
              <w:spacing w:before="0" w:after="283"/>
              <w:jc w:val="right"/>
              <w:rPr/>
            </w:pPr>
            <w:r>
              <w:rPr/>
              <w:t>14,625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93" w:type="dxa"/>
            <w:tcBorders>
              <w:bottom w:val="double" w:sz="6" w:space="0" w:color="000000"/>
            </w:tcBorders>
            <w:shd w:fill="CCEEFF" w:val="clear"/>
            <w:tcMar>
              <w:bottom w:w="28" w:type="dxa"/>
            </w:tcMar>
            <w:vAlign w:val="center"/>
          </w:tcPr>
          <w:p>
            <w:pPr>
              <w:pStyle w:val="TableContents"/>
              <w:spacing w:before="0" w:after="283"/>
              <w:jc w:val="right"/>
              <w:rPr/>
            </w:pPr>
            <w:r>
              <w:rPr/>
              <w:t>(11,985</w:t>
            </w:r>
          </w:p>
        </w:tc>
        <w:tc>
          <w:tcPr>
            <w:tcW w:w="312" w:type="dxa"/>
            <w:tcBorders/>
            <w:shd w:fill="CCEEFF" w:val="clear"/>
            <w:vAlign w:val="center"/>
          </w:tcPr>
          <w:p>
            <w:pPr>
              <w:pStyle w:val="TableContents"/>
              <w:spacing w:before="0" w:after="283"/>
              <w:jc w:val="left"/>
              <w:rPr/>
            </w:pPr>
            <w:r>
              <w:rPr/>
              <w:t>)</w:t>
            </w:r>
          </w:p>
        </w:tc>
      </w:tr>
      <w:tr>
        <w:trPr/>
        <w:tc>
          <w:tcPr>
            <w:tcW w:w="6088" w:type="dxa"/>
            <w:tcBorders/>
            <w:shd w:fill="FFFFFF" w:val="clear"/>
            <w:vAlign w:val="center"/>
          </w:tcPr>
          <w:p>
            <w:pPr>
              <w:pStyle w:val="TableContents"/>
              <w:spacing w:before="0" w:after="283"/>
              <w:jc w:val="left"/>
              <w:rPr/>
            </w:pPr>
            <w:r>
              <w:rPr/>
              <w:t>Basic net income (loss) per share of common stock</w:t>
            </w:r>
          </w:p>
        </w:tc>
        <w:tc>
          <w:tcPr>
            <w:tcW w:w="60" w:type="dxa"/>
            <w:tcBorders/>
            <w:shd w:fill="FFFFFF" w:val="clear"/>
            <w:vAlign w:val="center"/>
          </w:tcPr>
          <w:p>
            <w:pPr>
              <w:pStyle w:val="TableContents"/>
              <w:spacing w:before="0" w:after="283"/>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593" w:type="dxa"/>
            <w:tcBorders>
              <w:bottom w:val="double" w:sz="6" w:space="0" w:color="000000"/>
            </w:tcBorders>
            <w:shd w:fill="FFFFFF" w:val="clear"/>
            <w:tcMar>
              <w:bottom w:w="28" w:type="dxa"/>
            </w:tcMar>
            <w:vAlign w:val="center"/>
          </w:tcPr>
          <w:p>
            <w:pPr>
              <w:pStyle w:val="TableContents"/>
              <w:spacing w:before="0" w:after="283"/>
              <w:jc w:val="right"/>
              <w:rPr/>
            </w:pPr>
            <w:r>
              <w:rPr/>
              <w:t>0.67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593" w:type="dxa"/>
            <w:tcBorders>
              <w:bottom w:val="double" w:sz="6" w:space="0" w:color="000000"/>
            </w:tcBorders>
            <w:shd w:fill="FFFFFF" w:val="clear"/>
            <w:tcMar>
              <w:bottom w:w="28" w:type="dxa"/>
            </w:tcMar>
            <w:vAlign w:val="center"/>
          </w:tcPr>
          <w:p>
            <w:pPr>
              <w:pStyle w:val="TableContents"/>
              <w:spacing w:before="0" w:after="283"/>
              <w:jc w:val="right"/>
              <w:rPr/>
            </w:pPr>
            <w:r>
              <w:rPr/>
              <w:t>(0.60</w:t>
            </w:r>
          </w:p>
        </w:tc>
        <w:tc>
          <w:tcPr>
            <w:tcW w:w="312" w:type="dxa"/>
            <w:tcBorders/>
            <w:shd w:fill="FFFFFF" w:val="clear"/>
            <w:vAlign w:val="center"/>
          </w:tcPr>
          <w:p>
            <w:pPr>
              <w:pStyle w:val="TableContents"/>
              <w:spacing w:before="0" w:after="283"/>
              <w:jc w:val="left"/>
              <w:rPr/>
            </w:pPr>
            <w:r>
              <w:rPr/>
              <w:t>)</w:t>
            </w:r>
          </w:p>
        </w:tc>
      </w:tr>
      <w:tr>
        <w:trPr/>
        <w:tc>
          <w:tcPr>
            <w:tcW w:w="6088" w:type="dxa"/>
            <w:tcBorders/>
            <w:shd w:fill="CCEEFF" w:val="clear"/>
            <w:vAlign w:val="center"/>
          </w:tcPr>
          <w:p>
            <w:pPr>
              <w:pStyle w:val="TableContents"/>
              <w:spacing w:before="0" w:after="283"/>
              <w:jc w:val="left"/>
              <w:rPr/>
            </w:pPr>
            <w:r>
              <w:rPr/>
              <w:t>Diluted net income (loss) per share of common stock</w:t>
            </w:r>
          </w:p>
        </w:tc>
        <w:tc>
          <w:tcPr>
            <w:tcW w:w="60"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93" w:type="dxa"/>
            <w:tcBorders>
              <w:bottom w:val="double" w:sz="6" w:space="0" w:color="000000"/>
            </w:tcBorders>
            <w:shd w:fill="CCEEFF" w:val="clear"/>
            <w:tcMar>
              <w:bottom w:w="28" w:type="dxa"/>
            </w:tcMar>
            <w:vAlign w:val="center"/>
          </w:tcPr>
          <w:p>
            <w:pPr>
              <w:pStyle w:val="TableContents"/>
              <w:spacing w:before="0" w:after="283"/>
              <w:jc w:val="right"/>
              <w:rPr/>
            </w:pPr>
            <w:r>
              <w:rPr/>
              <w:t>0.61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93" w:type="dxa"/>
            <w:tcBorders>
              <w:bottom w:val="double" w:sz="6" w:space="0" w:color="000000"/>
            </w:tcBorders>
            <w:shd w:fill="CCEEFF" w:val="clear"/>
            <w:tcMar>
              <w:bottom w:w="28" w:type="dxa"/>
            </w:tcMar>
            <w:vAlign w:val="center"/>
          </w:tcPr>
          <w:p>
            <w:pPr>
              <w:pStyle w:val="TableContents"/>
              <w:spacing w:before="0" w:after="283"/>
              <w:jc w:val="right"/>
              <w:rPr/>
            </w:pPr>
            <w:r>
              <w:rPr/>
              <w:t>(0.60</w:t>
            </w:r>
          </w:p>
        </w:tc>
        <w:tc>
          <w:tcPr>
            <w:tcW w:w="312" w:type="dxa"/>
            <w:tcBorders/>
            <w:shd w:fill="CCEEFF" w:val="clear"/>
            <w:vAlign w:val="center"/>
          </w:tcPr>
          <w:p>
            <w:pPr>
              <w:pStyle w:val="TableContents"/>
              <w:spacing w:before="0" w:after="283"/>
              <w:jc w:val="left"/>
              <w:rPr/>
            </w:pPr>
            <w:r>
              <w:rPr/>
              <w:t>)</w:t>
            </w:r>
          </w:p>
        </w:tc>
      </w:tr>
      <w:tr>
        <w:trPr/>
        <w:tc>
          <w:tcPr>
            <w:tcW w:w="6088" w:type="dxa"/>
            <w:tcBorders/>
            <w:shd w:fill="FFFFFF" w:val="clear"/>
            <w:vAlign w:val="center"/>
          </w:tcPr>
          <w:p>
            <w:pPr>
              <w:pStyle w:val="TableContents"/>
              <w:spacing w:before="0" w:after="283"/>
              <w:rPr/>
            </w:pPr>
            <w:r>
              <w:rPr/>
              <w:t>Weighted average number of shares of common stock outstanding, basic</w:t>
            </w:r>
          </w:p>
        </w:tc>
        <w:tc>
          <w:tcPr>
            <w:tcW w:w="60" w:type="dxa"/>
            <w:tcBorders/>
            <w:shd w:fill="FFFFFF" w:val="clear"/>
            <w:vAlign w:val="center"/>
          </w:tcPr>
          <w:p>
            <w:pPr>
              <w:pStyle w:val="TableContents"/>
              <w:spacing w:before="0" w:after="283"/>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double" w:sz="6" w:space="0" w:color="000000"/>
            </w:tcBorders>
            <w:shd w:fill="FFFFFF" w:val="clear"/>
            <w:tcMar>
              <w:bottom w:w="28" w:type="dxa"/>
            </w:tcMar>
            <w:vAlign w:val="center"/>
          </w:tcPr>
          <w:p>
            <w:pPr>
              <w:pStyle w:val="TableContents"/>
              <w:spacing w:before="0" w:after="283"/>
              <w:jc w:val="right"/>
              <w:rPr/>
            </w:pPr>
            <w:r>
              <w:rPr/>
              <w:t>21,917,570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593" w:type="dxa"/>
            <w:tcBorders>
              <w:bottom w:val="double" w:sz="6" w:space="0" w:color="000000"/>
            </w:tcBorders>
            <w:shd w:fill="FFFFFF" w:val="clear"/>
            <w:tcMar>
              <w:bottom w:w="28" w:type="dxa"/>
            </w:tcMar>
            <w:vAlign w:val="center"/>
          </w:tcPr>
          <w:p>
            <w:pPr>
              <w:pStyle w:val="TableContents"/>
              <w:spacing w:before="0" w:after="283"/>
              <w:jc w:val="right"/>
              <w:rPr/>
            </w:pPr>
            <w:r>
              <w:rPr/>
              <w:t>20,027,712</w:t>
            </w:r>
          </w:p>
        </w:tc>
        <w:tc>
          <w:tcPr>
            <w:tcW w:w="312" w:type="dxa"/>
            <w:tcBorders/>
            <w:shd w:fill="FFFFFF" w:val="clear"/>
            <w:vAlign w:val="center"/>
          </w:tcPr>
          <w:p>
            <w:pPr>
              <w:pStyle w:val="TableContents"/>
              <w:spacing w:before="0" w:after="283"/>
              <w:jc w:val="left"/>
              <w:rPr/>
            </w:pPr>
            <w:r>
              <w:rPr/>
              <w:t> </w:t>
            </w:r>
          </w:p>
        </w:tc>
      </w:tr>
      <w:tr>
        <w:trPr/>
        <w:tc>
          <w:tcPr>
            <w:tcW w:w="6088" w:type="dxa"/>
            <w:tcBorders/>
            <w:shd w:fill="CCEEFF" w:val="clear"/>
            <w:vAlign w:val="center"/>
          </w:tcPr>
          <w:p>
            <w:pPr>
              <w:pStyle w:val="TableContents"/>
              <w:spacing w:before="0" w:after="283"/>
              <w:rPr/>
            </w:pPr>
            <w:r>
              <w:rPr/>
              <w:t>Weighted average number of shares of common stock diluted</w:t>
            </w:r>
          </w:p>
        </w:tc>
        <w:tc>
          <w:tcPr>
            <w:tcW w:w="60"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double" w:sz="6" w:space="0" w:color="000000"/>
            </w:tcBorders>
            <w:shd w:fill="CCEEFF" w:val="clear"/>
            <w:tcMar>
              <w:bottom w:w="28" w:type="dxa"/>
            </w:tcMar>
            <w:vAlign w:val="center"/>
          </w:tcPr>
          <w:p>
            <w:pPr>
              <w:pStyle w:val="TableContents"/>
              <w:spacing w:before="0" w:after="283"/>
              <w:jc w:val="right"/>
              <w:rPr/>
            </w:pPr>
            <w:r>
              <w:rPr/>
              <w:t>23,812,045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593" w:type="dxa"/>
            <w:tcBorders>
              <w:bottom w:val="double" w:sz="6" w:space="0" w:color="000000"/>
            </w:tcBorders>
            <w:shd w:fill="CCEEFF" w:val="clear"/>
            <w:tcMar>
              <w:bottom w:w="28" w:type="dxa"/>
            </w:tcMar>
            <w:vAlign w:val="center"/>
          </w:tcPr>
          <w:p>
            <w:pPr>
              <w:pStyle w:val="TableContents"/>
              <w:spacing w:before="0" w:after="283"/>
              <w:jc w:val="right"/>
              <w:rPr/>
            </w:pPr>
            <w:r>
              <w:rPr/>
              <w:t>20,027,712</w:t>
            </w:r>
          </w:p>
        </w:tc>
        <w:tc>
          <w:tcPr>
            <w:tcW w:w="312"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accompanying notes are an integral part of these consolidated financial statements</w:t>
      </w:r>
    </w:p>
    <w:p>
      <w:pPr>
        <w:pStyle w:val="TextBody"/>
        <w:jc w:val="center"/>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1" w:name="a_027"/>
      <w:bookmarkEnd w:id="31"/>
      <w:r>
        <w:rPr>
          <w:rFonts w:ascii="Times New Roman;Times;Serif" w:hAnsi="Times New Roman;Times;Serif"/>
          <w:b/>
          <w:i w:val="false"/>
          <w:caps w:val="false"/>
          <w:smallCaps w:val="false"/>
          <w:sz w:val="20"/>
        </w:rPr>
        <w:t xml:space="preserve">HARROW HEALTH, INC.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CONSOLIDATED STATEMENTS OF STOCKHOLDERS’ EQUITY</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For the years ended December 31, 2018 and 2017</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 thousands, except for share data)</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024"/>
        <w:gridCol w:w="60"/>
        <w:gridCol w:w="60"/>
        <w:gridCol w:w="1100"/>
        <w:gridCol w:w="60"/>
        <w:gridCol w:w="60"/>
        <w:gridCol w:w="206"/>
        <w:gridCol w:w="384"/>
        <w:gridCol w:w="60"/>
        <w:gridCol w:w="60"/>
        <w:gridCol w:w="175"/>
        <w:gridCol w:w="850"/>
        <w:gridCol w:w="60"/>
        <w:gridCol w:w="60"/>
        <w:gridCol w:w="200"/>
        <w:gridCol w:w="1080"/>
        <w:gridCol w:w="95"/>
        <w:gridCol w:w="60"/>
        <w:gridCol w:w="198"/>
        <w:gridCol w:w="1076"/>
        <w:gridCol w:w="277"/>
      </w:tblGrid>
      <w:tr>
        <w:trPr/>
        <w:tc>
          <w:tcPr>
            <w:tcW w:w="402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870" w:type="dxa"/>
            <w:gridSpan w:val="6"/>
            <w:tcBorders>
              <w:bottom w:val="single" w:sz="12" w:space="0" w:color="000000"/>
            </w:tcBorders>
            <w:shd w:fill="auto" w:val="clear"/>
            <w:tcMar>
              <w:bottom w:w="28" w:type="dxa"/>
            </w:tcMar>
            <w:vAlign w:val="center"/>
          </w:tcPr>
          <w:p>
            <w:pPr>
              <w:pStyle w:val="TableContents"/>
              <w:spacing w:before="0" w:after="283"/>
              <w:jc w:val="center"/>
              <w:rPr/>
            </w:pPr>
            <w:r>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shd w:fill="auto" w:val="clear"/>
            <w:vAlign w:val="center"/>
          </w:tcPr>
          <w:p>
            <w:pPr>
              <w:pStyle w:val="TableContents"/>
              <w:spacing w:before="0" w:after="283"/>
              <w:jc w:val="center"/>
              <w:rPr/>
            </w:pPr>
            <w:r>
              <w:rPr/>
              <w:t>Additional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gridSpan w:val="2"/>
            <w:tcBorders/>
            <w:shd w:fill="auto" w:val="clear"/>
            <w:vAlign w:val="center"/>
          </w:tcPr>
          <w:p>
            <w:pPr>
              <w:pStyle w:val="TableContents"/>
              <w:spacing w:before="0" w:after="283"/>
              <w:jc w:val="center"/>
              <w:rPr/>
            </w:pPr>
            <w:r>
              <w:rPr/>
              <w:t>Total</w:t>
            </w:r>
          </w:p>
        </w:tc>
        <w:tc>
          <w:tcPr>
            <w:tcW w:w="277" w:type="dxa"/>
            <w:tcBorders/>
            <w:shd w:fill="auto" w:val="clear"/>
            <w:vAlign w:val="center"/>
          </w:tcPr>
          <w:p>
            <w:pPr>
              <w:pStyle w:val="TableContents"/>
              <w:spacing w:before="0" w:after="283"/>
              <w:rPr/>
            </w:pPr>
            <w:r>
              <w:rPr/>
              <w:t> </w:t>
            </w:r>
          </w:p>
        </w:tc>
      </w:tr>
      <w:tr>
        <w:trPr/>
        <w:tc>
          <w:tcPr>
            <w:tcW w:w="402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0" w:type="dxa"/>
            <w:gridSpan w:val="2"/>
            <w:tcBorders/>
            <w:shd w:fill="auto" w:val="clear"/>
            <w:vAlign w:val="center"/>
          </w:tcPr>
          <w:p>
            <w:pPr>
              <w:pStyle w:val="TableContents"/>
              <w:spacing w:before="0" w:after="283"/>
              <w:jc w:val="center"/>
              <w:rPr/>
            </w:pPr>
            <w:r>
              <w:rPr/>
              <w:t>Par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shd w:fill="auto" w:val="clear"/>
            <w:vAlign w:val="center"/>
          </w:tcPr>
          <w:p>
            <w:pPr>
              <w:pStyle w:val="TableContents"/>
              <w:spacing w:before="0" w:after="283"/>
              <w:jc w:val="center"/>
              <w:rPr/>
            </w:pPr>
            <w:r>
              <w:rPr/>
              <w:t>Paid-in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gridSpan w:val="2"/>
            <w:tcBorders/>
            <w:shd w:fill="auto" w:val="clear"/>
            <w:vAlign w:val="center"/>
          </w:tcPr>
          <w:p>
            <w:pPr>
              <w:pStyle w:val="TableContents"/>
              <w:spacing w:before="0" w:after="283"/>
              <w:jc w:val="center"/>
              <w:rPr/>
            </w:pPr>
            <w:r>
              <w:rPr/>
              <w:t>Stockholders’</w:t>
            </w:r>
          </w:p>
        </w:tc>
        <w:tc>
          <w:tcPr>
            <w:tcW w:w="277" w:type="dxa"/>
            <w:tcBorders/>
            <w:shd w:fill="auto" w:val="clear"/>
            <w:vAlign w:val="center"/>
          </w:tcPr>
          <w:p>
            <w:pPr>
              <w:pStyle w:val="TableContents"/>
              <w:spacing w:before="0" w:after="283"/>
              <w:rPr/>
            </w:pPr>
            <w:r>
              <w:rPr/>
              <w:t> </w:t>
            </w:r>
          </w:p>
        </w:tc>
      </w:tr>
      <w:tr>
        <w:trPr/>
        <w:tc>
          <w:tcPr>
            <w:tcW w:w="402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center"/>
          </w:tcPr>
          <w:p>
            <w:pPr>
              <w:pStyle w:val="TableContents"/>
              <w:spacing w:before="0" w:after="283"/>
              <w:jc w:val="center"/>
              <w:rPr/>
            </w:pPr>
            <w:r>
              <w:rPr/>
              <w:t>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center"/>
          </w:tcPr>
          <w:p>
            <w:pPr>
              <w:pStyle w:val="TableContents"/>
              <w:spacing w:before="0" w:after="283"/>
              <w:jc w:val="center"/>
              <w:rPr/>
            </w:pPr>
            <w:r>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gridSpan w:val="2"/>
            <w:tcBorders>
              <w:bottom w:val="single" w:sz="12" w:space="0" w:color="000000"/>
            </w:tcBorders>
            <w:shd w:fill="auto" w:val="clear"/>
            <w:tcMar>
              <w:bottom w:w="28" w:type="dxa"/>
            </w:tcMar>
            <w:vAlign w:val="center"/>
          </w:tcPr>
          <w:p>
            <w:pPr>
              <w:pStyle w:val="TableContents"/>
              <w:spacing w:before="0" w:after="283"/>
              <w:jc w:val="center"/>
              <w:rPr/>
            </w:pPr>
            <w:r>
              <w:rPr/>
              <w:t>Equity</w:t>
            </w:r>
          </w:p>
        </w:tc>
        <w:tc>
          <w:tcPr>
            <w:tcW w:w="277" w:type="dxa"/>
            <w:tcBorders/>
            <w:shd w:fill="auto" w:val="clear"/>
            <w:vAlign w:val="center"/>
          </w:tcPr>
          <w:p>
            <w:pPr>
              <w:pStyle w:val="TableContents"/>
              <w:spacing w:before="0" w:after="283"/>
              <w:rPr/>
            </w:pPr>
            <w:r>
              <w:rPr/>
              <w:t> </w:t>
            </w:r>
          </w:p>
        </w:tc>
      </w:tr>
      <w:tr>
        <w:trPr/>
        <w:tc>
          <w:tcPr>
            <w:tcW w:w="4024" w:type="dxa"/>
            <w:tcBorders/>
            <w:shd w:fill="CCEEFF" w:val="clear"/>
            <w:vAlign w:val="center"/>
          </w:tcPr>
          <w:p>
            <w:pPr>
              <w:pStyle w:val="TableContents"/>
              <w:spacing w:before="0" w:after="283"/>
              <w:rPr/>
            </w:pPr>
            <w:r>
              <w:rPr/>
              <w:t>Balance at January 1, 2017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18,627,915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w:t>
            </w:r>
          </w:p>
        </w:tc>
        <w:tc>
          <w:tcPr>
            <w:tcW w:w="384" w:type="dxa"/>
            <w:tcBorders/>
            <w:shd w:fill="CCEEFF" w:val="clear"/>
            <w:vAlign w:val="center"/>
          </w:tcPr>
          <w:p>
            <w:pPr>
              <w:pStyle w:val="TableContents"/>
              <w:spacing w:before="0" w:after="283"/>
              <w:jc w:val="right"/>
              <w:rPr/>
            </w:pPr>
            <w:r>
              <w:rPr/>
              <w:t>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w:t>
            </w:r>
          </w:p>
        </w:tc>
        <w:tc>
          <w:tcPr>
            <w:tcW w:w="850" w:type="dxa"/>
            <w:tcBorders/>
            <w:shd w:fill="CCEEFF" w:val="clear"/>
            <w:vAlign w:val="center"/>
          </w:tcPr>
          <w:p>
            <w:pPr>
              <w:pStyle w:val="TableContents"/>
              <w:spacing w:before="0" w:after="283"/>
              <w:jc w:val="right"/>
              <w:rPr/>
            </w:pPr>
            <w:r>
              <w:rPr/>
              <w:t>83,264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w:t>
            </w:r>
          </w:p>
        </w:tc>
        <w:tc>
          <w:tcPr>
            <w:tcW w:w="1080" w:type="dxa"/>
            <w:tcBorders/>
            <w:shd w:fill="CCEEFF" w:val="clear"/>
            <w:vAlign w:val="center"/>
          </w:tcPr>
          <w:p>
            <w:pPr>
              <w:pStyle w:val="TableContents"/>
              <w:spacing w:before="0" w:after="283"/>
              <w:jc w:val="right"/>
              <w:rPr/>
            </w:pPr>
            <w:r>
              <w:rPr/>
              <w:t>(76,851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w:t>
            </w:r>
          </w:p>
        </w:tc>
        <w:tc>
          <w:tcPr>
            <w:tcW w:w="1076" w:type="dxa"/>
            <w:tcBorders/>
            <w:shd w:fill="CCEEFF" w:val="clear"/>
            <w:vAlign w:val="center"/>
          </w:tcPr>
          <w:p>
            <w:pPr>
              <w:pStyle w:val="TableContents"/>
              <w:spacing w:before="0" w:after="283"/>
              <w:jc w:val="right"/>
              <w:rPr/>
            </w:pPr>
            <w:r>
              <w:rPr/>
              <w:t>6,432</w:t>
            </w:r>
          </w:p>
        </w:tc>
        <w:tc>
          <w:tcPr>
            <w:tcW w:w="277" w:type="dxa"/>
            <w:tcBorders/>
            <w:shd w:fill="CCEEFF" w:val="clear"/>
            <w:vAlign w:val="center"/>
          </w:tcPr>
          <w:p>
            <w:pPr>
              <w:pStyle w:val="TableContents"/>
              <w:spacing w:before="0" w:after="283"/>
              <w:jc w:val="left"/>
              <w:rPr/>
            </w:pPr>
            <w:r>
              <w:rPr/>
              <w:t> </w:t>
            </w:r>
          </w:p>
        </w:tc>
      </w:tr>
      <w:tr>
        <w:trPr/>
        <w:tc>
          <w:tcPr>
            <w:tcW w:w="40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 </w:t>
            </w:r>
          </w:p>
        </w:tc>
        <w:tc>
          <w:tcPr>
            <w:tcW w:w="277" w:type="dxa"/>
            <w:tcBorders/>
            <w:shd w:fill="FFFFFF" w:val="clear"/>
            <w:vAlign w:val="center"/>
          </w:tcPr>
          <w:p>
            <w:pPr>
              <w:pStyle w:val="TableContents"/>
              <w:spacing w:before="0" w:after="283"/>
              <w:jc w:val="left"/>
              <w:rPr/>
            </w:pPr>
            <w:r>
              <w:rPr/>
              <w:t> </w:t>
            </w:r>
          </w:p>
        </w:tc>
      </w:tr>
      <w:tr>
        <w:trPr/>
        <w:tc>
          <w:tcPr>
            <w:tcW w:w="4024" w:type="dxa"/>
            <w:tcBorders/>
            <w:shd w:fill="CCEEFF" w:val="clear"/>
            <w:vAlign w:val="center"/>
          </w:tcPr>
          <w:p>
            <w:pPr>
              <w:pStyle w:val="TableContents"/>
              <w:spacing w:before="0" w:after="283"/>
              <w:jc w:val="left"/>
              <w:rPr/>
            </w:pPr>
            <w:r>
              <w:rPr/>
              <w:t>Issuance of common stock in connection with: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 </w:t>
            </w:r>
          </w:p>
        </w:tc>
        <w:tc>
          <w:tcPr>
            <w:tcW w:w="3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 </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4024" w:type="dxa"/>
            <w:tcBorders/>
            <w:shd w:fill="FFFFFF" w:val="clear"/>
            <w:vAlign w:val="center"/>
          </w:tcPr>
          <w:p>
            <w:pPr>
              <w:pStyle w:val="TableContents"/>
              <w:spacing w:before="0" w:after="283"/>
              <w:rPr/>
            </w:pPr>
            <w:r>
              <w:rPr/>
              <w:t>Exercise of warrants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100,000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179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179</w:t>
            </w:r>
          </w:p>
        </w:tc>
        <w:tc>
          <w:tcPr>
            <w:tcW w:w="277" w:type="dxa"/>
            <w:tcBorders/>
            <w:shd w:fill="FFFFFF" w:val="clear"/>
            <w:vAlign w:val="center"/>
          </w:tcPr>
          <w:p>
            <w:pPr>
              <w:pStyle w:val="TableContents"/>
              <w:spacing w:before="0" w:after="283"/>
              <w:ind w:left="0" w:right="0" w:firstLine="200"/>
              <w:jc w:val="left"/>
              <w:rPr/>
            </w:pPr>
            <w:r>
              <w:rPr/>
              <w:t> </w:t>
            </w:r>
          </w:p>
        </w:tc>
      </w:tr>
      <w:tr>
        <w:trPr/>
        <w:tc>
          <w:tcPr>
            <w:tcW w:w="4024" w:type="dxa"/>
            <w:tcBorders/>
            <w:shd w:fill="CCEEFF" w:val="clear"/>
            <w:vAlign w:val="center"/>
          </w:tcPr>
          <w:p>
            <w:pPr>
              <w:pStyle w:val="TableContents"/>
              <w:spacing w:before="0" w:after="283"/>
              <w:jc w:val="left"/>
              <w:rPr/>
            </w:pPr>
            <w:r>
              <w:rPr/>
              <w:t>Registered direct offering sale of stock, net of offering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1,312,500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 </w:t>
            </w:r>
          </w:p>
        </w:tc>
        <w:tc>
          <w:tcPr>
            <w:tcW w:w="384"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2,939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2,940</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4024" w:type="dxa"/>
            <w:tcBorders/>
            <w:shd w:fill="FFFFFF" w:val="clear"/>
            <w:vAlign w:val="center"/>
          </w:tcPr>
          <w:p>
            <w:pPr>
              <w:pStyle w:val="TableContents"/>
              <w:spacing w:before="0" w:after="283"/>
              <w:jc w:val="left"/>
              <w:rPr/>
            </w:pPr>
            <w:r>
              <w:rPr/>
              <w:t>Sale of stock, net of costs (ATM)</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557,714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1,123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1,124</w:t>
            </w:r>
          </w:p>
        </w:tc>
        <w:tc>
          <w:tcPr>
            <w:tcW w:w="277" w:type="dxa"/>
            <w:tcBorders/>
            <w:shd w:fill="FFFFFF" w:val="clear"/>
            <w:vAlign w:val="center"/>
          </w:tcPr>
          <w:p>
            <w:pPr>
              <w:pStyle w:val="TableContents"/>
              <w:spacing w:before="0" w:after="283"/>
              <w:ind w:left="0" w:right="0" w:firstLine="200"/>
              <w:jc w:val="left"/>
              <w:rPr/>
            </w:pPr>
            <w:r>
              <w:rPr/>
              <w:t> </w:t>
            </w:r>
          </w:p>
        </w:tc>
      </w:tr>
      <w:tr>
        <w:trPr/>
        <w:tc>
          <w:tcPr>
            <w:tcW w:w="4024" w:type="dxa"/>
            <w:tcBorders/>
            <w:shd w:fill="CCEEFF" w:val="clear"/>
            <w:vAlign w:val="center"/>
          </w:tcPr>
          <w:p>
            <w:pPr>
              <w:pStyle w:val="TableContents"/>
              <w:spacing w:before="0" w:after="283"/>
              <w:jc w:val="left"/>
              <w:rPr/>
            </w:pPr>
            <w:r>
              <w:rPr/>
              <w:t>Stock-based payment for services provided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 </w:t>
            </w:r>
          </w:p>
        </w:tc>
        <w:tc>
          <w:tcPr>
            <w:tcW w:w="38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60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60</w:t>
            </w:r>
          </w:p>
        </w:tc>
        <w:tc>
          <w:tcPr>
            <w:tcW w:w="277" w:type="dxa"/>
            <w:tcBorders/>
            <w:shd w:fill="CCEEFF" w:val="clear"/>
            <w:vAlign w:val="center"/>
          </w:tcPr>
          <w:p>
            <w:pPr>
              <w:pStyle w:val="TableContents"/>
              <w:spacing w:before="0" w:after="283"/>
              <w:ind w:left="0" w:right="0" w:hanging="0"/>
              <w:jc w:val="left"/>
              <w:rPr/>
            </w:pPr>
            <w:r>
              <w:rPr/>
              <w:t> </w:t>
            </w:r>
          </w:p>
        </w:tc>
      </w:tr>
      <w:tr>
        <w:trPr/>
        <w:tc>
          <w:tcPr>
            <w:tcW w:w="4024" w:type="dxa"/>
            <w:tcBorders/>
            <w:shd w:fill="FFFFFF" w:val="clear"/>
            <w:vAlign w:val="center"/>
          </w:tcPr>
          <w:p>
            <w:pPr>
              <w:pStyle w:val="TableContents"/>
              <w:spacing w:before="0" w:after="283"/>
              <w:jc w:val="left"/>
              <w:rPr/>
            </w:pPr>
            <w:r>
              <w:rPr/>
              <w:t>Relative fair value of warrants to purchase common stock issued in connection with note payable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982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982</w:t>
            </w:r>
          </w:p>
        </w:tc>
        <w:tc>
          <w:tcPr>
            <w:tcW w:w="277" w:type="dxa"/>
            <w:tcBorders/>
            <w:shd w:fill="FFFFFF" w:val="clear"/>
            <w:vAlign w:val="center"/>
          </w:tcPr>
          <w:p>
            <w:pPr>
              <w:pStyle w:val="TableContents"/>
              <w:spacing w:before="0" w:after="283"/>
              <w:jc w:val="left"/>
              <w:rPr/>
            </w:pPr>
            <w:r>
              <w:rPr/>
              <w:t> </w:t>
            </w:r>
          </w:p>
        </w:tc>
      </w:tr>
      <w:tr>
        <w:trPr/>
        <w:tc>
          <w:tcPr>
            <w:tcW w:w="4024" w:type="dxa"/>
            <w:tcBorders/>
            <w:shd w:fill="CCEEFF" w:val="clear"/>
            <w:vAlign w:val="center"/>
          </w:tcPr>
          <w:p>
            <w:pPr>
              <w:pStyle w:val="TableContents"/>
              <w:spacing w:before="0" w:after="283"/>
              <w:jc w:val="left"/>
              <w:rPr/>
            </w:pPr>
            <w:r>
              <w:rPr/>
              <w:t>Stock-based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 </w:t>
            </w:r>
          </w:p>
        </w:tc>
        <w:tc>
          <w:tcPr>
            <w:tcW w:w="38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2,883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2,883</w:t>
            </w:r>
          </w:p>
        </w:tc>
        <w:tc>
          <w:tcPr>
            <w:tcW w:w="277" w:type="dxa"/>
            <w:tcBorders/>
            <w:shd w:fill="CCEEFF" w:val="clear"/>
            <w:vAlign w:val="center"/>
          </w:tcPr>
          <w:p>
            <w:pPr>
              <w:pStyle w:val="TableContents"/>
              <w:spacing w:before="0" w:after="283"/>
              <w:jc w:val="left"/>
              <w:rPr/>
            </w:pPr>
            <w:r>
              <w:rPr/>
              <w:t> </w:t>
            </w:r>
          </w:p>
        </w:tc>
      </w:tr>
      <w:tr>
        <w:trPr/>
        <w:tc>
          <w:tcPr>
            <w:tcW w:w="4024"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384"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spacing w:before="0" w:after="283"/>
              <w:jc w:val="right"/>
              <w:rPr/>
            </w:pPr>
            <w:r>
              <w:rPr/>
              <w:t>(11,985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9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FFFFFF" w:val="clear"/>
            <w:tcMar>
              <w:bottom w:w="28" w:type="dxa"/>
            </w:tcMar>
            <w:vAlign w:val="center"/>
          </w:tcPr>
          <w:p>
            <w:pPr>
              <w:pStyle w:val="TableContents"/>
              <w:spacing w:before="0" w:after="283"/>
              <w:jc w:val="right"/>
              <w:rPr/>
            </w:pPr>
            <w:r>
              <w:rPr/>
              <w:t>(11,985</w:t>
            </w:r>
          </w:p>
        </w:tc>
        <w:tc>
          <w:tcPr>
            <w:tcW w:w="277" w:type="dxa"/>
            <w:tcBorders/>
            <w:shd w:fill="FFFFFF" w:val="clear"/>
            <w:vAlign w:val="center"/>
          </w:tcPr>
          <w:p>
            <w:pPr>
              <w:pStyle w:val="TableContents"/>
              <w:spacing w:before="0" w:after="283"/>
              <w:jc w:val="left"/>
              <w:rPr/>
            </w:pPr>
            <w:r>
              <w:rPr/>
              <w:t>)</w:t>
            </w:r>
          </w:p>
        </w:tc>
      </w:tr>
      <w:tr>
        <w:trPr/>
        <w:tc>
          <w:tcPr>
            <w:tcW w:w="4024" w:type="dxa"/>
            <w:tcBorders/>
            <w:shd w:fill="CCEEFF" w:val="clear"/>
            <w:vAlign w:val="center"/>
          </w:tcPr>
          <w:p>
            <w:pPr>
              <w:pStyle w:val="TableContents"/>
              <w:spacing w:before="0" w:after="283"/>
              <w:rPr/>
            </w:pPr>
            <w:r>
              <w:rPr/>
              <w:t>Balance at December 31, 2017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20,623,129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 </w:t>
            </w:r>
          </w:p>
        </w:tc>
        <w:tc>
          <w:tcPr>
            <w:tcW w:w="384" w:type="dxa"/>
            <w:tcBorders/>
            <w:shd w:fill="CCEEFF" w:val="clear"/>
            <w:vAlign w:val="center"/>
          </w:tcPr>
          <w:p>
            <w:pPr>
              <w:pStyle w:val="TableContents"/>
              <w:spacing w:before="0" w:after="283"/>
              <w:jc w:val="right"/>
              <w:rPr/>
            </w:pPr>
            <w:r>
              <w:rPr/>
              <w:t>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91,430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(88,836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2,615</w:t>
            </w:r>
          </w:p>
        </w:tc>
        <w:tc>
          <w:tcPr>
            <w:tcW w:w="277" w:type="dxa"/>
            <w:tcBorders/>
            <w:shd w:fill="CCEEFF" w:val="clear"/>
            <w:vAlign w:val="center"/>
          </w:tcPr>
          <w:p>
            <w:pPr>
              <w:pStyle w:val="TableContents"/>
              <w:spacing w:before="0" w:after="283"/>
              <w:jc w:val="left"/>
              <w:rPr/>
            </w:pPr>
            <w:r>
              <w:rPr/>
              <w:t> </w:t>
            </w:r>
          </w:p>
        </w:tc>
      </w:tr>
      <w:tr>
        <w:trPr/>
        <w:tc>
          <w:tcPr>
            <w:tcW w:w="40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 </w:t>
            </w:r>
          </w:p>
        </w:tc>
        <w:tc>
          <w:tcPr>
            <w:tcW w:w="277" w:type="dxa"/>
            <w:tcBorders/>
            <w:shd w:fill="FFFFFF" w:val="clear"/>
            <w:vAlign w:val="center"/>
          </w:tcPr>
          <w:p>
            <w:pPr>
              <w:pStyle w:val="TableContents"/>
              <w:spacing w:before="0" w:after="283"/>
              <w:jc w:val="left"/>
              <w:rPr/>
            </w:pPr>
            <w:r>
              <w:rPr/>
              <w:t> </w:t>
            </w:r>
          </w:p>
        </w:tc>
      </w:tr>
      <w:tr>
        <w:trPr/>
        <w:tc>
          <w:tcPr>
            <w:tcW w:w="4024" w:type="dxa"/>
            <w:tcBorders/>
            <w:shd w:fill="CCEEFF" w:val="clear"/>
            <w:vAlign w:val="center"/>
          </w:tcPr>
          <w:p>
            <w:pPr>
              <w:pStyle w:val="TableContents"/>
              <w:spacing w:before="0" w:after="283"/>
              <w:jc w:val="left"/>
              <w:rPr/>
            </w:pPr>
            <w:r>
              <w:rPr/>
              <w:t>Issuance of common stock in connection with: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 </w:t>
            </w:r>
          </w:p>
        </w:tc>
        <w:tc>
          <w:tcPr>
            <w:tcW w:w="3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 </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4024" w:type="dxa"/>
            <w:tcBorders/>
            <w:shd w:fill="FFFFFF" w:val="clear"/>
            <w:vAlign w:val="center"/>
          </w:tcPr>
          <w:p>
            <w:pPr>
              <w:pStyle w:val="TableContents"/>
              <w:spacing w:before="0" w:after="283"/>
              <w:rPr/>
            </w:pPr>
            <w:r>
              <w:rPr/>
              <w:t>Exercise of warrants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3,275,162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4,230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4,233</w:t>
            </w:r>
          </w:p>
        </w:tc>
        <w:tc>
          <w:tcPr>
            <w:tcW w:w="277" w:type="dxa"/>
            <w:tcBorders/>
            <w:shd w:fill="FFFFFF" w:val="clear"/>
            <w:vAlign w:val="center"/>
          </w:tcPr>
          <w:p>
            <w:pPr>
              <w:pStyle w:val="TableContents"/>
              <w:spacing w:before="0" w:after="283"/>
              <w:ind w:left="0" w:right="0" w:firstLine="200"/>
              <w:jc w:val="left"/>
              <w:rPr/>
            </w:pPr>
            <w:r>
              <w:rPr/>
              <w:t> </w:t>
            </w:r>
          </w:p>
        </w:tc>
      </w:tr>
      <w:tr>
        <w:trPr/>
        <w:tc>
          <w:tcPr>
            <w:tcW w:w="4024" w:type="dxa"/>
            <w:tcBorders/>
            <w:shd w:fill="CCEEFF" w:val="clear"/>
            <w:vAlign w:val="center"/>
          </w:tcPr>
          <w:p>
            <w:pPr>
              <w:pStyle w:val="TableContents"/>
              <w:spacing w:before="0" w:after="283"/>
              <w:jc w:val="left"/>
              <w:rPr/>
            </w:pPr>
            <w:r>
              <w:rPr/>
              <w:t>Vesting of RSUs, net of tax withholding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60,000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 </w:t>
            </w:r>
          </w:p>
        </w:tc>
        <w:tc>
          <w:tcPr>
            <w:tcW w:w="38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4024" w:type="dxa"/>
            <w:tcBorders/>
            <w:shd w:fill="FFFFFF" w:val="clear"/>
            <w:vAlign w:val="center"/>
          </w:tcPr>
          <w:p>
            <w:pPr>
              <w:pStyle w:val="TableContents"/>
              <w:spacing w:before="0" w:after="283"/>
              <w:jc w:val="left"/>
              <w:rPr/>
            </w:pPr>
            <w:r>
              <w:rPr/>
              <w:t>Sale of stock, net of costs (ATM)</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305,619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642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642</w:t>
            </w:r>
          </w:p>
        </w:tc>
        <w:tc>
          <w:tcPr>
            <w:tcW w:w="277" w:type="dxa"/>
            <w:tcBorders/>
            <w:shd w:fill="FFFFFF" w:val="clear"/>
            <w:vAlign w:val="center"/>
          </w:tcPr>
          <w:p>
            <w:pPr>
              <w:pStyle w:val="TableContents"/>
              <w:spacing w:before="0" w:after="283"/>
              <w:ind w:left="0" w:right="0" w:firstLine="200"/>
              <w:jc w:val="left"/>
              <w:rPr/>
            </w:pPr>
            <w:r>
              <w:rPr/>
              <w:t> </w:t>
            </w:r>
          </w:p>
        </w:tc>
      </w:tr>
      <w:tr>
        <w:trPr/>
        <w:tc>
          <w:tcPr>
            <w:tcW w:w="402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Stock-based payment for services provided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75,700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150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150</w:t>
            </w:r>
          </w:p>
        </w:tc>
        <w:tc>
          <w:tcPr>
            <w:tcW w:w="277" w:type="dxa"/>
            <w:tcBorders/>
            <w:shd w:fill="CCEEFF" w:val="cle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4024" w:type="dxa"/>
            <w:tcBorders/>
            <w:shd w:fill="FFFFFF" w:val="clear"/>
            <w:vAlign w:val="center"/>
          </w:tcPr>
          <w:p>
            <w:pPr>
              <w:pStyle w:val="TableContents"/>
              <w:spacing w:before="0" w:after="283"/>
              <w:jc w:val="left"/>
              <w:rPr/>
            </w:pPr>
            <w:r>
              <w:rPr/>
              <w:t>Stock-based compensation expense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 </w:t>
            </w:r>
          </w:p>
        </w:tc>
        <w:tc>
          <w:tcPr>
            <w:tcW w:w="384"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2,486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2,486</w:t>
            </w:r>
          </w:p>
        </w:tc>
        <w:tc>
          <w:tcPr>
            <w:tcW w:w="277" w:type="dxa"/>
            <w:tcBorders/>
            <w:shd w:fill="FFFFFF" w:val="clear"/>
            <w:vAlign w:val="center"/>
          </w:tcPr>
          <w:p>
            <w:pPr>
              <w:pStyle w:val="TableContents"/>
              <w:spacing w:before="0" w:after="283"/>
              <w:jc w:val="left"/>
              <w:rPr/>
            </w:pPr>
            <w:r>
              <w:rPr/>
              <w:t> </w:t>
            </w:r>
          </w:p>
        </w:tc>
      </w:tr>
      <w:tr>
        <w:trPr/>
        <w:tc>
          <w:tcPr>
            <w:tcW w:w="4024"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384"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spacing w:before="0" w:after="283"/>
              <w:jc w:val="right"/>
              <w:rPr/>
            </w:pPr>
            <w:r>
              <w:rPr/>
              <w:t>14,625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spacing w:before="0" w:after="283"/>
              <w:jc w:val="right"/>
              <w:rPr/>
            </w:pPr>
            <w:r>
              <w:rPr/>
              <w:t>14,625</w:t>
            </w:r>
          </w:p>
        </w:tc>
        <w:tc>
          <w:tcPr>
            <w:tcW w:w="277" w:type="dxa"/>
            <w:tcBorders/>
            <w:shd w:fill="CCEEFF" w:val="clear"/>
            <w:vAlign w:val="center"/>
          </w:tcPr>
          <w:p>
            <w:pPr>
              <w:pStyle w:val="TableContents"/>
              <w:spacing w:before="0" w:after="283"/>
              <w:jc w:val="left"/>
              <w:rPr/>
            </w:pPr>
            <w:r>
              <w:rPr/>
              <w:t> </w:t>
            </w:r>
          </w:p>
        </w:tc>
      </w:tr>
      <w:tr>
        <w:trPr/>
        <w:tc>
          <w:tcPr>
            <w:tcW w:w="4024" w:type="dxa"/>
            <w:tcBorders/>
            <w:shd w:fill="FFFFFF" w:val="clear"/>
            <w:vAlign w:val="center"/>
          </w:tcPr>
          <w:p>
            <w:pPr>
              <w:pStyle w:val="TableContents"/>
              <w:spacing w:before="0" w:after="283"/>
              <w:rPr/>
            </w:pPr>
            <w:r>
              <w:rPr/>
              <w:t>Balance at December 31, 2018</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24,339,610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6"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384" w:type="dxa"/>
            <w:tcBorders>
              <w:bottom w:val="double" w:sz="6" w:space="0" w:color="000000"/>
            </w:tcBorders>
            <w:shd w:fill="FFFFFF" w:val="clear"/>
            <w:tcMar>
              <w:bottom w:w="28" w:type="dxa"/>
            </w:tcMar>
            <w:vAlign w:val="center"/>
          </w:tcPr>
          <w:p>
            <w:pPr>
              <w:pStyle w:val="TableContents"/>
              <w:spacing w:before="0" w:after="283"/>
              <w:jc w:val="right"/>
              <w:rPr/>
            </w:pPr>
            <w:r>
              <w:rPr/>
              <w:t>24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spacing w:before="0" w:after="283"/>
              <w:jc w:val="right"/>
              <w:rPr/>
            </w:pPr>
            <w:r>
              <w:rPr/>
              <w:t>98,938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spacing w:before="0" w:after="283"/>
              <w:jc w:val="right"/>
              <w:rPr/>
            </w:pPr>
            <w:r>
              <w:rPr/>
              <w:t>(74,211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98"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76" w:type="dxa"/>
            <w:tcBorders>
              <w:bottom w:val="double" w:sz="6" w:space="0" w:color="000000"/>
            </w:tcBorders>
            <w:shd w:fill="FFFFFF" w:val="clear"/>
            <w:tcMar>
              <w:bottom w:w="28" w:type="dxa"/>
            </w:tcMar>
            <w:vAlign w:val="center"/>
          </w:tcPr>
          <w:p>
            <w:pPr>
              <w:pStyle w:val="TableContents"/>
              <w:spacing w:before="0" w:after="283"/>
              <w:jc w:val="right"/>
              <w:rPr/>
            </w:pPr>
            <w:r>
              <w:rPr/>
              <w:t>24,751</w:t>
            </w:r>
          </w:p>
        </w:tc>
        <w:tc>
          <w:tcPr>
            <w:tcW w:w="277"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accompanying notes are an integral part of these consolidated financial statements</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bookmarkStart w:id="32" w:name="a_028"/>
      <w:bookmarkEnd w:id="32"/>
      <w:r>
        <w:rPr>
          <w:rFonts w:ascii="Times New Roman;Times;Serif" w:hAnsi="Times New Roman;Times;Serif"/>
          <w:b/>
          <w:i w:val="false"/>
          <w:caps w:val="false"/>
          <w:smallCaps w:val="false"/>
          <w:sz w:val="17"/>
        </w:rPr>
        <w:t>HARROW HEALTH, INC.</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CONSOLIDATED STATEMENTS OF CASH FLOWS</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 thousands)</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510"/>
        <w:gridCol w:w="60"/>
        <w:gridCol w:w="243"/>
        <w:gridCol w:w="1241"/>
        <w:gridCol w:w="95"/>
        <w:gridCol w:w="60"/>
        <w:gridCol w:w="243"/>
        <w:gridCol w:w="1241"/>
        <w:gridCol w:w="512"/>
      </w:tblGrid>
      <w:tr>
        <w:trPr/>
        <w:tc>
          <w:tcPr>
            <w:tcW w:w="6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shd w:fill="auto" w:val="clear"/>
            <w:vAlign w:val="center"/>
          </w:tcPr>
          <w:p>
            <w:pPr>
              <w:pStyle w:val="TableContents"/>
              <w:spacing w:before="0" w:after="283"/>
              <w:jc w:val="center"/>
              <w:rPr/>
            </w:pPr>
            <w:r>
              <w:rPr/>
              <w:t>For the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shd w:fill="auto" w:val="clear"/>
            <w:vAlign w:val="center"/>
          </w:tcPr>
          <w:p>
            <w:pPr>
              <w:pStyle w:val="TableContents"/>
              <w:spacing w:before="0" w:after="283"/>
              <w:jc w:val="center"/>
              <w:rPr/>
            </w:pPr>
            <w:r>
              <w:rPr/>
              <w:t>For the</w:t>
            </w:r>
          </w:p>
        </w:tc>
        <w:tc>
          <w:tcPr>
            <w:tcW w:w="512" w:type="dxa"/>
            <w:tcBorders/>
            <w:shd w:fill="auto" w:val="clear"/>
            <w:vAlign w:val="center"/>
          </w:tcPr>
          <w:p>
            <w:pPr>
              <w:pStyle w:val="TableContents"/>
              <w:spacing w:before="0" w:after="283"/>
              <w:rPr/>
            </w:pPr>
            <w:r>
              <w:rPr/>
              <w:t> </w:t>
            </w:r>
          </w:p>
        </w:tc>
      </w:tr>
      <w:tr>
        <w:trPr/>
        <w:tc>
          <w:tcPr>
            <w:tcW w:w="6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shd w:fill="auto" w:val="clear"/>
            <w:vAlign w:val="center"/>
          </w:tcPr>
          <w:p>
            <w:pPr>
              <w:pStyle w:val="TableContents"/>
              <w:spacing w:before="0" w:after="283"/>
              <w:jc w:val="center"/>
              <w:rPr/>
            </w:pPr>
            <w:r>
              <w:rPr/>
              <w:t>Year Ended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shd w:fill="auto" w:val="clear"/>
            <w:vAlign w:val="center"/>
          </w:tcPr>
          <w:p>
            <w:pPr>
              <w:pStyle w:val="TableContents"/>
              <w:spacing w:before="0" w:after="283"/>
              <w:jc w:val="center"/>
              <w:rPr/>
            </w:pPr>
            <w:r>
              <w:rPr/>
              <w:t>Year Ended</w:t>
            </w:r>
          </w:p>
        </w:tc>
        <w:tc>
          <w:tcPr>
            <w:tcW w:w="512" w:type="dxa"/>
            <w:tcBorders/>
            <w:shd w:fill="auto" w:val="clear"/>
            <w:vAlign w:val="center"/>
          </w:tcPr>
          <w:p>
            <w:pPr>
              <w:pStyle w:val="TableContents"/>
              <w:spacing w:before="0" w:after="283"/>
              <w:rPr/>
            </w:pPr>
            <w:r>
              <w:rPr/>
              <w:t> </w:t>
            </w:r>
          </w:p>
        </w:tc>
      </w:tr>
      <w:tr>
        <w:trPr/>
        <w:tc>
          <w:tcPr>
            <w:tcW w:w="6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512" w:type="dxa"/>
            <w:tcBorders/>
            <w:shd w:fill="auto" w:val="clear"/>
            <w:vAlign w:val="center"/>
          </w:tcPr>
          <w:p>
            <w:pPr>
              <w:pStyle w:val="TableContents"/>
              <w:spacing w:before="0" w:after="283"/>
              <w:rPr/>
            </w:pPr>
            <w:r>
              <w:rPr/>
              <w:t> </w:t>
            </w:r>
          </w:p>
        </w:tc>
      </w:tr>
      <w:tr>
        <w:trPr/>
        <w:tc>
          <w:tcPr>
            <w:tcW w:w="6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4" w:type="dxa"/>
            <w:gridSpan w:val="2"/>
            <w:tcBorders/>
            <w:shd w:fill="auto" w:val="clear"/>
            <w:vAlign w:val="center"/>
          </w:tcPr>
          <w:p>
            <w:pPr>
              <w:pStyle w:val="TableContents"/>
              <w:spacing w:before="0" w:after="283"/>
              <w:rPr/>
            </w:pPr>
            <w:r>
              <w:rPr/>
              <w:t> </w:t>
            </w:r>
          </w:p>
        </w:tc>
        <w:tc>
          <w:tcPr>
            <w:tcW w:w="512" w:type="dxa"/>
            <w:tcBorders/>
            <w:shd w:fill="auto" w:val="clear"/>
            <w:vAlign w:val="center"/>
          </w:tcPr>
          <w:p>
            <w:pPr>
              <w:pStyle w:val="TableContents"/>
              <w:spacing w:before="0" w:after="283"/>
              <w:rPr/>
            </w:pPr>
            <w:r>
              <w:rPr/>
              <w:t> </w:t>
            </w:r>
          </w:p>
        </w:tc>
      </w:tr>
      <w:tr>
        <w:trPr/>
        <w:tc>
          <w:tcPr>
            <w:tcW w:w="6510" w:type="dxa"/>
            <w:tcBorders/>
            <w:shd w:fill="CCEEFF" w:val="clear"/>
            <w:vAlign w:val="center"/>
          </w:tcPr>
          <w:p>
            <w:pPr>
              <w:pStyle w:val="TableContents"/>
              <w:spacing w:before="0" w:after="283"/>
              <w:jc w:val="left"/>
              <w:rPr/>
            </w:pPr>
            <w:r>
              <w:rPr/>
              <w:t>CASH FLOWS FROM OPERATING ACTIVITIES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510" w:type="dxa"/>
            <w:tcBorders/>
            <w:shd w:fill="FFFFFF" w:val="clear"/>
            <w:vAlign w:val="center"/>
          </w:tcPr>
          <w:p>
            <w:pPr>
              <w:pStyle w:val="TableContents"/>
              <w:spacing w:before="0" w:after="283"/>
              <w:jc w:val="left"/>
              <w:rPr/>
            </w:pPr>
            <w:r>
              <w:rPr/>
              <w:t>Net income (loss)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w:t>
            </w:r>
          </w:p>
        </w:tc>
        <w:tc>
          <w:tcPr>
            <w:tcW w:w="1241" w:type="dxa"/>
            <w:tcBorders/>
            <w:shd w:fill="FFFFFF" w:val="clear"/>
            <w:vAlign w:val="center"/>
          </w:tcPr>
          <w:p>
            <w:pPr>
              <w:pStyle w:val="TableContents"/>
              <w:spacing w:before="0" w:after="283"/>
              <w:jc w:val="right"/>
              <w:rPr/>
            </w:pPr>
            <w:r>
              <w:rPr/>
              <w:t>14,625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w:t>
            </w:r>
          </w:p>
        </w:tc>
        <w:tc>
          <w:tcPr>
            <w:tcW w:w="1241" w:type="dxa"/>
            <w:tcBorders/>
            <w:shd w:fill="FFFFFF" w:val="clear"/>
            <w:vAlign w:val="center"/>
          </w:tcPr>
          <w:p>
            <w:pPr>
              <w:pStyle w:val="TableContents"/>
              <w:spacing w:before="0" w:after="283"/>
              <w:jc w:val="right"/>
              <w:rPr/>
            </w:pPr>
            <w:r>
              <w:rPr/>
              <w:t>(11,985</w:t>
            </w:r>
          </w:p>
        </w:tc>
        <w:tc>
          <w:tcPr>
            <w:tcW w:w="512" w:type="dxa"/>
            <w:tcBorders/>
            <w:shd w:fill="FFFFFF" w:val="clear"/>
            <w:vAlign w:val="center"/>
          </w:tcPr>
          <w:p>
            <w:pPr>
              <w:pStyle w:val="TableContents"/>
              <w:spacing w:before="0" w:after="283"/>
              <w:ind w:left="0" w:right="0" w:firstLine="200"/>
              <w:jc w:val="left"/>
              <w:rPr/>
            </w:pPr>
            <w:r>
              <w:rPr/>
              <w:t>)</w:t>
            </w:r>
          </w:p>
        </w:tc>
      </w:tr>
      <w:tr>
        <w:trPr/>
        <w:tc>
          <w:tcPr>
            <w:tcW w:w="6510" w:type="dxa"/>
            <w:tcBorders/>
            <w:shd w:fill="CCEEFF" w:val="clear"/>
            <w:vAlign w:val="center"/>
          </w:tcPr>
          <w:p>
            <w:pPr>
              <w:pStyle w:val="TableContents"/>
              <w:spacing w:before="0" w:after="283"/>
              <w:jc w:val="left"/>
              <w:rPr/>
            </w:pPr>
            <w:r>
              <w:rPr/>
              <w:t>Adjustments to reconcile net income (loss) to net cash provided by (used in) operating activities: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Depreciation and amortization of property, plant and equipment</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1,608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1,401</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Amortization of intangible assets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235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364</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Deferred income taxes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(935</w:t>
            </w:r>
          </w:p>
        </w:tc>
        <w:tc>
          <w:tcPr>
            <w:tcW w:w="512" w:type="dxa"/>
            <w:tcBorders/>
            <w:shd w:fill="FFFFFF" w:val="clear"/>
            <w:vAlign w:val="center"/>
          </w:tcPr>
          <w:p>
            <w:pPr>
              <w:pStyle w:val="TableContents"/>
              <w:spacing w:before="0" w:after="283"/>
              <w:ind w:left="0" w:right="0" w:firstLine="400"/>
              <w:jc w:val="left"/>
              <w:rPr/>
            </w:pPr>
            <w:r>
              <w:rPr/>
              <w:t>)</w:t>
            </w:r>
          </w:p>
        </w:tc>
      </w:tr>
      <w:tr>
        <w:trPr/>
        <w:tc>
          <w:tcPr>
            <w:tcW w:w="6510" w:type="dxa"/>
            <w:tcBorders/>
            <w:shd w:fill="CCEEFF" w:val="clear"/>
            <w:vAlign w:val="center"/>
          </w:tcPr>
          <w:p>
            <w:pPr>
              <w:pStyle w:val="TableContents"/>
              <w:spacing w:before="0" w:after="283"/>
              <w:jc w:val="left"/>
              <w:rPr/>
            </w:pPr>
            <w:r>
              <w:rPr/>
              <w:t>Amortization of debt issuance costs and discount</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613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978</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Debt extinguishment</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884</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Investment gain from Eton, net</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(17,913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(3,507</w:t>
            </w:r>
          </w:p>
        </w:tc>
        <w:tc>
          <w:tcPr>
            <w:tcW w:w="512" w:type="dxa"/>
            <w:tcBorders/>
            <w:shd w:fill="CCEEFF" w:val="clear"/>
            <w:vAlign w:val="center"/>
          </w:tcPr>
          <w:p>
            <w:pPr>
              <w:pStyle w:val="TableContents"/>
              <w:spacing w:before="0" w:after="283"/>
              <w:ind w:left="0" w:right="0" w:firstLine="400"/>
              <w:jc w:val="left"/>
              <w:rPr/>
            </w:pPr>
            <w:r>
              <w:rPr/>
              <w:t>)</w:t>
            </w:r>
          </w:p>
        </w:tc>
      </w:tr>
      <w:tr>
        <w:trPr/>
        <w:tc>
          <w:tcPr>
            <w:tcW w:w="6510" w:type="dxa"/>
            <w:tcBorders/>
            <w:shd w:fill="FFFFFF" w:val="clear"/>
            <w:vAlign w:val="center"/>
          </w:tcPr>
          <w:p>
            <w:pPr>
              <w:pStyle w:val="TableContents"/>
              <w:spacing w:before="0" w:after="283"/>
              <w:jc w:val="left"/>
              <w:rPr/>
            </w:pPr>
            <w:r>
              <w:rPr/>
              <w:t>Investment gain from Surface, net</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(4,947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Loss on sale and disposal of assets and write down of assets and note receivable</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393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354</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Stock-based payment for services provided</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150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Stock-based compensation</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2,486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2,943</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510" w:type="dxa"/>
            <w:tcBorders/>
            <w:shd w:fill="FFFFFF" w:val="clear"/>
            <w:vAlign w:val="center"/>
          </w:tcPr>
          <w:p>
            <w:pPr>
              <w:pStyle w:val="TableContents"/>
              <w:spacing w:before="0" w:after="283"/>
              <w:jc w:val="left"/>
              <w:rPr/>
            </w:pPr>
            <w:r>
              <w:rPr/>
              <w:t>Changes in assets and liabilities: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 </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Accounts receivable</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(384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1,392</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rPr/>
            </w:pPr>
            <w:r>
              <w:rPr/>
              <w:t>Inventories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415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(821</w:t>
            </w:r>
          </w:p>
        </w:tc>
        <w:tc>
          <w:tcPr>
            <w:tcW w:w="512" w:type="dxa"/>
            <w:tcBorders/>
            <w:shd w:fill="FFFFFF" w:val="clear"/>
            <w:vAlign w:val="center"/>
          </w:tcPr>
          <w:p>
            <w:pPr>
              <w:pStyle w:val="TableContents"/>
              <w:spacing w:before="0" w:after="283"/>
              <w:ind w:left="0" w:right="0" w:firstLine="400"/>
              <w:jc w:val="left"/>
              <w:rPr/>
            </w:pPr>
            <w:r>
              <w:rPr/>
              <w:t>)</w:t>
            </w:r>
          </w:p>
        </w:tc>
      </w:tr>
      <w:tr>
        <w:trPr/>
        <w:tc>
          <w:tcPr>
            <w:tcW w:w="6510" w:type="dxa"/>
            <w:tcBorders/>
            <w:shd w:fill="CCEEFF" w:val="clear"/>
            <w:vAlign w:val="center"/>
          </w:tcPr>
          <w:p>
            <w:pPr>
              <w:pStyle w:val="TableContents"/>
              <w:spacing w:before="0" w:after="283"/>
              <w:jc w:val="left"/>
              <w:rPr/>
            </w:pPr>
            <w:r>
              <w:rPr/>
              <w:t>Prepaid expenses and other current assets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(123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274</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Accounts payable and accrued expenses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2,365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346</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Accrued payroll and related liabilities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1,074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(429</w:t>
            </w:r>
          </w:p>
        </w:tc>
        <w:tc>
          <w:tcPr>
            <w:tcW w:w="512" w:type="dxa"/>
            <w:tcBorders/>
            <w:shd w:fill="CCEEFF" w:val="clear"/>
            <w:vAlign w:val="center"/>
          </w:tcPr>
          <w:p>
            <w:pPr>
              <w:pStyle w:val="TableContents"/>
              <w:spacing w:before="0" w:after="283"/>
              <w:ind w:left="0" w:right="0" w:firstLine="400"/>
              <w:jc w:val="left"/>
              <w:rPr/>
            </w:pPr>
            <w:r>
              <w:rPr/>
              <w:t>)</w:t>
            </w:r>
          </w:p>
        </w:tc>
      </w:tr>
      <w:tr>
        <w:trPr/>
        <w:tc>
          <w:tcPr>
            <w:tcW w:w="6510" w:type="dxa"/>
            <w:tcBorders/>
            <w:shd w:fill="FFFFFF" w:val="clear"/>
            <w:vAlign w:val="center"/>
          </w:tcPr>
          <w:p>
            <w:pPr>
              <w:pStyle w:val="TableContents"/>
              <w:spacing w:before="0" w:after="283"/>
              <w:jc w:val="left"/>
              <w:rPr/>
            </w:pPr>
            <w:r>
              <w:rPr/>
              <w:t>Deferred revenue and customer deposits</w:t>
            </w:r>
          </w:p>
        </w:tc>
        <w:tc>
          <w:tcPr>
            <w:tcW w:w="60" w:type="dxa"/>
            <w:tcBorders/>
            <w:shd w:fill="FFFFFF" w:val="clear"/>
            <w:vAlign w:val="center"/>
          </w:tcPr>
          <w:p>
            <w:pPr>
              <w:pStyle w:val="TableContents"/>
              <w:spacing w:before="0" w:after="283"/>
              <w:rPr/>
            </w:pPr>
            <w:r>
              <w:rPr/>
              <w:t> </w:t>
            </w:r>
          </w:p>
        </w:tc>
        <w:tc>
          <w:tcPr>
            <w:tcW w:w="2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spacing w:before="0" w:after="283"/>
              <w:jc w:val="right"/>
              <w:rPr/>
            </w:pPr>
            <w:r>
              <w:rPr/>
              <w:t>90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spacing w:before="0" w:after="283"/>
              <w:jc w:val="right"/>
              <w:rPr/>
            </w:pPr>
            <w:r>
              <w:rPr/>
              <w:t>(62</w:t>
            </w:r>
          </w:p>
        </w:tc>
        <w:tc>
          <w:tcPr>
            <w:tcW w:w="512" w:type="dxa"/>
            <w:tcBorders/>
            <w:shd w:fill="FFFFFF" w:val="clear"/>
            <w:vAlign w:val="center"/>
          </w:tcPr>
          <w:p>
            <w:pPr>
              <w:pStyle w:val="TableContents"/>
              <w:spacing w:before="0" w:after="283"/>
              <w:jc w:val="left"/>
              <w:rPr/>
            </w:pPr>
            <w:r>
              <w:rPr/>
              <w:t>)</w:t>
            </w:r>
          </w:p>
        </w:tc>
      </w:tr>
      <w:tr>
        <w:trPr/>
        <w:tc>
          <w:tcPr>
            <w:tcW w:w="6510" w:type="dxa"/>
            <w:tcBorders/>
            <w:shd w:fill="CCEEFF" w:val="clear"/>
            <w:vAlign w:val="center"/>
          </w:tcPr>
          <w:p>
            <w:pPr>
              <w:pStyle w:val="TableContents"/>
              <w:spacing w:before="0" w:after="283"/>
              <w:jc w:val="left"/>
              <w:rPr/>
            </w:pPr>
            <w:r>
              <w:rPr/>
              <w:t>NET CASH PROVIDED BY (USED IN) OPERATING ACTIVITIES</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687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(8,803</w:t>
            </w:r>
          </w:p>
        </w:tc>
        <w:tc>
          <w:tcPr>
            <w:tcW w:w="512" w:type="dxa"/>
            <w:tcBorders/>
            <w:shd w:fill="CCEEFF" w:val="clear"/>
            <w:vAlign w:val="center"/>
          </w:tcPr>
          <w:p>
            <w:pPr>
              <w:pStyle w:val="TableContents"/>
              <w:spacing w:before="0" w:after="283"/>
              <w:jc w:val="left"/>
              <w:rPr/>
            </w:pPr>
            <w:r>
              <w:rPr/>
              <w:t>)</w:t>
            </w:r>
          </w:p>
        </w:tc>
      </w:tr>
      <w:tr>
        <w:trPr/>
        <w:tc>
          <w:tcPr>
            <w:tcW w:w="6510" w:type="dxa"/>
            <w:tcBorders/>
            <w:shd w:fill="FFFFFF" w:val="clear"/>
            <w:vAlign w:val="center"/>
          </w:tcPr>
          <w:p>
            <w:pPr>
              <w:pStyle w:val="TableContents"/>
              <w:spacing w:before="0" w:after="283"/>
              <w:jc w:val="left"/>
              <w:rPr/>
            </w:pPr>
            <w:r>
              <w:rPr/>
              <w:t>CASH FLOWS FROM INVESTING ACTIVITIES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 </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Repayment of note receivable</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Proceeds on sale of assets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113</w:t>
            </w:r>
          </w:p>
        </w:tc>
        <w:tc>
          <w:tcPr>
            <w:tcW w:w="512" w:type="dxa"/>
            <w:tcBorders/>
            <w:shd w:fill="FFFFFF" w:val="clear"/>
            <w:vAlign w:val="center"/>
          </w:tcPr>
          <w:p>
            <w:pPr>
              <w:pStyle w:val="TableContents"/>
              <w:spacing w:before="0" w:after="283"/>
              <w:ind w:left="0" w:right="0" w:firstLine="400"/>
              <w:jc w:val="left"/>
              <w:rPr/>
            </w:pPr>
            <w:r>
              <w:rPr/>
              <w:t> </w:t>
            </w:r>
          </w:p>
        </w:tc>
      </w:tr>
      <w:tr>
        <w:trPr/>
        <w:tc>
          <w:tcPr>
            <w:tcW w:w="6510" w:type="dxa"/>
            <w:tcBorders/>
            <w:shd w:fill="CCEEFF" w:val="clear"/>
            <w:vAlign w:val="center"/>
          </w:tcPr>
          <w:p>
            <w:pPr>
              <w:pStyle w:val="TableContents"/>
              <w:spacing w:before="0" w:after="283"/>
              <w:jc w:val="left"/>
              <w:rPr/>
            </w:pPr>
            <w:r>
              <w:rPr/>
              <w:t>Investment in patent and trademark assets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(435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(252</w:t>
            </w:r>
          </w:p>
        </w:tc>
        <w:tc>
          <w:tcPr>
            <w:tcW w:w="512" w:type="dxa"/>
            <w:tcBorders/>
            <w:shd w:fill="CCEEFF" w:val="clear"/>
            <w:vAlign w:val="center"/>
          </w:tcPr>
          <w:p>
            <w:pPr>
              <w:pStyle w:val="TableContents"/>
              <w:spacing w:before="0" w:after="283"/>
              <w:ind w:left="0" w:right="0" w:firstLine="400"/>
              <w:jc w:val="left"/>
              <w:rPr/>
            </w:pPr>
            <w:r>
              <w:rPr/>
              <w:t>)</w:t>
            </w:r>
          </w:p>
        </w:tc>
      </w:tr>
      <w:tr>
        <w:trPr/>
        <w:tc>
          <w:tcPr>
            <w:tcW w:w="6510" w:type="dxa"/>
            <w:tcBorders/>
            <w:shd w:fill="FFFFFF" w:val="clear"/>
            <w:vAlign w:val="center"/>
          </w:tcPr>
          <w:p>
            <w:pPr>
              <w:pStyle w:val="TableContents"/>
              <w:spacing w:before="0" w:after="283"/>
              <w:jc w:val="left"/>
              <w:rPr/>
            </w:pPr>
            <w:r>
              <w:rPr/>
              <w:t>Purchase of Klarity license</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(50</w:t>
            </w:r>
          </w:p>
        </w:tc>
        <w:tc>
          <w:tcPr>
            <w:tcW w:w="512" w:type="dxa"/>
            <w:tcBorders/>
            <w:shd w:fill="FFFFFF" w:val="clear"/>
            <w:vAlign w:val="center"/>
          </w:tcPr>
          <w:p>
            <w:pPr>
              <w:pStyle w:val="TableContents"/>
              <w:spacing w:before="0" w:after="283"/>
              <w:ind w:left="0" w:right="0" w:firstLine="400"/>
              <w:jc w:val="left"/>
              <w:rPr/>
            </w:pPr>
            <w:r>
              <w:rPr/>
              <w:t>)</w:t>
            </w:r>
          </w:p>
        </w:tc>
      </w:tr>
      <w:tr>
        <w:trPr/>
        <w:tc>
          <w:tcPr>
            <w:tcW w:w="6510" w:type="dxa"/>
            <w:tcBorders/>
            <w:shd w:fill="CCEEFF" w:val="clear"/>
            <w:vAlign w:val="center"/>
          </w:tcPr>
          <w:p>
            <w:pPr>
              <w:pStyle w:val="TableContents"/>
              <w:spacing w:before="0" w:after="283"/>
              <w:jc w:val="left"/>
              <w:rPr/>
            </w:pPr>
            <w:r>
              <w:rPr/>
              <w:t>Purchases of property, plant and equipment</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(1,768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(772</w:t>
            </w:r>
          </w:p>
        </w:tc>
        <w:tc>
          <w:tcPr>
            <w:tcW w:w="512" w:type="dxa"/>
            <w:tcBorders/>
            <w:shd w:fill="CCEEFF" w:val="clear"/>
            <w:vAlign w:val="center"/>
          </w:tcPr>
          <w:p>
            <w:pPr>
              <w:pStyle w:val="TableContents"/>
              <w:spacing w:before="0" w:after="283"/>
              <w:jc w:val="left"/>
              <w:rPr/>
            </w:pPr>
            <w:r>
              <w:rPr/>
              <w:t>)</w:t>
            </w:r>
          </w:p>
        </w:tc>
      </w:tr>
      <w:tr>
        <w:trPr/>
        <w:tc>
          <w:tcPr>
            <w:tcW w:w="6510" w:type="dxa"/>
            <w:tcBorders/>
            <w:shd w:fill="FFFFFF" w:val="clear"/>
            <w:vAlign w:val="center"/>
          </w:tcPr>
          <w:p>
            <w:pPr>
              <w:pStyle w:val="TableContents"/>
              <w:spacing w:before="0" w:after="283"/>
              <w:jc w:val="left"/>
              <w:rPr/>
            </w:pPr>
            <w:r>
              <w:rPr/>
              <w:t>NET CASH USED IN INVESTING ACTIVITIES</w:t>
            </w:r>
          </w:p>
        </w:tc>
        <w:tc>
          <w:tcPr>
            <w:tcW w:w="60" w:type="dxa"/>
            <w:tcBorders/>
            <w:shd w:fill="FFFFFF" w:val="clear"/>
            <w:vAlign w:val="center"/>
          </w:tcPr>
          <w:p>
            <w:pPr>
              <w:pStyle w:val="TableContents"/>
              <w:spacing w:before="0" w:after="283"/>
              <w:rPr/>
            </w:pPr>
            <w:r>
              <w:rPr/>
              <w:t> </w:t>
            </w:r>
          </w:p>
        </w:tc>
        <w:tc>
          <w:tcPr>
            <w:tcW w:w="2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spacing w:before="0" w:after="283"/>
              <w:jc w:val="right"/>
              <w:rPr/>
            </w:pPr>
            <w:r>
              <w:rPr/>
              <w:t>(2,199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spacing w:before="0" w:after="283"/>
              <w:jc w:val="right"/>
              <w:rPr/>
            </w:pPr>
            <w:r>
              <w:rPr/>
              <w:t>(961</w:t>
            </w:r>
          </w:p>
        </w:tc>
        <w:tc>
          <w:tcPr>
            <w:tcW w:w="512" w:type="dxa"/>
            <w:tcBorders/>
            <w:shd w:fill="FFFFFF" w:val="clear"/>
            <w:vAlign w:val="center"/>
          </w:tcPr>
          <w:p>
            <w:pPr>
              <w:pStyle w:val="TableContents"/>
              <w:spacing w:before="0" w:after="283"/>
              <w:jc w:val="left"/>
              <w:rPr/>
            </w:pPr>
            <w:r>
              <w:rPr/>
              <w:t>)</w:t>
            </w:r>
          </w:p>
        </w:tc>
      </w:tr>
      <w:tr>
        <w:trPr/>
        <w:tc>
          <w:tcPr>
            <w:tcW w:w="6510" w:type="dxa"/>
            <w:tcBorders/>
            <w:shd w:fill="CCEEFF" w:val="clear"/>
            <w:vAlign w:val="center"/>
          </w:tcPr>
          <w:p>
            <w:pPr>
              <w:pStyle w:val="TableContents"/>
              <w:spacing w:before="0" w:after="283"/>
              <w:jc w:val="left"/>
              <w:rPr/>
            </w:pPr>
            <w:r>
              <w:rPr/>
              <w:t>CASH FLOWS FROM FINANCING ACTIVITIES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Payments on capital lease obligations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(691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(626</w:t>
            </w:r>
          </w:p>
        </w:tc>
        <w:tc>
          <w:tcPr>
            <w:tcW w:w="512" w:type="dxa"/>
            <w:tcBorders/>
            <w:shd w:fill="FFFFFF" w:val="clear"/>
            <w:vAlign w:val="center"/>
          </w:tcPr>
          <w:p>
            <w:pPr>
              <w:pStyle w:val="TableContents"/>
              <w:spacing w:before="0" w:after="283"/>
              <w:ind w:left="0" w:right="0" w:firstLine="400"/>
              <w:jc w:val="left"/>
              <w:rPr/>
            </w:pPr>
            <w:r>
              <w:rPr/>
              <w:t>)</w:t>
            </w:r>
          </w:p>
        </w:tc>
      </w:tr>
      <w:tr>
        <w:trPr/>
        <w:tc>
          <w:tcPr>
            <w:tcW w:w="6510" w:type="dxa"/>
            <w:tcBorders/>
            <w:shd w:fill="CCEEFF" w:val="clear"/>
            <w:vAlign w:val="center"/>
          </w:tcPr>
          <w:p>
            <w:pPr>
              <w:pStyle w:val="TableContents"/>
              <w:spacing w:before="0" w:after="283"/>
              <w:jc w:val="left"/>
              <w:rPr/>
            </w:pPr>
            <w:r>
              <w:rPr/>
              <w:t>Net proceeds from public equity offering</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2,940</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Payments on Park deferred acquisition obligation</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(53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(206</w:t>
            </w:r>
          </w:p>
        </w:tc>
        <w:tc>
          <w:tcPr>
            <w:tcW w:w="512" w:type="dxa"/>
            <w:tcBorders/>
            <w:shd w:fill="FFFFFF" w:val="clear"/>
            <w:vAlign w:val="center"/>
          </w:tcPr>
          <w:p>
            <w:pPr>
              <w:pStyle w:val="TableContents"/>
              <w:spacing w:before="0" w:after="283"/>
              <w:ind w:left="0" w:right="0" w:firstLine="400"/>
              <w:jc w:val="left"/>
              <w:rPr/>
            </w:pPr>
            <w:r>
              <w:rPr/>
              <w:t>)</w:t>
            </w:r>
          </w:p>
        </w:tc>
      </w:tr>
      <w:tr>
        <w:trPr/>
        <w:tc>
          <w:tcPr>
            <w:tcW w:w="6510" w:type="dxa"/>
            <w:tcBorders/>
            <w:shd w:fill="CCEEFF" w:val="clear"/>
            <w:vAlign w:val="center"/>
          </w:tcPr>
          <w:p>
            <w:pPr>
              <w:pStyle w:val="TableContents"/>
              <w:spacing w:before="0" w:after="283"/>
              <w:jc w:val="left"/>
              <w:rPr/>
            </w:pPr>
            <w:r>
              <w:rPr/>
              <w:t>Proceeds from SWK debt, net of costs</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15,518</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Principal payments on LSAF note payable</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(13,999</w:t>
            </w:r>
          </w:p>
        </w:tc>
        <w:tc>
          <w:tcPr>
            <w:tcW w:w="512" w:type="dxa"/>
            <w:tcBorders/>
            <w:shd w:fill="FFFFFF" w:val="clear"/>
            <w:vAlign w:val="center"/>
          </w:tcPr>
          <w:p>
            <w:pPr>
              <w:pStyle w:val="TableContents"/>
              <w:spacing w:before="0" w:after="283"/>
              <w:ind w:left="0" w:right="0" w:firstLine="400"/>
              <w:jc w:val="left"/>
              <w:rPr/>
            </w:pPr>
            <w:r>
              <w:rPr/>
              <w:t>)</w:t>
            </w:r>
          </w:p>
        </w:tc>
      </w:tr>
      <w:tr>
        <w:trPr/>
        <w:tc>
          <w:tcPr>
            <w:tcW w:w="6510" w:type="dxa"/>
            <w:tcBorders/>
            <w:shd w:fill="CCEEFF" w:val="clear"/>
            <w:vAlign w:val="center"/>
          </w:tcPr>
          <w:p>
            <w:pPr>
              <w:pStyle w:val="TableContents"/>
              <w:spacing w:before="0" w:after="283"/>
              <w:jc w:val="left"/>
              <w:rPr/>
            </w:pPr>
            <w:r>
              <w:rPr/>
              <w:t>Net proceeds from ATM sales of common stock</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642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1,124</w:t>
            </w:r>
          </w:p>
        </w:tc>
        <w:tc>
          <w:tcPr>
            <w:tcW w:w="512" w:type="dxa"/>
            <w:tcBorders/>
            <w:shd w:fill="CCEEFF" w:val="clear"/>
            <w:vAlign w:val="center"/>
          </w:tcPr>
          <w:p>
            <w:pPr>
              <w:pStyle w:val="TableContents"/>
              <w:spacing w:before="0" w:after="283"/>
              <w:ind w:left="0" w:right="0" w:firstLine="400"/>
              <w:jc w:val="left"/>
              <w:rPr/>
            </w:pPr>
            <w:r>
              <w:rPr/>
              <w:t> </w:t>
            </w:r>
          </w:p>
        </w:tc>
      </w:tr>
      <w:tr>
        <w:trPr/>
        <w:tc>
          <w:tcPr>
            <w:tcW w:w="6510" w:type="dxa"/>
            <w:tcBorders/>
            <w:shd w:fill="FFFFFF" w:val="clear"/>
            <w:vAlign w:val="center"/>
          </w:tcPr>
          <w:p>
            <w:pPr>
              <w:pStyle w:val="TableContents"/>
              <w:spacing w:before="0" w:after="283"/>
              <w:jc w:val="left"/>
              <w:rPr/>
            </w:pPr>
            <w:r>
              <w:rPr/>
              <w:t>Net proceeds from exercises of warrants and stock options, net of taxes remitted for RSU’s</w:t>
            </w:r>
          </w:p>
        </w:tc>
        <w:tc>
          <w:tcPr>
            <w:tcW w:w="60" w:type="dxa"/>
            <w:tcBorders/>
            <w:shd w:fill="FFFFFF" w:val="clear"/>
            <w:vAlign w:val="center"/>
          </w:tcPr>
          <w:p>
            <w:pPr>
              <w:pStyle w:val="TableContents"/>
              <w:spacing w:before="0" w:after="283"/>
              <w:rPr/>
            </w:pPr>
            <w:r>
              <w:rPr/>
              <w:t> </w:t>
            </w:r>
          </w:p>
        </w:tc>
        <w:tc>
          <w:tcPr>
            <w:tcW w:w="2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spacing w:before="0" w:after="283"/>
              <w:jc w:val="right"/>
              <w:rPr/>
            </w:pPr>
            <w:r>
              <w:rPr/>
              <w:t>4,233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spacing w:before="0" w:after="283"/>
              <w:jc w:val="right"/>
              <w:rPr/>
            </w:pPr>
            <w:r>
              <w:rPr/>
              <w:t>179</w:t>
            </w:r>
          </w:p>
        </w:tc>
        <w:tc>
          <w:tcPr>
            <w:tcW w:w="512" w:type="dxa"/>
            <w:tcBorders/>
            <w:shd w:fill="FFFFFF" w:val="clear"/>
            <w:vAlign w:val="center"/>
          </w:tcPr>
          <w:p>
            <w:pPr>
              <w:pStyle w:val="TableContents"/>
              <w:spacing w:before="0" w:after="283"/>
              <w:jc w:val="left"/>
              <w:rPr/>
            </w:pPr>
            <w:r>
              <w:rPr/>
              <w:t> </w:t>
            </w:r>
          </w:p>
        </w:tc>
      </w:tr>
      <w:tr>
        <w:trPr/>
        <w:tc>
          <w:tcPr>
            <w:tcW w:w="6510" w:type="dxa"/>
            <w:tcBorders/>
            <w:shd w:fill="CCEEFF" w:val="clear"/>
            <w:vAlign w:val="center"/>
          </w:tcPr>
          <w:p>
            <w:pPr>
              <w:pStyle w:val="TableContents"/>
              <w:spacing w:before="0" w:after="283"/>
              <w:jc w:val="left"/>
              <w:rPr/>
            </w:pPr>
            <w:r>
              <w:rPr/>
              <w:t>NET CASH PROVIDED BY FINANCING ACTIVITIES</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4,131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4,930</w:t>
            </w:r>
          </w:p>
        </w:tc>
        <w:tc>
          <w:tcPr>
            <w:tcW w:w="512" w:type="dxa"/>
            <w:tcBorders/>
            <w:shd w:fill="CCEEFF" w:val="clear"/>
            <w:vAlign w:val="center"/>
          </w:tcPr>
          <w:p>
            <w:pPr>
              <w:pStyle w:val="TableContents"/>
              <w:spacing w:before="0" w:after="283"/>
              <w:jc w:val="left"/>
              <w:rPr/>
            </w:pPr>
            <w:r>
              <w:rPr/>
              <w:t> </w:t>
            </w:r>
          </w:p>
        </w:tc>
      </w:tr>
      <w:tr>
        <w:trPr/>
        <w:tc>
          <w:tcPr>
            <w:tcW w:w="6510" w:type="dxa"/>
            <w:tcBorders/>
            <w:shd w:fill="FFFFFF" w:val="clear"/>
            <w:vAlign w:val="center"/>
          </w:tcPr>
          <w:p>
            <w:pPr>
              <w:pStyle w:val="TableContents"/>
              <w:spacing w:before="0" w:after="283"/>
              <w:jc w:val="left"/>
              <w:rPr/>
            </w:pPr>
            <w:r>
              <w:rPr/>
              <w:t>NET CHANGE IN CASH, CASH EQUIVALENTS AND RESTRICTED CASH</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2,619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(4,834</w:t>
            </w:r>
          </w:p>
        </w:tc>
        <w:tc>
          <w:tcPr>
            <w:tcW w:w="512" w:type="dxa"/>
            <w:tcBorders/>
            <w:shd w:fill="FFFFFF" w:val="clear"/>
            <w:vAlign w:val="center"/>
          </w:tcPr>
          <w:p>
            <w:pPr>
              <w:pStyle w:val="TableContents"/>
              <w:spacing w:before="0" w:after="283"/>
              <w:ind w:left="0" w:right="0" w:firstLine="200"/>
              <w:jc w:val="left"/>
              <w:rPr/>
            </w:pPr>
            <w:r>
              <w:rPr/>
              <w:t>)</w:t>
            </w:r>
          </w:p>
        </w:tc>
      </w:tr>
      <w:tr>
        <w:trPr/>
        <w:tc>
          <w:tcPr>
            <w:tcW w:w="6510" w:type="dxa"/>
            <w:tcBorders/>
            <w:shd w:fill="CCEEFF" w:val="clear"/>
            <w:vAlign w:val="center"/>
          </w:tcPr>
          <w:p>
            <w:pPr>
              <w:pStyle w:val="TableContents"/>
              <w:spacing w:before="0" w:after="283"/>
              <w:jc w:val="left"/>
              <w:rPr/>
            </w:pPr>
            <w:r>
              <w:rPr/>
              <w:t>CASH, CASH EQUIVALENTS AND RESTRICTED CASH, beginning of period</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4,219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9,053</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510" w:type="dxa"/>
            <w:tcBorders/>
            <w:shd w:fill="FFFFFF" w:val="clear"/>
            <w:vAlign w:val="center"/>
          </w:tcPr>
          <w:p>
            <w:pPr>
              <w:pStyle w:val="TableContents"/>
              <w:spacing w:before="0" w:after="283"/>
              <w:jc w:val="left"/>
              <w:rPr/>
            </w:pPr>
            <w:r>
              <w:rPr/>
              <w:t>CASH, CASH EQUIVALENTS AND RESTRICTED CASH, end of period</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6,838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4,219</w:t>
            </w:r>
          </w:p>
        </w:tc>
        <w:tc>
          <w:tcPr>
            <w:tcW w:w="512" w:type="dxa"/>
            <w:tcBorders/>
            <w:shd w:fill="FFFFFF" w:val="clear"/>
            <w:vAlign w:val="center"/>
          </w:tcPr>
          <w:p>
            <w:pPr>
              <w:pStyle w:val="TableContents"/>
              <w:spacing w:before="0" w:after="283"/>
              <w:jc w:val="left"/>
              <w:rPr/>
            </w:pPr>
            <w:r>
              <w:rPr/>
              <w:t> </w:t>
            </w:r>
          </w:p>
        </w:tc>
      </w:tr>
      <w:tr>
        <w:trPr/>
        <w:tc>
          <w:tcPr>
            <w:tcW w:w="6510" w:type="dxa"/>
            <w:tcBorders/>
            <w:shd w:fill="CCEEFF" w:val="clear"/>
            <w:vAlign w:val="center"/>
          </w:tcPr>
          <w:p>
            <w:pPr>
              <w:pStyle w:val="TableContents"/>
              <w:spacing w:before="0" w:after="283"/>
              <w:jc w:val="left"/>
              <w:rPr/>
            </w:pPr>
            <w:r>
              <w:rPr/>
              <w:t>RECONCILIATION OF CASH, CASH EQUIVALENTS AND RESTRICTED CASH</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510" w:type="dxa"/>
            <w:tcBorders/>
            <w:shd w:fill="FFFFFF" w:val="clear"/>
            <w:vAlign w:val="center"/>
          </w:tcPr>
          <w:p>
            <w:pPr>
              <w:pStyle w:val="TableContents"/>
              <w:spacing w:before="0" w:after="283"/>
              <w:jc w:val="left"/>
              <w:rPr/>
            </w:pPr>
            <w:r>
              <w:rPr/>
              <w:t>Cash and cash equivalents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w:t>
            </w:r>
          </w:p>
        </w:tc>
        <w:tc>
          <w:tcPr>
            <w:tcW w:w="1241" w:type="dxa"/>
            <w:tcBorders/>
            <w:shd w:fill="FFFFFF" w:val="clear"/>
            <w:vAlign w:val="center"/>
          </w:tcPr>
          <w:p>
            <w:pPr>
              <w:pStyle w:val="TableContents"/>
              <w:spacing w:before="0" w:after="283"/>
              <w:jc w:val="right"/>
              <w:rPr/>
            </w:pPr>
            <w:r>
              <w:rPr/>
              <w:t>6,638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w:t>
            </w:r>
          </w:p>
        </w:tc>
        <w:tc>
          <w:tcPr>
            <w:tcW w:w="1241" w:type="dxa"/>
            <w:tcBorders/>
            <w:shd w:fill="FFFFFF" w:val="clear"/>
            <w:vAlign w:val="center"/>
          </w:tcPr>
          <w:p>
            <w:pPr>
              <w:pStyle w:val="TableContents"/>
              <w:spacing w:before="0" w:after="283"/>
              <w:jc w:val="right"/>
              <w:rPr/>
            </w:pPr>
            <w:r>
              <w:rPr/>
              <w:t>4,019</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510" w:type="dxa"/>
            <w:tcBorders/>
            <w:shd w:fill="CCEEFF" w:val="clear"/>
            <w:vAlign w:val="center"/>
          </w:tcPr>
          <w:p>
            <w:pPr>
              <w:pStyle w:val="TableContents"/>
              <w:spacing w:before="0" w:after="283"/>
              <w:jc w:val="left"/>
              <w:rPr/>
            </w:pPr>
            <w:r>
              <w:rPr/>
              <w:t>Restricted cash</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200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spacing w:before="0" w:after="283"/>
              <w:jc w:val="right"/>
              <w:rPr/>
            </w:pPr>
            <w:r>
              <w:rPr/>
              <w:t>200</w:t>
            </w:r>
          </w:p>
        </w:tc>
        <w:tc>
          <w:tcPr>
            <w:tcW w:w="512" w:type="dxa"/>
            <w:tcBorders/>
            <w:shd w:fill="CCEEFF" w:val="clear"/>
            <w:vAlign w:val="center"/>
          </w:tcPr>
          <w:p>
            <w:pPr>
              <w:pStyle w:val="TableContents"/>
              <w:spacing w:before="0" w:after="283"/>
              <w:jc w:val="left"/>
              <w:rPr/>
            </w:pPr>
            <w:r>
              <w:rPr/>
              <w:t> </w:t>
            </w:r>
          </w:p>
        </w:tc>
      </w:tr>
      <w:tr>
        <w:trPr/>
        <w:tc>
          <w:tcPr>
            <w:tcW w:w="6510" w:type="dxa"/>
            <w:tcBorders/>
            <w:shd w:fill="FFFFFF" w:val="clear"/>
            <w:vAlign w:val="center"/>
          </w:tcPr>
          <w:p>
            <w:pPr>
              <w:pStyle w:val="TableContents"/>
              <w:spacing w:before="0" w:after="283"/>
              <w:jc w:val="left"/>
              <w:rPr/>
            </w:pPr>
            <w:r>
              <w:rPr/>
              <w:t>CASH, CASH EQUIVALENTS AND RESTRICTED CASH AT END OF PERIOD</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6,838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4,219</w:t>
            </w:r>
          </w:p>
        </w:tc>
        <w:tc>
          <w:tcPr>
            <w:tcW w:w="512" w:type="dxa"/>
            <w:tcBorders/>
            <w:shd w:fill="FFFFFF" w:val="clear"/>
            <w:vAlign w:val="center"/>
          </w:tcPr>
          <w:p>
            <w:pPr>
              <w:pStyle w:val="TableContents"/>
              <w:spacing w:before="0" w:after="283"/>
              <w:jc w:val="left"/>
              <w:rPr/>
            </w:pPr>
            <w:r>
              <w:rPr/>
              <w:t> </w:t>
            </w:r>
          </w:p>
        </w:tc>
      </w:tr>
      <w:tr>
        <w:trPr/>
        <w:tc>
          <w:tcPr>
            <w:tcW w:w="6510" w:type="dxa"/>
            <w:tcBorders/>
            <w:shd w:fill="CCEEFF" w:val="clear"/>
            <w:vAlign w:val="center"/>
          </w:tcPr>
          <w:p>
            <w:pPr>
              <w:pStyle w:val="TableContents"/>
              <w:spacing w:before="0" w:after="283"/>
              <w:jc w:val="left"/>
              <w:rPr/>
            </w:pPr>
            <w:r>
              <w:rPr/>
              <w:t>SUPPLEMENTAL DISCLOSURE OF CASH FLOW INFORMATION:</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jc w:val="left"/>
              <w:rPr/>
            </w:pPr>
            <w:r>
              <w:rPr/>
              <w:t> </w:t>
            </w:r>
          </w:p>
        </w:tc>
        <w:tc>
          <w:tcPr>
            <w:tcW w:w="1241" w:type="dxa"/>
            <w:tcBorders/>
            <w:shd w:fill="CCEEFF" w:val="clear"/>
            <w:vAlign w:val="center"/>
          </w:tcPr>
          <w:p>
            <w:pPr>
              <w:pStyle w:val="TableContents"/>
              <w:spacing w:before="0" w:after="283"/>
              <w:jc w:val="right"/>
              <w:rPr/>
            </w:pPr>
            <w:r>
              <w:rPr/>
              <w:t> </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510" w:type="dxa"/>
            <w:tcBorders/>
            <w:shd w:fill="FFFFFF" w:val="clear"/>
            <w:vAlign w:val="center"/>
          </w:tcPr>
          <w:p>
            <w:pPr>
              <w:pStyle w:val="TableContents"/>
              <w:spacing w:before="0" w:after="283"/>
              <w:jc w:val="left"/>
              <w:rPr/>
            </w:pPr>
            <w:r>
              <w:rPr/>
              <w:t>Cash paid for income taxes</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9</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510" w:type="dxa"/>
            <w:tcBorders/>
            <w:shd w:fill="CCEEFF" w:val="clear"/>
            <w:vAlign w:val="center"/>
          </w:tcPr>
          <w:p>
            <w:pPr>
              <w:pStyle w:val="TableContents"/>
              <w:spacing w:before="0" w:after="283"/>
              <w:jc w:val="left"/>
              <w:rPr/>
            </w:pPr>
            <w:r>
              <w:rPr/>
              <w:t>Cash paid for interest</w:t>
            </w:r>
          </w:p>
        </w:tc>
        <w:tc>
          <w:tcPr>
            <w:tcW w:w="60" w:type="dxa"/>
            <w:tcBorders/>
            <w:shd w:fill="CCEEFF" w:val="clear"/>
            <w:vAlign w:val="center"/>
          </w:tcPr>
          <w:p>
            <w:pPr>
              <w:pStyle w:val="TableContents"/>
              <w:spacing w:before="0" w:after="283"/>
              <w:rPr/>
            </w:pPr>
            <w:r>
              <w:rPr/>
              <w:t> </w:t>
            </w:r>
          </w:p>
        </w:tc>
        <w:tc>
          <w:tcPr>
            <w:tcW w:w="2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CCEEFF" w:val="clear"/>
            <w:tcMar>
              <w:bottom w:w="28" w:type="dxa"/>
            </w:tcMar>
            <w:vAlign w:val="center"/>
          </w:tcPr>
          <w:p>
            <w:pPr>
              <w:pStyle w:val="TableContents"/>
              <w:spacing w:before="0" w:after="283"/>
              <w:jc w:val="right"/>
              <w:rPr/>
            </w:pPr>
            <w:r>
              <w:rPr/>
              <w:t>2,097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CCEEFF" w:val="clear"/>
            <w:tcMar>
              <w:bottom w:w="28" w:type="dxa"/>
            </w:tcMar>
            <w:vAlign w:val="center"/>
          </w:tcPr>
          <w:p>
            <w:pPr>
              <w:pStyle w:val="TableContents"/>
              <w:spacing w:before="0" w:after="283"/>
              <w:jc w:val="right"/>
              <w:rPr/>
            </w:pPr>
            <w:r>
              <w:rPr/>
              <w:t>1,543</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510" w:type="dxa"/>
            <w:tcBorders/>
            <w:shd w:fill="FFFFFF" w:val="clear"/>
            <w:vAlign w:val="center"/>
          </w:tcPr>
          <w:p>
            <w:pPr>
              <w:pStyle w:val="TableContents"/>
              <w:spacing w:before="0" w:after="283"/>
              <w:jc w:val="left"/>
              <w:rPr/>
            </w:pPr>
            <w:r>
              <w:rPr/>
              <w:t>SUPPLEMENTAL DISCLOSURES OF NON-CASH INVESTING AND FINANCING ACTIVITIES:</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jc w:val="left"/>
              <w:rPr/>
            </w:pPr>
            <w:r>
              <w:rPr/>
              <w:t> </w:t>
            </w:r>
          </w:p>
        </w:tc>
        <w:tc>
          <w:tcPr>
            <w:tcW w:w="1241" w:type="dxa"/>
            <w:tcBorders/>
            <w:shd w:fill="FFFFFF" w:val="clear"/>
            <w:vAlign w:val="center"/>
          </w:tcPr>
          <w:p>
            <w:pPr>
              <w:pStyle w:val="TableContents"/>
              <w:spacing w:before="0" w:after="283"/>
              <w:jc w:val="right"/>
              <w:rPr/>
            </w:pPr>
            <w:r>
              <w:rPr/>
              <w:t> </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510" w:type="dxa"/>
            <w:tcBorders/>
            <w:shd w:fill="CCEEFF" w:val="clear"/>
            <w:vAlign w:val="center"/>
          </w:tcPr>
          <w:p>
            <w:pPr>
              <w:pStyle w:val="TableContents"/>
              <w:spacing w:before="0" w:after="283"/>
              <w:jc w:val="left"/>
              <w:rPr/>
            </w:pPr>
            <w:r>
              <w:rPr/>
              <w:t>Final fee on note payable recorded as debt discount and included in accrued expenses</w:t>
            </w:r>
          </w:p>
        </w:tc>
        <w:tc>
          <w:tcPr>
            <w:tcW w:w="60" w:type="dxa"/>
            <w:tcBorders/>
            <w:shd w:fill="CCEEFF" w:val="clear"/>
            <w:vAlign w:val="center"/>
          </w:tcPr>
          <w:p>
            <w:pPr>
              <w:pStyle w:val="TableContents"/>
              <w:spacing w:before="0" w:after="283"/>
              <w:rPr/>
            </w:pPr>
            <w:r>
              <w:rPr/>
              <w:t> </w:t>
            </w:r>
          </w:p>
        </w:tc>
        <w:tc>
          <w:tcPr>
            <w:tcW w:w="2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CCEEFF" w:val="clear"/>
            <w:tcMar>
              <w:bottom w:w="28" w:type="dxa"/>
            </w:tcMar>
            <w:vAlign w:val="center"/>
          </w:tcPr>
          <w:p>
            <w:pPr>
              <w:pStyle w:val="TableContents"/>
              <w:spacing w:before="0" w:after="283"/>
              <w:jc w:val="right"/>
              <w:rPr/>
            </w:pPr>
            <w:r>
              <w:rPr/>
              <w:t>800</w:t>
            </w:r>
          </w:p>
        </w:tc>
        <w:tc>
          <w:tcPr>
            <w:tcW w:w="512" w:type="dxa"/>
            <w:tcBorders/>
            <w:shd w:fill="CCEEFF" w:val="clear"/>
            <w:vAlign w:val="center"/>
          </w:tcPr>
          <w:p>
            <w:pPr>
              <w:pStyle w:val="TableContents"/>
              <w:spacing w:before="0" w:after="283"/>
              <w:ind w:left="0" w:right="0" w:firstLine="200"/>
              <w:jc w:val="left"/>
              <w:rPr/>
            </w:pPr>
            <w:r>
              <w:rPr/>
              <w:t> </w:t>
            </w:r>
          </w:p>
        </w:tc>
      </w:tr>
      <w:tr>
        <w:trPr/>
        <w:tc>
          <w:tcPr>
            <w:tcW w:w="6510" w:type="dxa"/>
            <w:tcBorders/>
            <w:shd w:fill="FFFFFF" w:val="clear"/>
            <w:vAlign w:val="center"/>
          </w:tcPr>
          <w:p>
            <w:pPr>
              <w:pStyle w:val="TableContents"/>
              <w:spacing w:before="0" w:after="283"/>
              <w:jc w:val="left"/>
              <w:rPr/>
            </w:pPr>
            <w:r>
              <w:rPr/>
              <w:t>Estimated relative fair value of warrants issued in connection with note payable</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FFFFFF" w:val="clear"/>
            <w:tcMar>
              <w:bottom w:w="28" w:type="dxa"/>
            </w:tcMar>
            <w:vAlign w:val="center"/>
          </w:tcPr>
          <w:p>
            <w:pPr>
              <w:pStyle w:val="TableContents"/>
              <w:spacing w:before="0" w:after="283"/>
              <w:jc w:val="right"/>
              <w:rPr/>
            </w:pPr>
            <w:r>
              <w:rPr/>
              <w:t>982</w:t>
            </w:r>
          </w:p>
        </w:tc>
        <w:tc>
          <w:tcPr>
            <w:tcW w:w="512" w:type="dxa"/>
            <w:tcBorders/>
            <w:shd w:fill="FFFFFF" w:val="clear"/>
            <w:vAlign w:val="center"/>
          </w:tcPr>
          <w:p>
            <w:pPr>
              <w:pStyle w:val="TableContents"/>
              <w:spacing w:before="0" w:after="283"/>
              <w:ind w:left="0" w:right="0" w:firstLine="200"/>
              <w:jc w:val="left"/>
              <w:rPr/>
            </w:pPr>
            <w:r>
              <w:rPr/>
              <w:t> </w:t>
            </w:r>
          </w:p>
        </w:tc>
      </w:tr>
      <w:tr>
        <w:trPr/>
        <w:tc>
          <w:tcPr>
            <w:tcW w:w="6510" w:type="dxa"/>
            <w:tcBorders/>
            <w:shd w:fill="CCEEFF" w:val="clear"/>
            <w:vAlign w:val="center"/>
          </w:tcPr>
          <w:p>
            <w:pPr>
              <w:pStyle w:val="TableContents"/>
              <w:spacing w:before="0" w:after="283"/>
              <w:jc w:val="left"/>
              <w:rPr/>
            </w:pPr>
            <w:r>
              <w:rPr/>
              <w:t>Note receivable in connection with sale of assets</w:t>
            </w:r>
          </w:p>
        </w:tc>
        <w:tc>
          <w:tcPr>
            <w:tcW w:w="60" w:type="dxa"/>
            <w:tcBorders/>
            <w:shd w:fill="CCEEFF" w:val="clear"/>
            <w:vAlign w:val="center"/>
          </w:tcPr>
          <w:p>
            <w:pPr>
              <w:pStyle w:val="TableContents"/>
              <w:spacing w:before="0" w:after="283"/>
              <w:rPr/>
            </w:pPr>
            <w:r>
              <w:rPr/>
              <w:t> </w:t>
            </w:r>
          </w:p>
        </w:tc>
        <w:tc>
          <w:tcPr>
            <w:tcW w:w="2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1" w:type="dxa"/>
            <w:tcBorders>
              <w:bottom w:val="double" w:sz="6" w:space="0" w:color="000000"/>
            </w:tcBorders>
            <w:shd w:fill="CCEEFF" w:val="clear"/>
            <w:tcMar>
              <w:bottom w:w="28" w:type="dxa"/>
            </w:tcMar>
            <w:vAlign w:val="center"/>
          </w:tcPr>
          <w:p>
            <w:pPr>
              <w:pStyle w:val="TableContents"/>
              <w:spacing w:before="0" w:after="283"/>
              <w:jc w:val="right"/>
              <w:rPr/>
            </w:pPr>
            <w:r>
              <w:rPr/>
              <w:t>410</w:t>
            </w:r>
          </w:p>
        </w:tc>
        <w:tc>
          <w:tcPr>
            <w:tcW w:w="512"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accompanying notes are an integral part of these consolidated financial statements</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left"/>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bookmarkStart w:id="33" w:name="a_030"/>
      <w:bookmarkEnd w:id="33"/>
      <w:r>
        <w:rPr>
          <w:rFonts w:ascii="Times New Roman;Times;Serif" w:hAnsi="Times New Roman;Times;Serif"/>
          <w:b/>
          <w:i w:val="false"/>
          <w:caps w:val="false"/>
          <w:smallCaps w:val="false"/>
          <w:sz w:val="17"/>
        </w:rPr>
        <w:t>HARROW HEALTH, INC.</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NOTES TO THE CONSOLIDATED FINANCIAL STATEMENTS</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For the years ended December 31, 2018 and 2017</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(all dollar amounts are expressed in thousands, except share and per share data)</w:t>
      </w:r>
    </w:p>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 ORGANIZATION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Prior to 2017, the Company’s business was primarily focused on its ImprimisRx business, the nation’s leading ophthalmology pharmaceutical compounding business, and Park Compounding, Inc. (“Park”), a leading health and wellness compounding business. Since 2017, in addition to wholly-owning ImprimisRx and Park, the Company also has equity positions in Eton Pharmaceuticals, Inc. (“Eton”), Surface Pharmaceuticals, Inc. (“Surface”), and Melt Pharmaceuticals, Inc. (“Melt”). In 2018, the Company also founded its subsidiaries Mayfield Pharmaceuticals, Inc. (“Mayfield”) and Radley Pharmaceuticals, Inc. (“Radley”). The Company owns royalty rights in certain 505(b)(2) drug candidates being developed by Eton, Surface, Melt, Radley and Mayfield.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December 2018, the Company amended its restated certificate of incorporation to change its corporate name from “Imprimis Pharmaceuticals, Inc.” to “Harrow Health, Inc.”.</w:t>
      </w:r>
    </w:p>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2. SUMMARY OF SIGNIFICANT ACCOUNTING POLICIES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Basis of Presentation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Harrow has prepared the accompanying consolidated financial statements in accordance with accounting principles generally accepted in the United States of America (“GAAP”). The accompanying consolidated financial statements include the accounts of the Company and its wholly and majority owned subsidiaries. All intercompany accounts and transactions have been eliminated in consolidation.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Use of Estimates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investments in equity securities, deferred taxes, goodwill and intangible assets, recoverability of long-lived assets and goodwill, valuation of contingent acquisition obligations and deferred acquisition obligations, valuation of notes payable, and valuation of stock-based transactions with employees and non-employees. Actual results could differ from those estimates.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Liquidity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has incurred significant operating losses and negative cash flows from operations since its inception. The Company incurred operating losses of $5,217 and $12,163 for the years ended December 31, 2018 and 2017, respectively, and had an accumulated deficit of $74,211 and $88,836 as of December 31, 2018 and 2017, respectively. In addition, cash provided by (used in) operating activities were $687 and $(8,803) for the years ended December 31, 2018 and 2017,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While there is no assurance, the Company believes its existing cash resources, restricted cash and marketable securities of approximately $28,258 at December 31, 2018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Revenue Recognition and Deferred Revenue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7"/>
        </w:rPr>
        <w:t>The Company recognizes revenue at the time of transfer of promised goods to customers in an amount that reflects the consideration to which the Company expects to be entitled in exchange for those goods or services.</w:t>
      </w:r>
      <w:r>
        <w:rPr>
          <w:rFonts w:ascii="Times New Roman;Times;Serif" w:hAnsi="Times New Roman;Times;Serif"/>
          <w:b w:val="false"/>
          <w:i w:val="false"/>
          <w:caps w:val="false"/>
          <w:smallCaps w:val="false"/>
          <w:sz w:val="20"/>
        </w:rPr>
        <w:t xml:space="preserve"> (see Note 3).</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Cost of Sales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Cost of sales includes direct and indirect costs to manufacture formulations and other products sold, including active pharmaceutical ingredients, personnel costs, packaging, storage, royalties (see Note 18), shipping and handling costs and the write-off of obsolete inventory.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Research and Development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Debt Issuance Costs and Debt Discount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Debt issuance costs and the debt discount are recorded net of notes payable and capital lease obligations in the consolidated balance sheets. Amortization expense of debt issuance costs and the debt discount is calculated using the effective interest method over the term of the debt and is recorded in interest expense in the accompanying consolidated statements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Intellectual Property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The Company began capitalizing certain costs associated with acquiring intellectual property rights during 2015, if costs are not capitalized they are expensed as incurred.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Income Taxes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part of the process of preparing the Company’s consolidated financial statements, the Company must estimate the actual current tax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accounts for income taxes under the provisions of Financial Accounting Standards Board (the “FASB”) Accounting Standards Codification (“ASC”) 740, “Income Taxes”, or ASC 740. As of December 31, 2018, and 2017,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2018 and 2017, and has not recognized interest and/or penalties in the consolidated statements of operations for the years ended December 31, 2018 and 2017. The Company is subject to taxation in the United States, California, Florida, Georgia, Illinois, New Jersey, New York, and Wisconsin. The Company’s tax years since 2000 may be subject to examination by the federal and state tax authorities due to the carryforward of unutilized net operating losses.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Cash and Cash Equivalents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Cash equivalents include short-term, highly liquid investments with maturities of three months or less at the time of acquisition.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Concentrations of Credit Risk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places its cash with financial institutions deemed by management to be of high credit quality. The Federal Deposit Insurance Corporation (“FDIC”) provides basic deposit coverage with limits up to $250 per owner. From time to time the Company has cash deposits in excess of FDIC limits.</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Investment in Eton Pharmaceuticals, Inc.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April 2017, the Company formed Eton as a wholly owned subsidiary. In June 2017 the Company lost voting and ownership control of Eton and it ceased consolidating Eton’s financial statements. At the time of deconsolidation, the Company recorded a gain of $5,725 and adjusted the carrying value in Eton to reflect the increased valuation of Eton and the Company’s new ownership percent in accordance with ASC 810-10-40-4(c), </w:t>
      </w:r>
      <w:r>
        <w:rPr>
          <w:rFonts w:ascii="Times New Roman;Times;Serif" w:hAnsi="Times New Roman;Times;Serif"/>
          <w:b w:val="false"/>
          <w:i/>
          <w:caps w:val="false"/>
          <w:smallCaps w:val="false"/>
          <w:sz w:val="17"/>
        </w:rPr>
        <w:t>Consolidation</w:t>
      </w:r>
      <w:r>
        <w:rPr>
          <w:rFonts w:ascii="Times New Roman;Times;Serif" w:hAnsi="Times New Roman;Times;Serif"/>
          <w:b w:val="false"/>
          <w:i w:val="false"/>
          <w:caps w:val="false"/>
          <w:smallCaps w:val="false"/>
          <w:sz w:val="17"/>
        </w:rPr>
        <w:t>. At the time of deconsolidation, the Company used the equity method of accounting as management determined that the Company had the ability to exercise significant influence over the operating and financial decisions of Eton. Under this method, the Company recognized earnings and losses of Eton in its consolidated financial statements and adjusted the carrying amount of its investment in Eton accordingly. During the years ended December 31, 2018 and 2017, the Company recorded equity in net loss of Eton of $3,507 and $2,218,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2018, Eton closed on an initial public offering of 4,140,000 shares of its common stock at $6.00 per share for gross proceeds of approximately $24,800 (the “Eton IPO”). </w:t>
      </w:r>
      <w:r>
        <w:rPr>
          <w:rFonts w:ascii="Times New Roman;Times;Serif" w:hAnsi="Times New Roman;Times;Serif"/>
          <w:b w:val="false"/>
          <w:i w:val="false"/>
          <w:caps w:val="false"/>
          <w:smallCaps w:val="false"/>
          <w:sz w:val="17"/>
        </w:rPr>
        <w:t xml:space="preserve">Following the close of the Eton IPO, the Company’s common stock position in Eton equaled 19.98% of the equity and voting interests issued and outstanding of Eton, and it ceased using the equity method of accounting for its investment in Eton. The Company recognizes earnings and losses of Eton in its consolidated financial statements based on the fair market value of the shares owned and adjust the carrying amount of the Company’s investment in Eton accordingly. Eton’s common stock currently trades on the NASDAQ Global Market exchange. At December 31, 2018, the fair market value of Eton’s common stock was $6.12 per share, the closing share price of Eton common stock on that day. In accordance with ASU 2016-01, </w:t>
      </w:r>
      <w:r>
        <w:rPr>
          <w:rFonts w:ascii="Times New Roman;Times;Serif" w:hAnsi="Times New Roman;Times;Serif"/>
          <w:b w:val="false"/>
          <w:i/>
          <w:caps w:val="false"/>
          <w:smallCaps w:val="false"/>
          <w:sz w:val="17"/>
        </w:rPr>
        <w:t>Financial Instruments-Overall (Subtopic 825-10): Recognition and Measurement of Financial Assets and Financial Liabilities</w:t>
      </w:r>
      <w:r>
        <w:rPr>
          <w:rFonts w:ascii="Times New Roman;Times;Serif" w:hAnsi="Times New Roman;Times;Serif"/>
          <w:b w:val="false"/>
          <w:i w:val="false"/>
          <w:caps w:val="false"/>
          <w:smallCaps w:val="false"/>
          <w:sz w:val="17"/>
        </w:rPr>
        <w:t>, for the year ended December 31, 2018, the Company recorded a net investment gain from Eton of $17,913, which consisted of a gain of $21,420 related to the change in fair market value of the Company’s investment in Eton less an equity in net loss of Eton of $3,507. As of December 31, 2018, the fair market value of the Company’s investment in Eton was $21,420.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Accounts Receivable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Accounts receivable are presented net of allowances for doubtful accounts and contractual adjustments in the amount of $270 and $275 as of December 31, 2018 and 2017,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Inventories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Investment in Surface Pharmaceuticals, Inc.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April 2017, the Company formed Surface as a wholly owned subsidiary. In May and July 2018, Surface entered into and closed on definitive stock purchase agreements with an institutional investor for the purchase of Surface’s Series A Preferred Stock (the “Surface Series A Stock”) that resulted in total proceeds to Surface of approximately $21,000. At the time of the first closing in May 2018, the Company lost voting and ownership control of Surface and it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of Surface common stock or similar transaction.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the time of deconsolidation, the Company recorded a gain of $5,320 and adjusted the carrying value in Surface to reflect the increased valuation of Surface and the Company’s new ownership percent in accordance with ASC 810-10-40-4(c).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owns 3,500,000 common shares (which is approximately 30% of the equity interest as of December 31, 2018, and calculated after the second closing of the sale Series A Preferred Stock in July 2018)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consolidated financial statements and adjusts the carrying amount of its investment in Surface accordingly. The Company’s share of earnings and losses are based on the shares of common stock and in-substance common stock of Surface held by the Company. Any intra-entity profits and losses are eliminated. During the year ended December 31, 2018, the Company recorded equity in net loss of Surface of $373 (which, net of the equity in net loss of Surface totaled an investment gain from Surface of $4,947 during the year ended December 31, 2018). As of December 31, 2018, the carrying value of the Company’s investment in Surface was $4,947.</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75"/>
        <w:gridCol w:w="350"/>
        <w:gridCol w:w="7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center"/>
              <w:rPr/>
            </w:pPr>
            <w:r>
              <w:rPr/>
              <w:t>F-9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Property, Plant and Equipment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software and hardware and furniture and equipment are depreciated over three to five years.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Business Combinations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future expected cash flows from product sales, support agreements, consulting contracts, other customer contracts, and acquired developed technologies and patents;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discount rates utilized in valuation estimates.</w:t>
            </w:r>
          </w:p>
        </w:tc>
      </w:tr>
    </w:tbl>
    <w:p>
      <w:pPr>
        <w:pStyle w:val="TextBody"/>
        <w:ind w:left="72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Goodwill and Intangible Assets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pStyle w:val="TextBody"/>
        <w:ind w:left="0" w:right="0" w:firstLine="720"/>
        <w:jc w:val="both"/>
        <w:rPr>
          <w:caps w:val="false"/>
          <w:smallCaps w:val="false"/>
        </w:rPr>
      </w:pPr>
      <w:r>
        <w:rPr>
          <w:caps w:val="false"/>
          <w:smallCaps w:val="false"/>
        </w:rPr>
        <w:t> </w:t>
      </w:r>
    </w:p>
    <w:tbl>
      <w:tblPr>
        <w:tblW w:w="8635" w:type="dxa"/>
        <w:jc w:val="left"/>
        <w:tblInd w:w="0" w:type="dxa"/>
        <w:tblCellMar>
          <w:top w:w="0" w:type="dxa"/>
          <w:left w:w="0" w:type="dxa"/>
          <w:bottom w:w="0" w:type="dxa"/>
          <w:right w:w="0" w:type="dxa"/>
        </w:tblCellMar>
      </w:tblPr>
      <w:tblGrid>
        <w:gridCol w:w="75"/>
        <w:gridCol w:w="170"/>
        <w:gridCol w:w="839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significant underperformance of the Company’s business relative to expected operating results;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839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significant adverse economic and industry trends;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839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significant decline in the Company’s market capitalization for an extended period of time relative to net book value;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sz w:val="4"/>
                <w:szCs w:val="4"/>
              </w:rPr>
            </w:pPr>
            <w:r>
              <w:rPr>
                <w:sz w:val="4"/>
                <w:szCs w:val="4"/>
              </w:rPr>
            </w:r>
          </w:p>
        </w:tc>
        <w:tc>
          <w:tcPr>
            <w:tcW w:w="839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expectations that a reporting unit will be sold or otherwise disposed.</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goodwill impairment test consists of a two-step process as follows: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Impairment of Long-Lived Assets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 (See Note 9).</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Third Party Billing and Collection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connection with its acquisition of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consolidated balance sheets. Total billing and collection management expense under this agreement for the years ended December 31, 2018 and 2017 was $1 and $0, respectively, and is included in selling and marketing expenses in the accompanying consolidated statements of operations. The amount due under the agreement as of December 31, 2018 and 2017 was $25 and $41,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Deferred Rent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and interim periods within each fiscal year is recorded as an adjustment to deferred rent (see Note 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Fair Value Measurements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December 31, 2017, the Company did not have any financial assets or liabilities that are measured on a recurring basis. At December 31, 2018, the Company measured its investment in Eton on a recurring basis. The Company’s investment in Eton is classified as Level 1 as the fair value is determined using quoted market prices in active markets for the same securities. As of December 31, 2018, the fair market value of the Company’s investment in Eton was $21,420.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Company’s financial instruments included cash and cash equivalents, restricted short-term investments, investment in Eton, accounts receivable, accounts payable and accrued expenses, accrued payroll and related liabilities, deferred revenue and customer deposits, deferred acquisition obligations, notes payable and capital leases. The carrying amount of these financial instruments, except for deferred acquisition obligations, notes payable and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notes payable and capital leases, approximate their respective fair values.</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Stock-Based Compensation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Company’s accounting policy for equity instruments issued to consultants and vendors in exchange for goods and services follows FASB guidance.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consolidated balance sheets.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Basic and Diluted Net Income (Loss) per Common Share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Basic and diluted net income (loss) per share is computed using the weighted average number of shares of common stock outstanding during the period. Common stock equivalents (using the treasury stock or “if converted” method) from deferred acquisition obligations, convertible note payable, stock options, unvested restricted stock units (“RSUs”) and warrants were 6,201,355 and 9,980,454 at December 31, 2018 and 2017, respectively, and, for the year ended December 31, 2017 are excluded from the calculation of diluted net (loss) per share for the period presented, because the effect is anti-dilutive for that time period. Included in the basic and diluted net income (loss) per share calculation were RSUs awarded to directors that had vested, but the issuance and delivery of the shares are deferred until the director resigns. The number of shares underlying vested RSUs at December 31, 2018 and 2017 was 236,693 and 137,067,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table shows the computation of basic net income (loss) per share of common stock for the years ended December 31, 2018 and 2017:</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223"/>
        <w:gridCol w:w="60"/>
        <w:gridCol w:w="207"/>
        <w:gridCol w:w="1637"/>
        <w:gridCol w:w="60"/>
        <w:gridCol w:w="60"/>
        <w:gridCol w:w="207"/>
        <w:gridCol w:w="1637"/>
        <w:gridCol w:w="114"/>
      </w:tblGrid>
      <w:tr>
        <w:trPr/>
        <w:tc>
          <w:tcPr>
            <w:tcW w:w="622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shd w:fill="auto" w:val="clear"/>
            <w:vAlign w:val="center"/>
          </w:tcPr>
          <w:p>
            <w:pPr>
              <w:pStyle w:val="TableContents"/>
              <w:spacing w:before="0" w:after="283"/>
              <w:jc w:val="center"/>
              <w:rPr/>
            </w:pPr>
            <w:r>
              <w:rPr/>
              <w:t>For the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shd w:fill="auto" w:val="clear"/>
            <w:vAlign w:val="center"/>
          </w:tcPr>
          <w:p>
            <w:pPr>
              <w:pStyle w:val="TableContents"/>
              <w:spacing w:before="0" w:after="283"/>
              <w:jc w:val="center"/>
              <w:rPr/>
            </w:pPr>
            <w:r>
              <w:rPr/>
              <w:t>For the</w:t>
            </w:r>
          </w:p>
        </w:tc>
        <w:tc>
          <w:tcPr>
            <w:tcW w:w="114" w:type="dxa"/>
            <w:tcBorders/>
            <w:shd w:fill="auto" w:val="clear"/>
            <w:vAlign w:val="center"/>
          </w:tcPr>
          <w:p>
            <w:pPr>
              <w:pStyle w:val="TableContents"/>
              <w:spacing w:before="0" w:after="283"/>
              <w:rPr/>
            </w:pPr>
            <w:r>
              <w:rPr/>
              <w:t> </w:t>
            </w:r>
          </w:p>
        </w:tc>
      </w:tr>
      <w:tr>
        <w:trPr/>
        <w:tc>
          <w:tcPr>
            <w:tcW w:w="622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shd w:fill="auto" w:val="clear"/>
            <w:vAlign w:val="center"/>
          </w:tcPr>
          <w:p>
            <w:pPr>
              <w:pStyle w:val="TableContents"/>
              <w:spacing w:before="0" w:after="283"/>
              <w:jc w:val="center"/>
              <w:rPr/>
            </w:pPr>
            <w:r>
              <w:rPr/>
              <w:t>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shd w:fill="auto" w:val="clear"/>
            <w:vAlign w:val="center"/>
          </w:tcPr>
          <w:p>
            <w:pPr>
              <w:pStyle w:val="TableContents"/>
              <w:spacing w:before="0" w:after="283"/>
              <w:jc w:val="center"/>
              <w:rPr/>
            </w:pPr>
            <w:r>
              <w:rPr/>
              <w:t>Year Ended</w:t>
            </w:r>
          </w:p>
        </w:tc>
        <w:tc>
          <w:tcPr>
            <w:tcW w:w="114" w:type="dxa"/>
            <w:tcBorders/>
            <w:shd w:fill="auto" w:val="clear"/>
            <w:vAlign w:val="center"/>
          </w:tcPr>
          <w:p>
            <w:pPr>
              <w:pStyle w:val="TableContents"/>
              <w:spacing w:before="0" w:after="283"/>
              <w:rPr/>
            </w:pPr>
            <w:r>
              <w:rPr/>
              <w:t> </w:t>
            </w:r>
          </w:p>
        </w:tc>
      </w:tr>
      <w:tr>
        <w:trPr/>
        <w:tc>
          <w:tcPr>
            <w:tcW w:w="622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30, 2017</w:t>
            </w:r>
          </w:p>
        </w:tc>
        <w:tc>
          <w:tcPr>
            <w:tcW w:w="114" w:type="dxa"/>
            <w:tcBorders/>
            <w:shd w:fill="auto" w:val="clear"/>
            <w:vAlign w:val="center"/>
          </w:tcPr>
          <w:p>
            <w:pPr>
              <w:pStyle w:val="TableContents"/>
              <w:spacing w:before="0" w:after="283"/>
              <w:rPr/>
            </w:pPr>
            <w:r>
              <w:rPr/>
              <w:t> </w:t>
            </w:r>
          </w:p>
        </w:tc>
      </w:tr>
      <w:tr>
        <w:trPr/>
        <w:tc>
          <w:tcPr>
            <w:tcW w:w="6223"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4" w:type="dxa"/>
            <w:gridSpan w:val="2"/>
            <w:tcBorders/>
            <w:shd w:fill="auto" w:val="cle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6223" w:type="dxa"/>
            <w:tcBorders/>
            <w:shd w:fill="CCEEFF" w:val="clear"/>
            <w:vAlign w:val="center"/>
          </w:tcPr>
          <w:p>
            <w:pPr>
              <w:pStyle w:val="TableContents"/>
              <w:spacing w:before="0" w:after="283"/>
              <w:jc w:val="left"/>
              <w:rPr/>
            </w:pPr>
            <w:r>
              <w:rPr/>
              <w:t>Numerator – net income (loss)</w:t>
            </w:r>
          </w:p>
        </w:tc>
        <w:tc>
          <w:tcPr>
            <w:tcW w:w="60" w:type="dxa"/>
            <w:tcBorders/>
            <w:shd w:fill="CCEEFF" w:val="clear"/>
            <w:vAlign w:val="center"/>
          </w:tcPr>
          <w:p>
            <w:pPr>
              <w:pStyle w:val="TableContents"/>
              <w:spacing w:before="0" w:after="283"/>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37" w:type="dxa"/>
            <w:tcBorders>
              <w:bottom w:val="double" w:sz="6" w:space="0" w:color="000000"/>
            </w:tcBorders>
            <w:shd w:fill="CCEEFF" w:val="clear"/>
            <w:tcMar>
              <w:bottom w:w="28" w:type="dxa"/>
            </w:tcMar>
            <w:vAlign w:val="center"/>
          </w:tcPr>
          <w:p>
            <w:pPr>
              <w:pStyle w:val="TableContents"/>
              <w:spacing w:before="0" w:after="283"/>
              <w:jc w:val="right"/>
              <w:rPr/>
            </w:pPr>
            <w:r>
              <w:rPr/>
              <w:t>14,625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37" w:type="dxa"/>
            <w:tcBorders>
              <w:bottom w:val="double" w:sz="6" w:space="0" w:color="000000"/>
            </w:tcBorders>
            <w:shd w:fill="CCEEFF" w:val="clear"/>
            <w:tcMar>
              <w:bottom w:w="28" w:type="dxa"/>
            </w:tcMar>
            <w:vAlign w:val="center"/>
          </w:tcPr>
          <w:p>
            <w:pPr>
              <w:pStyle w:val="TableContents"/>
              <w:spacing w:before="0" w:after="283"/>
              <w:jc w:val="right"/>
              <w:rPr/>
            </w:pPr>
            <w:r>
              <w:rPr/>
              <w:t>(11,985</w:t>
            </w:r>
          </w:p>
        </w:tc>
        <w:tc>
          <w:tcPr>
            <w:tcW w:w="114" w:type="dxa"/>
            <w:tcBorders/>
            <w:shd w:fill="CCEEFF" w:val="clear"/>
            <w:vAlign w:val="center"/>
          </w:tcPr>
          <w:p>
            <w:pPr>
              <w:pStyle w:val="TableContents"/>
              <w:spacing w:before="0" w:after="283"/>
              <w:jc w:val="left"/>
              <w:rPr/>
            </w:pPr>
            <w:r>
              <w:rPr/>
              <w:t>)</w:t>
            </w:r>
          </w:p>
        </w:tc>
      </w:tr>
      <w:tr>
        <w:trPr/>
        <w:tc>
          <w:tcPr>
            <w:tcW w:w="6223" w:type="dxa"/>
            <w:tcBorders/>
            <w:shd w:fill="FFFFFF" w:val="clear"/>
            <w:vAlign w:val="center"/>
          </w:tcPr>
          <w:p>
            <w:pPr>
              <w:pStyle w:val="TableContents"/>
              <w:spacing w:before="0" w:after="283"/>
              <w:rPr/>
            </w:pPr>
            <w:r>
              <w:rPr/>
              <w:t>Denominator – weighted average number of shares outstanding, basic</w:t>
            </w:r>
          </w:p>
        </w:tc>
        <w:tc>
          <w:tcPr>
            <w:tcW w:w="60" w:type="dxa"/>
            <w:tcBorders/>
            <w:shd w:fill="FFFFFF" w:val="clear"/>
            <w:vAlign w:val="center"/>
          </w:tcPr>
          <w:p>
            <w:pPr>
              <w:pStyle w:val="TableContents"/>
              <w:spacing w:before="0" w:after="283"/>
              <w:rPr/>
            </w:pPr>
            <w:r>
              <w:rPr/>
              <w:t> </w:t>
            </w:r>
            <w:r>
              <w:rPr/>
              <w:br/>
              <w:t> </w:t>
            </w:r>
          </w:p>
        </w:tc>
        <w:tc>
          <w:tcPr>
            <w:tcW w:w="207" w:type="dxa"/>
            <w:tcBorders>
              <w:bottom w:val="single" w:sz="12" w:space="0" w:color="000000"/>
            </w:tcBorders>
            <w:shd w:fill="FFFFFF" w:val="clear"/>
            <w:tcMar>
              <w:bottom w:w="28" w:type="dxa"/>
            </w:tcMar>
            <w:vAlign w:val="center"/>
          </w:tcPr>
          <w:p>
            <w:pPr>
              <w:pStyle w:val="TableContents"/>
              <w:spacing w:before="0" w:after="283"/>
              <w:jc w:val="left"/>
              <w:rPr/>
            </w:pPr>
            <w:r>
              <w:rPr/>
              <w:t> </w:t>
            </w:r>
            <w:r>
              <w:rPr/>
              <w:br/>
              <w:t> </w:t>
            </w:r>
          </w:p>
        </w:tc>
        <w:tc>
          <w:tcPr>
            <w:tcW w:w="1637" w:type="dxa"/>
            <w:tcBorders>
              <w:bottom w:val="single" w:sz="12" w:space="0" w:color="000000"/>
            </w:tcBorders>
            <w:shd w:fill="FFFFFF" w:val="clear"/>
            <w:tcMar>
              <w:bottom w:w="28" w:type="dxa"/>
            </w:tcMar>
            <w:vAlign w:val="center"/>
          </w:tcPr>
          <w:p>
            <w:pPr>
              <w:pStyle w:val="TableContents"/>
              <w:spacing w:before="0" w:after="283"/>
              <w:jc w:val="right"/>
              <w:rPr/>
            </w:pPr>
            <w:r>
              <w:rPr/>
              <w:t> </w:t>
            </w:r>
            <w:r>
              <w:rPr/>
              <w:br/>
              <w:t>21,917,570</w:t>
            </w:r>
          </w:p>
        </w:tc>
        <w:tc>
          <w:tcPr>
            <w:tcW w:w="60" w:type="dxa"/>
            <w:tcBorders/>
            <w:shd w:fill="FFFFFF" w:val="clear"/>
            <w:vAlign w:val="center"/>
          </w:tcPr>
          <w:p>
            <w:pPr>
              <w:pStyle w:val="TableContents"/>
              <w:spacing w:before="0" w:after="283"/>
              <w:jc w:val="left"/>
              <w:rPr/>
            </w:pPr>
            <w:r>
              <w:rPr/>
              <w:t> </w:t>
            </w:r>
            <w:r>
              <w:rPr/>
              <w:br/>
              <w:t> </w:t>
            </w:r>
          </w:p>
        </w:tc>
        <w:tc>
          <w:tcPr>
            <w:tcW w:w="60" w:type="dxa"/>
            <w:tcBorders/>
            <w:shd w:fill="FFFFFF" w:val="clear"/>
            <w:vAlign w:val="center"/>
          </w:tcPr>
          <w:p>
            <w:pPr>
              <w:pStyle w:val="TableContents"/>
              <w:spacing w:before="0" w:after="283"/>
              <w:rPr/>
            </w:pPr>
            <w:r>
              <w:rPr/>
              <w:t> </w:t>
            </w:r>
            <w:r>
              <w:rPr/>
              <w:br/>
              <w:t> </w:t>
            </w:r>
          </w:p>
        </w:tc>
        <w:tc>
          <w:tcPr>
            <w:tcW w:w="207" w:type="dxa"/>
            <w:tcBorders>
              <w:bottom w:val="single" w:sz="12" w:space="0" w:color="000000"/>
            </w:tcBorders>
            <w:shd w:fill="FFFFFF" w:val="clear"/>
            <w:tcMar>
              <w:bottom w:w="28" w:type="dxa"/>
            </w:tcMar>
            <w:vAlign w:val="center"/>
          </w:tcPr>
          <w:p>
            <w:pPr>
              <w:pStyle w:val="TableContents"/>
              <w:spacing w:before="0" w:after="283"/>
              <w:jc w:val="left"/>
              <w:rPr/>
            </w:pPr>
            <w:r>
              <w:rPr/>
              <w:t> </w:t>
            </w:r>
            <w:r>
              <w:rPr/>
              <w:br/>
              <w:t> </w:t>
            </w:r>
          </w:p>
        </w:tc>
        <w:tc>
          <w:tcPr>
            <w:tcW w:w="1637" w:type="dxa"/>
            <w:tcBorders>
              <w:bottom w:val="single" w:sz="12" w:space="0" w:color="000000"/>
            </w:tcBorders>
            <w:shd w:fill="FFFFFF" w:val="clear"/>
            <w:tcMar>
              <w:bottom w:w="28" w:type="dxa"/>
            </w:tcMar>
            <w:vAlign w:val="center"/>
          </w:tcPr>
          <w:p>
            <w:pPr>
              <w:pStyle w:val="TableContents"/>
              <w:spacing w:before="0" w:after="283"/>
              <w:jc w:val="right"/>
              <w:rPr/>
            </w:pPr>
            <w:r>
              <w:rPr/>
              <w:t> </w:t>
            </w:r>
            <w:r>
              <w:rPr/>
              <w:br/>
              <w:t>20,027,712</w:t>
            </w:r>
          </w:p>
        </w:tc>
        <w:tc>
          <w:tcPr>
            <w:tcW w:w="114" w:type="dxa"/>
            <w:tcBorders/>
            <w:shd w:fill="FFFFFF" w:val="clear"/>
            <w:vAlign w:val="center"/>
          </w:tcPr>
          <w:p>
            <w:pPr>
              <w:pStyle w:val="TableContents"/>
              <w:spacing w:before="0" w:after="283"/>
              <w:jc w:val="left"/>
              <w:rPr/>
            </w:pPr>
            <w:r>
              <w:rPr/>
              <w:t> </w:t>
            </w:r>
            <w:r>
              <w:rPr/>
              <w:br/>
              <w:t> </w:t>
            </w:r>
          </w:p>
        </w:tc>
      </w:tr>
      <w:tr>
        <w:trPr/>
        <w:tc>
          <w:tcPr>
            <w:tcW w:w="6223" w:type="dxa"/>
            <w:tcBorders/>
            <w:shd w:fill="CCEEFF" w:val="clear"/>
            <w:vAlign w:val="center"/>
          </w:tcPr>
          <w:p>
            <w:pPr>
              <w:pStyle w:val="TableContents"/>
              <w:spacing w:before="0" w:after="283"/>
              <w:jc w:val="left"/>
              <w:rPr>
                <w:b/>
              </w:rPr>
            </w:pPr>
            <w:r>
              <w:rPr>
                <w:b/>
              </w:rPr>
              <w:t>Net income (loss) per share, basic</w:t>
            </w:r>
          </w:p>
        </w:tc>
        <w:tc>
          <w:tcPr>
            <w:tcW w:w="60" w:type="dxa"/>
            <w:tcBorders/>
            <w:shd w:fill="CCEEFF" w:val="clear"/>
            <w:vAlign w:val="center"/>
          </w:tcPr>
          <w:p>
            <w:pPr>
              <w:pStyle w:val="TableContents"/>
              <w:spacing w:before="0" w:after="283"/>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37" w:type="dxa"/>
            <w:tcBorders>
              <w:bottom w:val="double" w:sz="6" w:space="0" w:color="000000"/>
            </w:tcBorders>
            <w:shd w:fill="CCEEFF" w:val="clear"/>
            <w:tcMar>
              <w:bottom w:w="28" w:type="dxa"/>
            </w:tcMar>
            <w:vAlign w:val="center"/>
          </w:tcPr>
          <w:p>
            <w:pPr>
              <w:pStyle w:val="TableContents"/>
              <w:spacing w:before="0" w:after="283"/>
              <w:jc w:val="right"/>
              <w:rPr/>
            </w:pPr>
            <w:r>
              <w:rPr/>
              <w:t>0.67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37" w:type="dxa"/>
            <w:tcBorders>
              <w:bottom w:val="double" w:sz="6" w:space="0" w:color="000000"/>
            </w:tcBorders>
            <w:shd w:fill="CCEEFF" w:val="clear"/>
            <w:tcMar>
              <w:bottom w:w="28" w:type="dxa"/>
            </w:tcMar>
            <w:vAlign w:val="center"/>
          </w:tcPr>
          <w:p>
            <w:pPr>
              <w:pStyle w:val="TableContents"/>
              <w:spacing w:before="0" w:after="283"/>
              <w:jc w:val="right"/>
              <w:rPr/>
            </w:pPr>
            <w:r>
              <w:rPr/>
              <w:t>(0.60</w:t>
            </w:r>
          </w:p>
        </w:tc>
        <w:tc>
          <w:tcPr>
            <w:tcW w:w="114" w:type="dxa"/>
            <w:tcBorders/>
            <w:shd w:fill="CCEEFF" w:val="cle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For the year end December 31, 2018, the Company computed diluted net income per share using the weighted-average number of common shares and dilutive common equivalent shares outstanding during that period. Diluted common equivalent shares for the year ended December 31, 2018, consisted of the following:</w:t>
      </w:r>
    </w:p>
    <w:p>
      <w:pPr>
        <w:pStyle w:val="TextBody"/>
        <w:jc w:val="both"/>
        <w:rPr>
          <w:caps w:val="false"/>
          <w:smallCaps w:val="false"/>
        </w:rPr>
      </w:pPr>
      <w:r>
        <w:rPr>
          <w:caps w:val="false"/>
          <w:smallCaps w:val="false"/>
        </w:rPr>
        <w:t> </w:t>
      </w:r>
    </w:p>
    <w:tbl>
      <w:tblPr>
        <w:tblW w:w="5394" w:type="dxa"/>
        <w:jc w:val="left"/>
        <w:tblInd w:w="0" w:type="dxa"/>
        <w:tblCellMar>
          <w:top w:w="0" w:type="dxa"/>
          <w:left w:w="0" w:type="dxa"/>
          <w:bottom w:w="0" w:type="dxa"/>
          <w:right w:w="0" w:type="dxa"/>
        </w:tblCellMar>
      </w:tblPr>
      <w:tblGrid>
        <w:gridCol w:w="3365"/>
        <w:gridCol w:w="60"/>
        <w:gridCol w:w="98"/>
        <w:gridCol w:w="1796"/>
        <w:gridCol w:w="75"/>
      </w:tblGrid>
      <w:tr>
        <w:trPr/>
        <w:tc>
          <w:tcPr>
            <w:tcW w:w="3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For the Year Ended</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283"/>
              <w:jc w:val="left"/>
              <w:rPr/>
            </w:pPr>
            <w:r>
              <w:rPr/>
              <w:t>Diluted shares related to:</w:t>
            </w:r>
          </w:p>
        </w:tc>
        <w:tc>
          <w:tcPr>
            <w:tcW w:w="6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jc w:val="left"/>
              <w:rPr/>
            </w:pPr>
            <w:r>
              <w:rPr/>
              <w:t> </w:t>
            </w:r>
          </w:p>
        </w:tc>
        <w:tc>
          <w:tcPr>
            <w:tcW w:w="1796" w:type="dxa"/>
            <w:tcBorders/>
            <w:shd w:fill="CCEEFF" w:val="clear"/>
            <w:vAlign w:val="center"/>
          </w:tcPr>
          <w:p>
            <w:pPr>
              <w:pStyle w:val="TableContents"/>
              <w:spacing w:before="0" w:after="283"/>
              <w:jc w:val="right"/>
              <w:rPr/>
            </w:pPr>
            <w:r>
              <w:rPr/>
              <w:t>21,917,570</w:t>
            </w:r>
          </w:p>
        </w:tc>
        <w:tc>
          <w:tcPr>
            <w:tcW w:w="75" w:type="dxa"/>
            <w:tcBorders/>
            <w:shd w:fill="CCEEFF" w:val="clear"/>
            <w:vAlign w:val="center"/>
          </w:tcPr>
          <w:p>
            <w:pPr>
              <w:pStyle w:val="TableContents"/>
              <w:spacing w:before="0" w:after="283"/>
              <w:jc w:val="left"/>
              <w:rPr/>
            </w:pPr>
            <w:r>
              <w:rPr/>
              <w:t> </w:t>
            </w:r>
          </w:p>
        </w:tc>
      </w:tr>
      <w:tr>
        <w:trPr/>
        <w:tc>
          <w:tcPr>
            <w:tcW w:w="3365" w:type="dxa"/>
            <w:tcBorders/>
            <w:shd w:fill="FFFFFF" w:val="clear"/>
            <w:vAlign w:val="center"/>
          </w:tcPr>
          <w:p>
            <w:pPr>
              <w:pStyle w:val="TableContents"/>
              <w:spacing w:before="0" w:after="283"/>
              <w:rPr/>
            </w:pPr>
            <w:r>
              <w:rPr/>
              <w:t>Warrants</w:t>
            </w:r>
          </w:p>
        </w:tc>
        <w:tc>
          <w:tcPr>
            <w:tcW w:w="60"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jc w:val="left"/>
              <w:rPr/>
            </w:pPr>
            <w:r>
              <w:rPr/>
              <w:t> </w:t>
            </w:r>
          </w:p>
        </w:tc>
        <w:tc>
          <w:tcPr>
            <w:tcW w:w="1796" w:type="dxa"/>
            <w:tcBorders/>
            <w:shd w:fill="FFFFFF" w:val="clear"/>
            <w:vAlign w:val="center"/>
          </w:tcPr>
          <w:p>
            <w:pPr>
              <w:pStyle w:val="TableContents"/>
              <w:spacing w:before="0" w:after="283"/>
              <w:jc w:val="right"/>
              <w:rPr/>
            </w:pPr>
            <w:r>
              <w:rPr/>
              <w:t>1,844,272</w:t>
            </w:r>
          </w:p>
        </w:tc>
        <w:tc>
          <w:tcPr>
            <w:tcW w:w="75" w:type="dxa"/>
            <w:tcBorders/>
            <w:shd w:fill="FFFFFF" w:val="clear"/>
            <w:vAlign w:val="center"/>
          </w:tcPr>
          <w:p>
            <w:pPr>
              <w:pStyle w:val="TableContents"/>
              <w:spacing w:before="0" w:after="283"/>
              <w:jc w:val="left"/>
              <w:rPr/>
            </w:pPr>
            <w:r>
              <w:rPr/>
              <w:t> </w:t>
            </w:r>
          </w:p>
        </w:tc>
      </w:tr>
      <w:tr>
        <w:trPr/>
        <w:tc>
          <w:tcPr>
            <w:tcW w:w="3365" w:type="dxa"/>
            <w:tcBorders/>
            <w:shd w:fill="CCEEFF" w:val="clear"/>
            <w:vAlign w:val="center"/>
          </w:tcPr>
          <w:p>
            <w:pPr>
              <w:pStyle w:val="TableContents"/>
              <w:spacing w:before="0" w:after="283"/>
              <w:jc w:val="left"/>
              <w:rPr/>
            </w:pPr>
            <w:r>
              <w:rPr/>
              <w:t>Restricted stock units</w:t>
            </w:r>
          </w:p>
        </w:tc>
        <w:tc>
          <w:tcPr>
            <w:tcW w:w="6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jc w:val="left"/>
              <w:rPr/>
            </w:pPr>
            <w:r>
              <w:rPr/>
              <w:t> </w:t>
            </w:r>
          </w:p>
        </w:tc>
        <w:tc>
          <w:tcPr>
            <w:tcW w:w="1796"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3365" w:type="dxa"/>
            <w:tcBorders/>
            <w:shd w:fill="FFFFFF" w:val="clear"/>
            <w:vAlign w:val="center"/>
          </w:tcPr>
          <w:p>
            <w:pPr>
              <w:pStyle w:val="TableContents"/>
              <w:spacing w:before="0" w:after="283"/>
              <w:jc w:val="left"/>
              <w:rPr/>
            </w:pPr>
            <w:r>
              <w:rPr/>
              <w:t>Stock options</w:t>
            </w:r>
          </w:p>
        </w:tc>
        <w:tc>
          <w:tcPr>
            <w:tcW w:w="60" w:type="dxa"/>
            <w:tcBorders/>
            <w:shd w:fill="FFFFFF" w:val="clear"/>
            <w:vAlign w:val="center"/>
          </w:tcPr>
          <w:p>
            <w:pPr>
              <w:pStyle w:val="TableContents"/>
              <w:spacing w:before="0" w:after="283"/>
              <w:rPr/>
            </w:pPr>
            <w:r>
              <w:rPr/>
              <w:t> </w:t>
            </w:r>
          </w:p>
        </w:tc>
        <w:tc>
          <w:tcPr>
            <w:tcW w:w="9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96" w:type="dxa"/>
            <w:tcBorders>
              <w:bottom w:val="single" w:sz="12" w:space="0" w:color="000000"/>
            </w:tcBorders>
            <w:shd w:fill="FFFFFF" w:val="clear"/>
            <w:tcMar>
              <w:bottom w:w="28" w:type="dxa"/>
            </w:tcMar>
            <w:vAlign w:val="center"/>
          </w:tcPr>
          <w:p>
            <w:pPr>
              <w:pStyle w:val="TableContents"/>
              <w:spacing w:before="0" w:after="283"/>
              <w:jc w:val="right"/>
              <w:rPr/>
            </w:pPr>
            <w:r>
              <w:rPr/>
              <w:t>50,203</w:t>
            </w:r>
          </w:p>
        </w:tc>
        <w:tc>
          <w:tcPr>
            <w:tcW w:w="75" w:type="dxa"/>
            <w:tcBorders/>
            <w:shd w:fill="FFFFFF" w:val="clear"/>
            <w:vAlign w:val="center"/>
          </w:tcPr>
          <w:p>
            <w:pPr>
              <w:pStyle w:val="TableContents"/>
              <w:spacing w:before="0" w:after="283"/>
              <w:jc w:val="left"/>
              <w:rPr/>
            </w:pPr>
            <w:r>
              <w:rPr/>
              <w:t> </w:t>
            </w:r>
          </w:p>
        </w:tc>
      </w:tr>
      <w:tr>
        <w:trPr/>
        <w:tc>
          <w:tcPr>
            <w:tcW w:w="3365" w:type="dxa"/>
            <w:tcBorders/>
            <w:shd w:fill="CCEEFF" w:val="clear"/>
            <w:vAlign w:val="center"/>
          </w:tcPr>
          <w:p>
            <w:pPr>
              <w:pStyle w:val="TableContents"/>
              <w:spacing w:before="0" w:after="283"/>
              <w:jc w:val="left"/>
              <w:rPr/>
            </w:pPr>
            <w:r>
              <w:rPr/>
              <w:t>Dilutive common equivalent shares</w:t>
            </w:r>
          </w:p>
        </w:tc>
        <w:tc>
          <w:tcPr>
            <w:tcW w:w="60" w:type="dxa"/>
            <w:tcBorders/>
            <w:shd w:fill="CCEEFF" w:val="clear"/>
            <w:vAlign w:val="center"/>
          </w:tcPr>
          <w:p>
            <w:pPr>
              <w:pStyle w:val="TableContents"/>
              <w:spacing w:before="0" w:after="283"/>
              <w:rPr/>
            </w:pPr>
            <w:r>
              <w:rPr/>
              <w:t> </w:t>
            </w:r>
          </w:p>
        </w:tc>
        <w:tc>
          <w:tcPr>
            <w:tcW w:w="9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96" w:type="dxa"/>
            <w:tcBorders>
              <w:bottom w:val="single" w:sz="12" w:space="0" w:color="000000"/>
            </w:tcBorders>
            <w:shd w:fill="CCEEFF" w:val="clear"/>
            <w:tcMar>
              <w:bottom w:w="28" w:type="dxa"/>
            </w:tcMar>
            <w:vAlign w:val="center"/>
          </w:tcPr>
          <w:p>
            <w:pPr>
              <w:pStyle w:val="TableContents"/>
              <w:spacing w:before="0" w:after="283"/>
              <w:jc w:val="right"/>
              <w:rPr/>
            </w:pPr>
            <w:r>
              <w:rPr/>
              <w:t>23,812,045</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table shows the computation of diluted net income (loss) per share using the weighted-average number of common shares and dilutive common equivalent shares outstanding for the years ended December 31, 2018 and 2017:</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389"/>
        <w:gridCol w:w="60"/>
        <w:gridCol w:w="198"/>
        <w:gridCol w:w="1564"/>
        <w:gridCol w:w="60"/>
        <w:gridCol w:w="60"/>
        <w:gridCol w:w="198"/>
        <w:gridCol w:w="1564"/>
        <w:gridCol w:w="112"/>
      </w:tblGrid>
      <w:tr>
        <w:trPr/>
        <w:tc>
          <w:tcPr>
            <w:tcW w:w="638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shd w:fill="auto" w:val="clear"/>
            <w:vAlign w:val="center"/>
          </w:tcPr>
          <w:p>
            <w:pPr>
              <w:pStyle w:val="TableContents"/>
              <w:spacing w:before="0" w:after="283"/>
              <w:jc w:val="center"/>
              <w:rPr/>
            </w:pPr>
            <w:r>
              <w:rPr/>
              <w:t>For the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shd w:fill="auto" w:val="clear"/>
            <w:vAlign w:val="center"/>
          </w:tcPr>
          <w:p>
            <w:pPr>
              <w:pStyle w:val="TableContents"/>
              <w:spacing w:before="0" w:after="283"/>
              <w:jc w:val="center"/>
              <w:rPr/>
            </w:pPr>
            <w:r>
              <w:rPr/>
              <w:t>For the</w:t>
            </w:r>
          </w:p>
        </w:tc>
        <w:tc>
          <w:tcPr>
            <w:tcW w:w="112" w:type="dxa"/>
            <w:tcBorders/>
            <w:shd w:fill="auto" w:val="clear"/>
            <w:vAlign w:val="center"/>
          </w:tcPr>
          <w:p>
            <w:pPr>
              <w:pStyle w:val="TableContents"/>
              <w:spacing w:before="0" w:after="283"/>
              <w:rPr/>
            </w:pPr>
            <w:r>
              <w:rPr/>
              <w:t> </w:t>
            </w:r>
          </w:p>
        </w:tc>
      </w:tr>
      <w:tr>
        <w:trPr/>
        <w:tc>
          <w:tcPr>
            <w:tcW w:w="638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shd w:fill="auto" w:val="clear"/>
            <w:vAlign w:val="center"/>
          </w:tcPr>
          <w:p>
            <w:pPr>
              <w:pStyle w:val="TableContents"/>
              <w:spacing w:before="0" w:after="283"/>
              <w:jc w:val="center"/>
              <w:rPr/>
            </w:pPr>
            <w:r>
              <w:rPr/>
              <w:t>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shd w:fill="auto" w:val="clear"/>
            <w:vAlign w:val="center"/>
          </w:tcPr>
          <w:p>
            <w:pPr>
              <w:pStyle w:val="TableContents"/>
              <w:spacing w:before="0" w:after="283"/>
              <w:jc w:val="center"/>
              <w:rPr/>
            </w:pPr>
            <w:r>
              <w:rPr/>
              <w:t>Year Ended</w:t>
            </w:r>
          </w:p>
        </w:tc>
        <w:tc>
          <w:tcPr>
            <w:tcW w:w="112" w:type="dxa"/>
            <w:tcBorders/>
            <w:shd w:fill="auto" w:val="clear"/>
            <w:vAlign w:val="center"/>
          </w:tcPr>
          <w:p>
            <w:pPr>
              <w:pStyle w:val="TableContents"/>
              <w:spacing w:before="0" w:after="283"/>
              <w:rPr/>
            </w:pPr>
            <w:r>
              <w:rPr/>
              <w:t> </w:t>
            </w:r>
          </w:p>
        </w:tc>
      </w:tr>
      <w:tr>
        <w:trPr/>
        <w:tc>
          <w:tcPr>
            <w:tcW w:w="638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30, 2017</w:t>
            </w:r>
          </w:p>
        </w:tc>
        <w:tc>
          <w:tcPr>
            <w:tcW w:w="112" w:type="dxa"/>
            <w:tcBorders/>
            <w:shd w:fill="auto" w:val="clear"/>
            <w:vAlign w:val="center"/>
          </w:tcPr>
          <w:p>
            <w:pPr>
              <w:pStyle w:val="TableContents"/>
              <w:spacing w:before="0" w:after="283"/>
              <w:rPr/>
            </w:pPr>
            <w:r>
              <w:rPr/>
              <w:t> </w:t>
            </w:r>
          </w:p>
        </w:tc>
      </w:tr>
      <w:tr>
        <w:trPr/>
        <w:tc>
          <w:tcPr>
            <w:tcW w:w="6389"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2" w:type="dxa"/>
            <w:gridSpan w:val="2"/>
            <w:tcBorders/>
            <w:shd w:fill="auto" w:val="cle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r>
      <w:tr>
        <w:trPr/>
        <w:tc>
          <w:tcPr>
            <w:tcW w:w="6389" w:type="dxa"/>
            <w:tcBorders/>
            <w:shd w:fill="CCEEFF" w:val="clear"/>
            <w:vAlign w:val="center"/>
          </w:tcPr>
          <w:p>
            <w:pPr>
              <w:pStyle w:val="TableContents"/>
              <w:spacing w:before="0" w:after="283"/>
              <w:jc w:val="left"/>
              <w:rPr/>
            </w:pPr>
            <w:r>
              <w:rPr/>
              <w:t>Numerator – net income (loss)</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spacing w:before="0" w:after="283"/>
              <w:jc w:val="right"/>
              <w:rPr/>
            </w:pPr>
            <w:r>
              <w:rPr/>
              <w:t>14,625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spacing w:before="0" w:after="283"/>
              <w:jc w:val="right"/>
              <w:rPr/>
            </w:pPr>
            <w:r>
              <w:rPr/>
              <w:t>(11,985</w:t>
            </w:r>
          </w:p>
        </w:tc>
        <w:tc>
          <w:tcPr>
            <w:tcW w:w="112" w:type="dxa"/>
            <w:tcBorders/>
            <w:shd w:fill="CCEEFF" w:val="clear"/>
            <w:vAlign w:val="center"/>
          </w:tcPr>
          <w:p>
            <w:pPr>
              <w:pStyle w:val="TableContents"/>
              <w:spacing w:before="0" w:after="283"/>
              <w:jc w:val="left"/>
              <w:rPr/>
            </w:pPr>
            <w:r>
              <w:rPr/>
              <w:t>)</w:t>
            </w:r>
          </w:p>
        </w:tc>
      </w:tr>
      <w:tr>
        <w:trPr/>
        <w:tc>
          <w:tcPr>
            <w:tcW w:w="6389" w:type="dxa"/>
            <w:tcBorders/>
            <w:shd w:fill="FFFFFF" w:val="clear"/>
            <w:vAlign w:val="center"/>
          </w:tcPr>
          <w:p>
            <w:pPr>
              <w:pStyle w:val="TableContents"/>
              <w:spacing w:before="0" w:after="283"/>
              <w:rPr/>
            </w:pPr>
            <w:r>
              <w:rPr/>
              <w:t>Weighted average number of shares outstanding, basic</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564" w:type="dxa"/>
            <w:tcBorders/>
            <w:shd w:fill="FFFFFF" w:val="clear"/>
            <w:vAlign w:val="center"/>
          </w:tcPr>
          <w:p>
            <w:pPr>
              <w:pStyle w:val="TableContents"/>
              <w:spacing w:before="0" w:after="283"/>
              <w:jc w:val="right"/>
              <w:rPr/>
            </w:pPr>
            <w:r>
              <w:rPr/>
              <w:t>21,917,570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1564" w:type="dxa"/>
            <w:tcBorders/>
            <w:shd w:fill="FFFFFF" w:val="clear"/>
            <w:vAlign w:val="center"/>
          </w:tcPr>
          <w:p>
            <w:pPr>
              <w:pStyle w:val="TableContents"/>
              <w:spacing w:before="0" w:after="283"/>
              <w:jc w:val="right"/>
              <w:rPr/>
            </w:pPr>
            <w:r>
              <w:rPr/>
              <w:t>20,027,712</w:t>
            </w:r>
          </w:p>
        </w:tc>
        <w:tc>
          <w:tcPr>
            <w:tcW w:w="112" w:type="dxa"/>
            <w:tcBorders/>
            <w:shd w:fill="FFFFFF" w:val="clear"/>
            <w:vAlign w:val="center"/>
          </w:tcPr>
          <w:p>
            <w:pPr>
              <w:pStyle w:val="TableContents"/>
              <w:spacing w:before="0" w:after="283"/>
              <w:jc w:val="left"/>
              <w:rPr/>
            </w:pPr>
            <w:r>
              <w:rPr/>
              <w:t> </w:t>
            </w:r>
          </w:p>
        </w:tc>
      </w:tr>
      <w:tr>
        <w:trPr/>
        <w:tc>
          <w:tcPr>
            <w:tcW w:w="6389" w:type="dxa"/>
            <w:tcBorders/>
            <w:shd w:fill="CCEEFF" w:val="clear"/>
            <w:vAlign w:val="center"/>
          </w:tcPr>
          <w:p>
            <w:pPr>
              <w:pStyle w:val="TableContents"/>
              <w:spacing w:before="0" w:after="283"/>
              <w:jc w:val="left"/>
              <w:rPr/>
            </w:pPr>
            <w:r>
              <w:rPr/>
              <w:t>Dilutive common equivalents</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64" w:type="dxa"/>
            <w:tcBorders>
              <w:bottom w:val="single" w:sz="12" w:space="0" w:color="000000"/>
            </w:tcBorders>
            <w:shd w:fill="CCEEFF" w:val="clear"/>
            <w:tcMar>
              <w:bottom w:w="28" w:type="dxa"/>
            </w:tcMar>
            <w:vAlign w:val="center"/>
          </w:tcPr>
          <w:p>
            <w:pPr>
              <w:pStyle w:val="TableContents"/>
              <w:spacing w:before="0" w:after="283"/>
              <w:jc w:val="right"/>
              <w:rPr/>
            </w:pPr>
            <w:r>
              <w:rPr/>
              <w:t>1,894,475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64"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2" w:type="dxa"/>
            <w:tcBorders/>
            <w:shd w:fill="CCEEFF" w:val="clear"/>
            <w:vAlign w:val="center"/>
          </w:tcPr>
          <w:p>
            <w:pPr>
              <w:pStyle w:val="TableContents"/>
              <w:spacing w:before="0" w:after="283"/>
              <w:jc w:val="left"/>
              <w:rPr/>
            </w:pPr>
            <w:r>
              <w:rPr/>
              <w:t> </w:t>
            </w:r>
          </w:p>
        </w:tc>
      </w:tr>
      <w:tr>
        <w:trPr/>
        <w:tc>
          <w:tcPr>
            <w:tcW w:w="6389" w:type="dxa"/>
            <w:tcBorders/>
            <w:shd w:fill="FFFFFF" w:val="clear"/>
            <w:vAlign w:val="center"/>
          </w:tcPr>
          <w:p>
            <w:pPr>
              <w:pStyle w:val="TableContents"/>
              <w:spacing w:before="0" w:after="283"/>
              <w:jc w:val="left"/>
              <w:rPr/>
            </w:pPr>
            <w:r>
              <w:rPr/>
              <w:t>Denominator – number of shares used for diluted earnings per share computation</w:t>
            </w:r>
          </w:p>
        </w:tc>
        <w:tc>
          <w:tcPr>
            <w:tcW w:w="60" w:type="dxa"/>
            <w:tcBorders/>
            <w:shd w:fill="FFFFFF" w:val="clear"/>
            <w:vAlign w:val="center"/>
          </w:tcPr>
          <w:p>
            <w:pPr>
              <w:pStyle w:val="TableContents"/>
              <w:spacing w:before="0" w:after="283"/>
              <w:rPr/>
            </w:pPr>
            <w:r>
              <w:rPr/>
              <w:t> </w:t>
            </w:r>
          </w:p>
        </w:tc>
        <w:tc>
          <w:tcPr>
            <w:tcW w:w="19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64" w:type="dxa"/>
            <w:tcBorders>
              <w:bottom w:val="single" w:sz="12" w:space="0" w:color="000000"/>
            </w:tcBorders>
            <w:shd w:fill="FFFFFF" w:val="clear"/>
            <w:tcMar>
              <w:bottom w:w="28" w:type="dxa"/>
            </w:tcMar>
            <w:vAlign w:val="center"/>
          </w:tcPr>
          <w:p>
            <w:pPr>
              <w:pStyle w:val="TableContents"/>
              <w:spacing w:before="0" w:after="283"/>
              <w:jc w:val="right"/>
              <w:rPr/>
            </w:pPr>
            <w:r>
              <w:rPr/>
              <w:t>23,812,045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64" w:type="dxa"/>
            <w:tcBorders>
              <w:bottom w:val="single" w:sz="12" w:space="0" w:color="000000"/>
            </w:tcBorders>
            <w:shd w:fill="FFFFFF" w:val="clear"/>
            <w:tcMar>
              <w:bottom w:w="28" w:type="dxa"/>
            </w:tcMar>
            <w:vAlign w:val="center"/>
          </w:tcPr>
          <w:p>
            <w:pPr>
              <w:pStyle w:val="TableContents"/>
              <w:spacing w:before="0" w:after="283"/>
              <w:jc w:val="right"/>
              <w:rPr/>
            </w:pPr>
            <w:r>
              <w:rPr/>
              <w:t>20,027,712</w:t>
            </w:r>
          </w:p>
        </w:tc>
        <w:tc>
          <w:tcPr>
            <w:tcW w:w="112" w:type="dxa"/>
            <w:tcBorders/>
            <w:shd w:fill="FFFFFF" w:val="clear"/>
            <w:vAlign w:val="center"/>
          </w:tcPr>
          <w:p>
            <w:pPr>
              <w:pStyle w:val="TableContents"/>
              <w:spacing w:before="0" w:after="283"/>
              <w:jc w:val="left"/>
              <w:rPr/>
            </w:pPr>
            <w:r>
              <w:rPr/>
              <w:t> </w:t>
            </w:r>
          </w:p>
        </w:tc>
      </w:tr>
      <w:tr>
        <w:trPr/>
        <w:tc>
          <w:tcPr>
            <w:tcW w:w="6389" w:type="dxa"/>
            <w:tcBorders/>
            <w:shd w:fill="CCEEFF" w:val="clear"/>
            <w:vAlign w:val="center"/>
          </w:tcPr>
          <w:p>
            <w:pPr>
              <w:pStyle w:val="TableContents"/>
              <w:spacing w:before="0" w:after="283"/>
              <w:jc w:val="left"/>
              <w:rPr>
                <w:b/>
              </w:rPr>
            </w:pPr>
            <w:r>
              <w:rPr>
                <w:b/>
              </w:rPr>
              <w:t>Net income (loss) per share, diluted</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spacing w:before="0" w:after="283"/>
              <w:jc w:val="right"/>
              <w:rPr/>
            </w:pPr>
            <w:r>
              <w:rPr/>
              <w:t>0.61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spacing w:before="0" w:after="283"/>
              <w:jc w:val="right"/>
              <w:rPr/>
            </w:pPr>
            <w:r>
              <w:rPr/>
              <w:t>(0.60</w:t>
            </w:r>
          </w:p>
        </w:tc>
        <w:tc>
          <w:tcPr>
            <w:tcW w:w="112" w:type="dxa"/>
            <w:tcBorders/>
            <w:shd w:fill="CCEEFF" w:val="cle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Reclassification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Certain amounts in the 2017 consolidated financial statements have been reclassified to conform to the classifications used to prepare the 2018 consolidated financial statements. These reclassifications had no material impact on the Company’s financial position, results of operations, or cash flow as previously reported.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Recently Adopted Accounting Pronouncements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May 2014, the FASB issued ASU 2014-09, </w:t>
      </w:r>
      <w:r>
        <w:rPr>
          <w:rFonts w:ascii="Times New Roman;Times;Serif" w:hAnsi="Times New Roman;Times;Serif"/>
          <w:b w:val="false"/>
          <w:i/>
          <w:caps w:val="false"/>
          <w:smallCaps w:val="false"/>
          <w:sz w:val="17"/>
        </w:rPr>
        <w:t>Revenue from Contracts with Customers</w:t>
      </w:r>
      <w:r>
        <w:rPr>
          <w:rFonts w:ascii="Times New Roman;Times;Serif" w:hAnsi="Times New Roman;Times;Serif"/>
          <w:b w:val="false"/>
          <w:i w:val="false"/>
          <w:caps w:val="false"/>
          <w:smallCaps w:val="false"/>
          <w:sz w:val="17"/>
        </w:rPr>
        <w:t xml:space="preserve"> and has subsequently issued several amendments to ASU 2014-09.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standard’s stated core principle is that an entity should recognize revenue to depict the transfer of promised goods or services to customers in an amount that reflects the consideration to which the entity expects to be entitled in exchange for those goods or services. To achieve this core principle, ASU 2014-09 includes provisions within its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In addition, the standard requires disclosure of the nature, amount, timing, and uncertainty of revenue and cash flows arising from contracts with customers.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new standard became effective for the Company beginning January 1, 2018 and permits two methods of adoption: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adopted the standard using the modified retrospective method. There was no effect for any adjustments to retained earnings upon adoption of the standard on January 1, 2018. Adoption of the new standard resulted in additional revenue-related disclosures in the footnotes to the Company’s consolidated financial statements (see Note 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7"/>
          <w:highlight w:val="white"/>
        </w:rPr>
        <w:t>In January 2016, the FASB issued ASU 2016-01 , which requires that investments in equity securities (excluding equity method investments) be measured at fair value with changes in fair value recognized in net earnings. Under previous guidelines, changes in fair value of available-for-sale equity securities are recorded in other comprehensive income. The Company adopted ASU 2016-01 as of January 1, 2018. As of that date, a</w:t>
      </w:r>
      <w:r>
        <w:rPr>
          <w:rFonts w:ascii="Times New Roman;Times;Serif" w:hAnsi="Times New Roman;Times;Serif"/>
          <w:b w:val="false"/>
          <w:i w:val="false"/>
          <w:caps w:val="false"/>
          <w:smallCaps w:val="false"/>
          <w:sz w:val="17"/>
        </w:rPr>
        <w:t xml:space="preserve">doption of the standard did not have an effect on the Company’s financial position, results of operations and cash flows because </w:t>
      </w:r>
      <w:r>
        <w:rPr>
          <w:rFonts w:ascii="Times New Roman;Times;Serif" w:hAnsi="Times New Roman;Times;Serif"/>
          <w:b w:val="false"/>
          <w:i w:val="false"/>
          <w:caps w:val="false"/>
          <w:smallCaps w:val="false"/>
          <w:sz w:val="17"/>
          <w:highlight w:val="white"/>
        </w:rPr>
        <w:t>the Company did not have any investments in equity securities (at January 1, 2018) that were not equity method investments.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January 2017, the FASB issued ASU 2017-01, </w:t>
      </w:r>
      <w:r>
        <w:rPr>
          <w:rFonts w:ascii="Times New Roman;Times;Serif" w:hAnsi="Times New Roman;Times;Serif"/>
          <w:b w:val="false"/>
          <w:i/>
          <w:caps w:val="false"/>
          <w:smallCaps w:val="false"/>
          <w:sz w:val="17"/>
        </w:rPr>
        <w:t>Business Combinations, Clarifying the Definition of a Business</w:t>
      </w:r>
      <w:r>
        <w:rPr>
          <w:rFonts w:ascii="Times New Roman;Times;Serif" w:hAnsi="Times New Roman;Times;Serif"/>
          <w:b w:val="false"/>
          <w:i w:val="false"/>
          <w:caps w:val="false"/>
          <w:smallCaps w:val="false"/>
          <w:sz w:val="17"/>
        </w:rPr>
        <w:t>, which revises the definition of a business and provides new guidance in evaluating when a set of transferred assets and activities is a business. The Company adopted the standard on January 1, 2018. Adoption of the standard did not have an impact on the Company’s financial position, results of operations and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August 2016, the FASB issued ASU 2016-18, </w:t>
      </w:r>
      <w:r>
        <w:rPr>
          <w:rFonts w:ascii="Times New Roman;Times;Serif" w:hAnsi="Times New Roman;Times;Serif"/>
          <w:b w:val="false"/>
          <w:i/>
          <w:caps w:val="false"/>
          <w:smallCaps w:val="false"/>
          <w:sz w:val="17"/>
        </w:rPr>
        <w:t>Statement of Cash Flows: Classification Restricted Cash</w:t>
      </w:r>
      <w:r>
        <w:rPr>
          <w:rFonts w:ascii="Times New Roman;Times;Serif" w:hAnsi="Times New Roman;Times;Serif"/>
          <w:b w:val="false"/>
          <w:i w:val="false"/>
          <w:caps w:val="false"/>
          <w:smallCaps w:val="false"/>
          <w:sz w:val="17"/>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Company adopted the standard on January 1, 2018 by using the retrospective transition method. Adoption of the standard effected the presentation of cash equivalents in Company’s consolidated statements of cash flows and related disclosures, restricted cash of $200 has been reclassified within that financial statement for the periods presented as a cash equivalent.</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May 2017, the FASB issued ASU 2017-09, </w:t>
      </w:r>
      <w:r>
        <w:rPr>
          <w:rFonts w:ascii="Times New Roman;Times;Serif" w:hAnsi="Times New Roman;Times;Serif"/>
          <w:b w:val="false"/>
          <w:i/>
          <w:caps w:val="false"/>
          <w:smallCaps w:val="false"/>
          <w:sz w:val="17"/>
        </w:rPr>
        <w:t>Compensation - Stock Compensation: Scope of Modification Accounting</w:t>
      </w:r>
      <w:r>
        <w:rPr>
          <w:rFonts w:ascii="Times New Roman;Times;Serif" w:hAnsi="Times New Roman;Times;Serif"/>
          <w:b w:val="false"/>
          <w:i w:val="false"/>
          <w:caps w:val="false"/>
          <w:smallCaps w:val="false"/>
          <w:sz w:val="17"/>
        </w:rPr>
        <w:t>.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this standard on January 1, 2018. Adoption of the standard did not have an effect on the Company’s financial position, results of operations and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June 2018, the FASB issued ASU 2018-07, </w:t>
      </w:r>
      <w:r>
        <w:rPr>
          <w:rFonts w:ascii="Times New Roman;Times;Serif" w:hAnsi="Times New Roman;Times;Serif"/>
          <w:b w:val="false"/>
          <w:i/>
          <w:caps w:val="false"/>
          <w:smallCaps w:val="false"/>
          <w:sz w:val="17"/>
        </w:rPr>
        <w:t>Compensation – Stock Compensation: Improvements to Nonemployee Share-Based Payment Accounting</w:t>
      </w:r>
      <w:r>
        <w:rPr>
          <w:rFonts w:ascii="Times New Roman;Times;Serif" w:hAnsi="Times New Roman;Times;Serif"/>
          <w:b w:val="false"/>
          <w:i w:val="false"/>
          <w:caps w:val="false"/>
          <w:smallCaps w:val="false"/>
          <w:sz w:val="17"/>
        </w:rPr>
        <w:t xml:space="preserve"> which simplifies several aspects of the accounting for nonemployee share-based payment transactions resulting from expanding the scope of Topic 718, Compensation-Stock Compensation, to include share-based payment transactions for acquiring goods and services from nonemployees. Some of the areas for simplification apply only to nonpublic entities.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in this Update are effective for public business entities for fiscal years beginning after December 15, 2018, including interim periods within that fiscal year. Early adoption is permitted. The Company adopted this standard on July 1, 2018. Adoption of the standard did not have an effect on the Company’s financial position, results of operations and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Recently Issued Accounting Pronouncements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February 2016, the FASB issued new lease accounting guidance in ASU No. 2016-02, </w:t>
      </w:r>
      <w:r>
        <w:rPr>
          <w:rFonts w:ascii="Times New Roman;Times;Serif" w:hAnsi="Times New Roman;Times;Serif"/>
          <w:b w:val="false"/>
          <w:i/>
          <w:caps w:val="false"/>
          <w:smallCaps w:val="false"/>
          <w:sz w:val="17"/>
        </w:rPr>
        <w:t>Leases</w:t>
      </w:r>
      <w:r>
        <w:rPr>
          <w:rFonts w:ascii="Times New Roman;Times;Serif" w:hAnsi="Times New Roman;Times;Serif"/>
          <w:b w:val="false"/>
          <w:i w:val="false"/>
          <w:caps w:val="false"/>
          <w:smallCaps w:val="false"/>
          <w:sz w:val="17"/>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will take effect for public companies in fiscal years beginning after December 15, 2018, including interim periods within those fiscal years. Early adoption is permitted and for leases existing at, or entered into after, the beginning of the earliest comparative period presented in the financial statements, lessees and lessors must apply a modified retrospective transition approach. During the year ended December 31, 2017, the Company evaluated this new accounting standard and engaged professionals in the new lease accounting implementation to assist in determining the effect of the new standard as of January 1, 2018 with respect to the Company’s real estate leases. The Company currently has three real estate leases and evaluated each of these leases in accordance with the new lease accounting standard under ASC Topic 842. As of December 31, 2018, the Company estimates that the right of use asset to be recorded on its consolidated balance sheet would be approximately $2,106 and that the related lease liability would be approximately $2,624 related to operating leases. The difference between the right of use asset and related lease liability is predominantly deferred rent and other related lease expenses under the new lease accounting standard. The Company will continue this effort with respect to equipment leases and any other leases contemplated under Topic 842 in a manner to be appropriately prepared for its implementation on January 1, 2019.</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January 2017, the FASB issued ASU 2017-04, </w:t>
      </w:r>
      <w:r>
        <w:rPr>
          <w:rFonts w:ascii="Times New Roman;Times;Serif" w:hAnsi="Times New Roman;Times;Serif"/>
          <w:b w:val="false"/>
          <w:i/>
          <w:caps w:val="false"/>
          <w:smallCaps w:val="false"/>
          <w:sz w:val="17"/>
        </w:rPr>
        <w:t>Intangibles-Goodwill and Other</w:t>
      </w:r>
      <w:r>
        <w:rPr>
          <w:rFonts w:ascii="Times New Roman;Times;Serif" w:hAnsi="Times New Roman;Times;Serif"/>
          <w:b w:val="false"/>
          <w:i w:val="false"/>
          <w:caps w:val="false"/>
          <w:smallCaps w:val="false"/>
          <w:sz w:val="17"/>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3. REVENUES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January 1, 2018, the Company adopted ASU 2014-09, using the modified retrospective transition method. There was no effect for any adjustments to retained earnings upon adoption of the standard on January 1, 2018. The Company has two primary streams of revenue: (1) revenue recognized from our sale of products within our pharmacy services and (2) revenue recognized from intellectual property license and asset purchase agreements.</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Product Revenues from Pharmacy Services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sells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ASU 2014-09, we have identified the following:</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Identify the contract(s) with a customer: A contract exists with a customer at the time the prescription or order is received by the Company.</w:t>
            </w:r>
          </w:p>
        </w:tc>
      </w:tr>
      <w:tr>
        <w:trPr/>
        <w:tc>
          <w:tcPr>
            <w:tcW w:w="148" w:type="dxa"/>
            <w:tcBorders/>
            <w:shd w:fill="auto" w:val="clear"/>
            <w:vAlign w:val="center"/>
          </w:tcPr>
          <w:p>
            <w:pPr>
              <w:pStyle w:val="TableContents"/>
              <w:spacing w:before="0" w:after="283"/>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tc>
      </w:tr>
      <w:tr>
        <w:trPr/>
        <w:tc>
          <w:tcPr>
            <w:tcW w:w="148" w:type="dxa"/>
            <w:tcBorders/>
            <w:shd w:fill="auto" w:val="clear"/>
            <w:vAlign w:val="center"/>
          </w:tcPr>
          <w:p>
            <w:pPr>
              <w:pStyle w:val="TableContents"/>
              <w:spacing w:before="0" w:after="283"/>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Determine the transaction price: the transaction price is based on the product being sold to the customer, and any related customer discounts. These amounts are pre-determined and built into our order management software.</w:t>
            </w:r>
          </w:p>
        </w:tc>
      </w:tr>
      <w:tr>
        <w:trPr/>
        <w:tc>
          <w:tcPr>
            <w:tcW w:w="148" w:type="dxa"/>
            <w:tcBorders/>
            <w:shd w:fill="auto" w:val="clear"/>
            <w:vAlign w:val="center"/>
          </w:tcPr>
          <w:p>
            <w:pPr>
              <w:pStyle w:val="TableContents"/>
              <w:spacing w:before="0" w:after="283"/>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Allocate the transaction price to the performance obligations in the contract: The transaction price associated with the product(s) being ordered is allocated according to the pre-determined amounts.</w:t>
            </w:r>
          </w:p>
        </w:tc>
      </w:tr>
      <w:tr>
        <w:trPr/>
        <w:tc>
          <w:tcPr>
            <w:tcW w:w="148" w:type="dxa"/>
            <w:tcBorders/>
            <w:shd w:fill="auto" w:val="clear"/>
            <w:vAlign w:val="center"/>
          </w:tcPr>
          <w:p>
            <w:pPr>
              <w:pStyle w:val="TableContents"/>
              <w:spacing w:before="0" w:after="283"/>
              <w:rPr>
                <w:caps w:val="false"/>
                <w:smallCaps w:val="false"/>
              </w:rPr>
            </w:pPr>
            <w:r>
              <w:rPr>
                <w:caps w:val="false"/>
                <w:smallCaps w:val="false"/>
              </w:rPr>
              <w:t> </w:t>
            </w:r>
          </w:p>
        </w:tc>
        <w:tc>
          <w:tcPr>
            <w:tcW w:w="10057"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5.</w:t>
            </w:r>
          </w:p>
        </w:tc>
        <w:tc>
          <w:tcPr>
            <w:tcW w:w="1005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Recognize revenue when (or as) the entity satisfies a performance obligation: At the time of shipment from the pharmacy or outsourcing facility the performance obligation has been met.</w:t>
            </w:r>
          </w:p>
        </w:tc>
      </w:tr>
    </w:tbl>
    <w:p>
      <w:pPr>
        <w:pStyle w:val="TextBody"/>
        <w:ind w:left="108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revenue recognition policy has been established for the pharmacy services division:</w:t>
      </w:r>
    </w:p>
    <w:p>
      <w:pPr>
        <w:pStyle w:val="TextBody"/>
        <w:jc w:val="both"/>
        <w:rPr>
          <w:caps w:val="false"/>
          <w:smallCaps w:val="false"/>
        </w:rPr>
      </w:pPr>
      <w:r>
        <w:rPr>
          <w:caps w:val="false"/>
          <w:smallCaps w:val="false"/>
        </w:rPr>
        <w:t> </w:t>
      </w:r>
    </w:p>
    <w:p>
      <w:pPr>
        <w:pStyle w:val="TextBody"/>
        <w:ind w:left="720" w:right="0" w:hanging="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pStyle w:val="TextBody"/>
        <w:ind w:left="72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Intellectual Property License Revenues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currently holds five intellectual property license and related agreements in which the Company has promised to grant a license or sale which provides a customer with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Revenue disaggregated by revenue source for the year ended December 31, 2018 and 2017, consists of the following:</w:t>
      </w:r>
    </w:p>
    <w:p>
      <w:pPr>
        <w:pStyle w:val="TextBody"/>
        <w:jc w:val="both"/>
        <w:rPr>
          <w:caps w:val="false"/>
          <w:smallCaps w:val="false"/>
        </w:rPr>
      </w:pPr>
      <w:r>
        <w:rPr>
          <w:caps w:val="false"/>
          <w:smallCaps w:val="false"/>
        </w:rPr>
        <w:t> </w:t>
      </w:r>
    </w:p>
    <w:tbl>
      <w:tblPr>
        <w:tblW w:w="4107" w:type="dxa"/>
        <w:jc w:val="left"/>
        <w:tblInd w:w="0" w:type="dxa"/>
        <w:tblCellMar>
          <w:top w:w="0" w:type="dxa"/>
          <w:left w:w="0" w:type="dxa"/>
          <w:bottom w:w="0" w:type="dxa"/>
          <w:right w:w="0" w:type="dxa"/>
        </w:tblCellMar>
      </w:tblPr>
      <w:tblGrid>
        <w:gridCol w:w="1820"/>
        <w:gridCol w:w="60"/>
        <w:gridCol w:w="155"/>
        <w:gridCol w:w="755"/>
        <w:gridCol w:w="66"/>
        <w:gridCol w:w="66"/>
        <w:gridCol w:w="155"/>
        <w:gridCol w:w="755"/>
        <w:gridCol w:w="275"/>
      </w:tblGrid>
      <w:tr>
        <w:trPr/>
        <w:tc>
          <w:tcPr>
            <w:tcW w:w="18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2" w:type="dxa"/>
            <w:gridSpan w:val="6"/>
            <w:tcBorders/>
            <w:shd w:fill="auto" w:val="clear"/>
            <w:vAlign w:val="center"/>
          </w:tcPr>
          <w:p>
            <w:pPr>
              <w:pStyle w:val="TableContents"/>
              <w:spacing w:before="0" w:after="283"/>
              <w:jc w:val="center"/>
              <w:rPr>
                <w:b/>
              </w:rPr>
            </w:pPr>
            <w:r>
              <w:rPr>
                <w:b/>
              </w:rPr>
              <w:t>For the year ended</w:t>
            </w:r>
          </w:p>
        </w:tc>
        <w:tc>
          <w:tcPr>
            <w:tcW w:w="275"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2"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275"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2018</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275"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283"/>
              <w:jc w:val="left"/>
              <w:rPr>
                <w:b/>
              </w:rPr>
            </w:pPr>
            <w:r>
              <w:rPr>
                <w:b/>
              </w:rPr>
              <w:t>Product sales, net</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41,334</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26,684</w:t>
            </w:r>
          </w:p>
        </w:tc>
        <w:tc>
          <w:tcPr>
            <w:tcW w:w="275" w:type="dxa"/>
            <w:tcBorders/>
            <w:shd w:fill="CCEEFF" w:val="clear"/>
            <w:vAlign w:val="center"/>
          </w:tcPr>
          <w:p>
            <w:pPr>
              <w:pStyle w:val="TableContents"/>
              <w:spacing w:before="0" w:after="283"/>
              <w:jc w:val="left"/>
              <w:rPr/>
            </w:pPr>
            <w:r>
              <w:rPr/>
              <w:t> </w:t>
            </w:r>
          </w:p>
        </w:tc>
      </w:tr>
      <w:tr>
        <w:trPr/>
        <w:tc>
          <w:tcPr>
            <w:tcW w:w="1820" w:type="dxa"/>
            <w:tcBorders/>
            <w:shd w:fill="FFFFFF" w:val="clear"/>
            <w:vAlign w:val="center"/>
          </w:tcPr>
          <w:p>
            <w:pPr>
              <w:pStyle w:val="TableContents"/>
              <w:spacing w:before="0" w:after="283"/>
              <w:jc w:val="left"/>
              <w:rPr>
                <w:b/>
              </w:rPr>
            </w:pPr>
            <w:r>
              <w:rPr>
                <w:b/>
              </w:rPr>
              <w:t>License revenues</w:t>
            </w:r>
          </w:p>
        </w:tc>
        <w:tc>
          <w:tcPr>
            <w:tcW w:w="60" w:type="dxa"/>
            <w:tcBorders/>
            <w:shd w:fill="FFFFFF" w:val="clear"/>
            <w:vAlign w:val="center"/>
          </w:tcPr>
          <w:p>
            <w:pPr>
              <w:pStyle w:val="TableContents"/>
              <w:spacing w:before="0" w:after="283"/>
              <w:rPr/>
            </w:pPr>
            <w:r>
              <w:rPr/>
              <w:t> </w:t>
            </w:r>
          </w:p>
        </w:tc>
        <w:tc>
          <w:tcPr>
            <w:tcW w:w="15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38</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90</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1820" w:type="dxa"/>
            <w:tcBorders/>
            <w:shd w:fill="CCEEFF" w:val="clear"/>
            <w:vAlign w:val="center"/>
          </w:tcPr>
          <w:p>
            <w:pPr>
              <w:pStyle w:val="TableContents"/>
              <w:spacing w:before="0" w:after="283"/>
              <w:jc w:val="left"/>
              <w:rPr>
                <w:b/>
              </w:rPr>
            </w:pPr>
            <w:r>
              <w:rPr>
                <w:b/>
              </w:rPr>
              <w:t>Total revenues</w:t>
            </w:r>
          </w:p>
        </w:tc>
        <w:tc>
          <w:tcPr>
            <w:tcW w:w="60" w:type="dxa"/>
            <w:tcBorders/>
            <w:shd w:fill="CCEEFF" w:val="clear"/>
            <w:vAlign w:val="center"/>
          </w:tcPr>
          <w:p>
            <w:pPr>
              <w:pStyle w:val="TableContents"/>
              <w:spacing w:before="0" w:after="283"/>
              <w:rPr/>
            </w:pPr>
            <w:r>
              <w:rPr/>
              <w:t> </w:t>
            </w:r>
          </w:p>
        </w:tc>
        <w:tc>
          <w:tcPr>
            <w:tcW w:w="15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41,372</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26,774</w:t>
            </w:r>
          </w:p>
        </w:tc>
        <w:tc>
          <w:tcPr>
            <w:tcW w:w="2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Deferred revenue and customer deposits at December 31, 2018 and 2017, was $119 and $29, retrospectively. All deferred revenue and customer deposit amounts at December 31, 2017 were recognized as revenue during the year ended December 31,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4. INVESTMENT IN ETON PHARMACEUTICALS, INC. AND AGREEMENTS - RELATED PARTY TRANSACTIONS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May 2017, the Company entered into two asset purchase and license agreements (the “Eton License Agreements”) with its previously wholly owned subsidiary, Eton. Pursuant to the terms of the Eton License Agreements, the Company assigned and licensed to Eton certain intellectual property and related rights to develop, formulate, make, sell, and sub-license formulations of synthetic corticotropin and injectable pentoxifylline (collectively, the “Eton Products”). Eton is required to make royalty payments to the Company of six percent (6%) of net sales of the Eton Products while any patent rights remain outstanding and then three percent (3%) of net sales in the event patent claims are not issued. In addition, Eton is required to make certain milestone payments to the Company including payments of $50 upon initial patent issuances for each Eton Product. The Eton License Agreements were conditioned upon Eton receiving net proceeds of the sale of its equity securities of not less than $10,000, which occurred in June 2017. See also Note 2, under the subheading </w:t>
      </w:r>
      <w:r>
        <w:rPr>
          <w:rFonts w:ascii="Times New Roman;Times;Serif" w:hAnsi="Times New Roman;Times;Serif"/>
          <w:b w:val="false"/>
          <w:i/>
          <w:caps w:val="false"/>
          <w:smallCaps w:val="false"/>
          <w:sz w:val="17"/>
        </w:rPr>
        <w:t>Investment in Eton Pharmaceuticals, Inc.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May 1, 2017, the Company and Eton entered into a Management Services Agreement (the “MSA”), whereby the Company provided to Eton certain administrative services and support, including bookkeeping, web services and human resources related activities, and Eton will pay the Company a monthly amount of $10. A 30-day notice of termination was delivered to the Company on August 29, 2017. Eton paid the Company $40 for services under the MSA.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December 31, 2018, the Company held 3.5 million shares in Eton at a fair market value of $6.12 per share. In November 2018, the Company entered into a lock-up agreement, that prohibits the sale of any of our Eton common stock until November 2019, without the approval of National Securities Corporation. As of December 31, 2018, the carrying value of the Company’s investment in Eton was $21,420.</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owns 19.98% of the voting interests in Eton (3,500,000 shares of Eton common stock). The Company’s Chief Executive Officer, Mark L. Baum, is a director of Eton, and several employees of the Company (including Mr. Baum and the Company’s Chief Financial Officer, Andrew R. Boll) previously entered into consulting agreements with Eton.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5. INVESTMENT IN SURFACE PHARMACEUTICALS, INC. AND AGREEMENTS - RELATED PARTY TRANSACTIONS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2017 and amended in April 2018, the Company entered into two asset purchase and license agreements (the “Surface License Agreements”) with its previously wholly owned subsidiary,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 Certain of the Surface License Agreements were conditioned upon Surface receiving net proceeds of the sale of its equity securities of not less than $10,000, which occurred in May 2018. See also Note 2, under the subheading </w:t>
      </w:r>
      <w:r>
        <w:rPr>
          <w:rFonts w:ascii="Times New Roman;Times;Serif" w:hAnsi="Times New Roman;Times;Serif"/>
          <w:b w:val="false"/>
          <w:i/>
          <w:caps w:val="false"/>
          <w:smallCaps w:val="false"/>
          <w:sz w:val="17"/>
        </w:rPr>
        <w:t>Investment in Surface Pharmaceuticals, Inc</w:t>
      </w:r>
      <w:r>
        <w:rPr>
          <w:rFonts w:ascii="Times New Roman;Times;Serif" w:hAnsi="Times New Roman;Times;Serif"/>
          <w:b w:val="false"/>
          <w:i w:val="false"/>
          <w:caps w:val="false"/>
          <w:smallCaps w:val="false"/>
          <w:sz w:val="17"/>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January 2018, the Company and Surface entered into an amended Management Services Agreement (the “MSA”), whereby the Company provided to Surface certain administrative services and support, including bookkeeping, web services and human resources related activities, and Surface paid the Company a monthly amount of $10. The MSA was terminated effective July 31,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December 31, 2018, the Company was due $50 from Surface for reimbursable expenses and amounts due under the MSA and included in prepaid expenses and other current assets on the accompanying consolidated balance sheets.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December 31, 2018, the Company owned 3,500,000 shares of Surface common stock (approximately 30% issued and outstanding equity interests). One of the Company’s directors,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a director of the Company (including Mr. Baum, Dr. Lindstrom and Mr. Boll) previously entered into consulting agreements and provided consulting services to Surface. Surface is required to make royalty payments to Dr. Lindstrom of 3% of net sales of certain Surface products while certain patent rights remain outstanding. Dr. Lindstrom is also a principal of Flying L Partners, an affiliate of the funding investor.</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unaudited condensed results of operations information of Surface is summarized below:</w:t>
      </w:r>
    </w:p>
    <w:p>
      <w:pPr>
        <w:pStyle w:val="TextBody"/>
        <w:jc w:val="both"/>
        <w:rPr>
          <w:caps w:val="false"/>
          <w:smallCaps w:val="false"/>
        </w:rPr>
      </w:pPr>
      <w:r>
        <w:rPr>
          <w:caps w:val="false"/>
          <w:smallCaps w:val="false"/>
        </w:rPr>
        <w:t> </w:t>
      </w:r>
    </w:p>
    <w:tbl>
      <w:tblPr>
        <w:tblW w:w="4094" w:type="dxa"/>
        <w:jc w:val="left"/>
        <w:tblInd w:w="0" w:type="dxa"/>
        <w:tblCellMar>
          <w:top w:w="0" w:type="dxa"/>
          <w:left w:w="0" w:type="dxa"/>
          <w:bottom w:w="0" w:type="dxa"/>
          <w:right w:w="0" w:type="dxa"/>
        </w:tblCellMar>
      </w:tblPr>
      <w:tblGrid>
        <w:gridCol w:w="2030"/>
        <w:gridCol w:w="60"/>
        <w:gridCol w:w="342"/>
        <w:gridCol w:w="1552"/>
        <w:gridCol w:w="110"/>
      </w:tblGrid>
      <w:tr>
        <w:trPr/>
        <w:tc>
          <w:tcPr>
            <w:tcW w:w="20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For the Year Ended</w:t>
            </w:r>
          </w:p>
        </w:tc>
        <w:tc>
          <w:tcPr>
            <w:tcW w:w="11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110" w:type="dxa"/>
            <w:tcBorders/>
            <w:shd w:fill="auto" w:val="cle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283"/>
              <w:jc w:val="left"/>
              <w:rPr/>
            </w:pPr>
            <w:r>
              <w:rPr/>
              <w:t>Revenues, net</w:t>
            </w:r>
          </w:p>
        </w:tc>
        <w:tc>
          <w:tcPr>
            <w:tcW w:w="60" w:type="dxa"/>
            <w:tcBorders/>
            <w:shd w:fill="CCEEFF" w:val="clear"/>
            <w:vAlign w:val="center"/>
          </w:tcPr>
          <w:p>
            <w:pPr>
              <w:pStyle w:val="TableContents"/>
              <w:spacing w:before="0" w:after="283"/>
              <w:rPr/>
            </w:pPr>
            <w:r>
              <w:rPr/>
              <w:t> </w:t>
            </w:r>
          </w:p>
        </w:tc>
        <w:tc>
          <w:tcPr>
            <w:tcW w:w="342" w:type="dxa"/>
            <w:tcBorders/>
            <w:shd w:fill="CCEEFF" w:val="clear"/>
            <w:vAlign w:val="center"/>
          </w:tcPr>
          <w:p>
            <w:pPr>
              <w:pStyle w:val="TableContents"/>
              <w:spacing w:before="0" w:after="283"/>
              <w:jc w:val="left"/>
              <w:rPr/>
            </w:pPr>
            <w:r>
              <w:rPr/>
              <w:t>$</w:t>
            </w:r>
          </w:p>
        </w:tc>
        <w:tc>
          <w:tcPr>
            <w:tcW w:w="1552"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2030" w:type="dxa"/>
            <w:tcBorders/>
            <w:shd w:fill="FFFFFF" w:val="clear"/>
            <w:vAlign w:val="center"/>
          </w:tcPr>
          <w:p>
            <w:pPr>
              <w:pStyle w:val="TableContents"/>
              <w:spacing w:before="0" w:after="283"/>
              <w:jc w:val="left"/>
              <w:rPr/>
            </w:pPr>
            <w:r>
              <w:rPr/>
              <w:t>Loss from operations</w:t>
            </w:r>
          </w:p>
        </w:tc>
        <w:tc>
          <w:tcPr>
            <w:tcW w:w="60" w:type="dxa"/>
            <w:tcBorders/>
            <w:shd w:fill="FFFFFF" w:val="clear"/>
            <w:vAlign w:val="center"/>
          </w:tcPr>
          <w:p>
            <w:pPr>
              <w:pStyle w:val="TableContents"/>
              <w:spacing w:before="0" w:after="283"/>
              <w:rPr/>
            </w:pPr>
            <w:r>
              <w:rPr/>
              <w:t> </w:t>
            </w:r>
          </w:p>
        </w:tc>
        <w:tc>
          <w:tcPr>
            <w:tcW w:w="34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52" w:type="dxa"/>
            <w:tcBorders>
              <w:bottom w:val="single" w:sz="12" w:space="0" w:color="000000"/>
            </w:tcBorders>
            <w:shd w:fill="FFFFFF" w:val="clear"/>
            <w:tcMar>
              <w:bottom w:w="28" w:type="dxa"/>
            </w:tcMar>
            <w:vAlign w:val="center"/>
          </w:tcPr>
          <w:p>
            <w:pPr>
              <w:pStyle w:val="TableContents"/>
              <w:spacing w:before="0" w:after="283"/>
              <w:jc w:val="right"/>
              <w:rPr/>
            </w:pPr>
            <w:r>
              <w:rPr/>
              <w:t>1,370</w:t>
            </w:r>
          </w:p>
        </w:tc>
        <w:tc>
          <w:tcPr>
            <w:tcW w:w="110" w:type="dxa"/>
            <w:tcBorders/>
            <w:shd w:fill="FFFFFF" w:val="clear"/>
            <w:vAlign w:val="center"/>
          </w:tcPr>
          <w:p>
            <w:pPr>
              <w:pStyle w:val="TableContents"/>
              <w:spacing w:before="0" w:after="283"/>
              <w:jc w:val="left"/>
              <w:rPr/>
            </w:pPr>
            <w:r>
              <w:rPr/>
              <w:t> </w:t>
            </w:r>
          </w:p>
        </w:tc>
      </w:tr>
      <w:tr>
        <w:trPr/>
        <w:tc>
          <w:tcPr>
            <w:tcW w:w="2030"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34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52" w:type="dxa"/>
            <w:tcBorders>
              <w:bottom w:val="double" w:sz="6" w:space="0" w:color="000000"/>
            </w:tcBorders>
            <w:shd w:fill="CCEEFF" w:val="clear"/>
            <w:tcMar>
              <w:bottom w:w="28" w:type="dxa"/>
            </w:tcMar>
            <w:vAlign w:val="center"/>
          </w:tcPr>
          <w:p>
            <w:pPr>
              <w:pStyle w:val="TableContents"/>
              <w:spacing w:before="0" w:after="283"/>
              <w:jc w:val="right"/>
              <w:rPr/>
            </w:pPr>
            <w:r>
              <w:rPr/>
              <w:t>(1,370</w:t>
            </w:r>
          </w:p>
        </w:tc>
        <w:tc>
          <w:tcPr>
            <w:tcW w:w="110" w:type="dxa"/>
            <w:tcBorders/>
            <w:shd w:fill="CCEEFF" w:val="cle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unaudited condensed balance sheet information of Surface is summarized below:</w:t>
      </w:r>
    </w:p>
    <w:p>
      <w:pPr>
        <w:pStyle w:val="TextBody"/>
        <w:jc w:val="both"/>
        <w:rPr>
          <w:caps w:val="false"/>
          <w:smallCaps w:val="false"/>
        </w:rPr>
      </w:pPr>
      <w:r>
        <w:rPr>
          <w:caps w:val="false"/>
          <w:smallCaps w:val="false"/>
        </w:rPr>
        <w:t> </w:t>
      </w:r>
    </w:p>
    <w:tbl>
      <w:tblPr>
        <w:tblW w:w="6029" w:type="dxa"/>
        <w:jc w:val="left"/>
        <w:tblInd w:w="0" w:type="dxa"/>
        <w:tblCellMar>
          <w:top w:w="0" w:type="dxa"/>
          <w:left w:w="0" w:type="dxa"/>
          <w:bottom w:w="0" w:type="dxa"/>
          <w:right w:w="0" w:type="dxa"/>
        </w:tblCellMar>
      </w:tblPr>
      <w:tblGrid>
        <w:gridCol w:w="3800"/>
        <w:gridCol w:w="60"/>
        <w:gridCol w:w="321"/>
        <w:gridCol w:w="1573"/>
        <w:gridCol w:w="275"/>
      </w:tblGrid>
      <w:tr>
        <w:trPr/>
        <w:tc>
          <w:tcPr>
            <w:tcW w:w="3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At</w:t>
            </w:r>
          </w:p>
        </w:tc>
        <w:tc>
          <w:tcPr>
            <w:tcW w:w="275" w:type="dxa"/>
            <w:tcBorders/>
            <w:shd w:fill="auto" w:val="clear"/>
            <w:vAlign w:val="center"/>
          </w:tcPr>
          <w:p>
            <w:pPr>
              <w:pStyle w:val="TableContents"/>
              <w:spacing w:before="0" w:after="283"/>
              <w:rPr/>
            </w:pPr>
            <w:r>
              <w:rPr/>
              <w:t> </w:t>
            </w:r>
          </w:p>
        </w:tc>
      </w:tr>
      <w:tr>
        <w:trPr/>
        <w:tc>
          <w:tcPr>
            <w:tcW w:w="3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275" w:type="dxa"/>
            <w:tcBorders/>
            <w:shd w:fill="auto"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283"/>
              <w:jc w:val="left"/>
              <w:rPr/>
            </w:pPr>
            <w:r>
              <w:rPr/>
              <w:t>Current assets</w:t>
            </w:r>
          </w:p>
        </w:tc>
        <w:tc>
          <w:tcPr>
            <w:tcW w:w="60" w:type="dxa"/>
            <w:tcBorders/>
            <w:shd w:fill="CCEEFF" w:val="clear"/>
            <w:vAlign w:val="center"/>
          </w:tcPr>
          <w:p>
            <w:pPr>
              <w:pStyle w:val="TableContents"/>
              <w:spacing w:before="0" w:after="283"/>
              <w:rPr/>
            </w:pPr>
            <w:r>
              <w:rPr/>
              <w:t> </w:t>
            </w:r>
          </w:p>
        </w:tc>
        <w:tc>
          <w:tcPr>
            <w:tcW w:w="321" w:type="dxa"/>
            <w:tcBorders/>
            <w:shd w:fill="CCEEFF" w:val="clear"/>
            <w:vAlign w:val="center"/>
          </w:tcPr>
          <w:p>
            <w:pPr>
              <w:pStyle w:val="TableContents"/>
              <w:spacing w:before="0" w:after="283"/>
              <w:jc w:val="left"/>
              <w:rPr/>
            </w:pPr>
            <w:r>
              <w:rPr/>
              <w:t>$</w:t>
            </w:r>
          </w:p>
        </w:tc>
        <w:tc>
          <w:tcPr>
            <w:tcW w:w="1573" w:type="dxa"/>
            <w:tcBorders/>
            <w:shd w:fill="CCEEFF" w:val="clear"/>
            <w:vAlign w:val="center"/>
          </w:tcPr>
          <w:p>
            <w:pPr>
              <w:pStyle w:val="TableContents"/>
              <w:spacing w:before="0" w:after="283"/>
              <w:jc w:val="right"/>
              <w:rPr/>
            </w:pPr>
            <w:r>
              <w:rPr/>
              <w:t>19,699</w:t>
            </w:r>
          </w:p>
        </w:tc>
        <w:tc>
          <w:tcPr>
            <w:tcW w:w="275" w:type="dxa"/>
            <w:tcBorders/>
            <w:shd w:fill="CCEEFF" w:val="clear"/>
            <w:vAlign w:val="center"/>
          </w:tcPr>
          <w:p>
            <w:pPr>
              <w:pStyle w:val="TableContents"/>
              <w:spacing w:before="0" w:after="283"/>
              <w:jc w:val="left"/>
              <w:rPr/>
            </w:pPr>
            <w:r>
              <w:rPr/>
              <w:t> </w:t>
            </w:r>
          </w:p>
        </w:tc>
      </w:tr>
      <w:tr>
        <w:trPr/>
        <w:tc>
          <w:tcPr>
            <w:tcW w:w="3800" w:type="dxa"/>
            <w:tcBorders/>
            <w:shd w:fill="FFFFFF" w:val="clear"/>
            <w:vAlign w:val="center"/>
          </w:tcPr>
          <w:p>
            <w:pPr>
              <w:pStyle w:val="TableContents"/>
              <w:spacing w:before="0" w:after="283"/>
              <w:jc w:val="left"/>
              <w:rPr/>
            </w:pPr>
            <w:r>
              <w:rPr/>
              <w:t>Non current assets</w:t>
            </w:r>
          </w:p>
        </w:tc>
        <w:tc>
          <w:tcPr>
            <w:tcW w:w="60" w:type="dxa"/>
            <w:tcBorders/>
            <w:shd w:fill="FFFFFF" w:val="clear"/>
            <w:vAlign w:val="center"/>
          </w:tcPr>
          <w:p>
            <w:pPr>
              <w:pStyle w:val="TableContents"/>
              <w:spacing w:before="0" w:after="283"/>
              <w:rPr/>
            </w:pPr>
            <w:r>
              <w:rPr/>
              <w:t> </w:t>
            </w:r>
          </w:p>
        </w:tc>
        <w:tc>
          <w:tcPr>
            <w:tcW w:w="3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73" w:type="dxa"/>
            <w:tcBorders>
              <w:bottom w:val="single" w:sz="12" w:space="0" w:color="000000"/>
            </w:tcBorders>
            <w:shd w:fill="FFFFFF" w:val="clear"/>
            <w:tcMar>
              <w:bottom w:w="28" w:type="dxa"/>
            </w:tcMar>
            <w:vAlign w:val="center"/>
          </w:tcPr>
          <w:p>
            <w:pPr>
              <w:pStyle w:val="TableContents"/>
              <w:spacing w:before="0" w:after="283"/>
              <w:jc w:val="right"/>
              <w:rPr/>
            </w:pPr>
            <w:r>
              <w:rPr/>
              <w:t>50</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3800" w:type="dxa"/>
            <w:tcBorders/>
            <w:shd w:fill="CCEEFF" w:val="clear"/>
            <w:vAlign w:val="center"/>
          </w:tcPr>
          <w:p>
            <w:pPr>
              <w:pStyle w:val="TableContents"/>
              <w:spacing w:before="0" w:after="283"/>
              <w:jc w:val="left"/>
              <w:rPr/>
            </w:pPr>
            <w:r>
              <w:rPr/>
              <w:t>Total assets</w:t>
            </w:r>
          </w:p>
        </w:tc>
        <w:tc>
          <w:tcPr>
            <w:tcW w:w="60" w:type="dxa"/>
            <w:tcBorders/>
            <w:shd w:fill="CCEEFF" w:val="clear"/>
            <w:vAlign w:val="center"/>
          </w:tcPr>
          <w:p>
            <w:pPr>
              <w:pStyle w:val="TableContents"/>
              <w:spacing w:before="0" w:after="283"/>
              <w:rPr/>
            </w:pPr>
            <w:r>
              <w:rPr/>
              <w:t> </w:t>
            </w:r>
          </w:p>
        </w:tc>
        <w:tc>
          <w:tcPr>
            <w:tcW w:w="321"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573" w:type="dxa"/>
            <w:tcBorders>
              <w:bottom w:val="double" w:sz="6" w:space="0" w:color="000000"/>
            </w:tcBorders>
            <w:shd w:fill="CCEEFF" w:val="clear"/>
            <w:tcMar>
              <w:bottom w:w="28" w:type="dxa"/>
            </w:tcMar>
            <w:vAlign w:val="center"/>
          </w:tcPr>
          <w:p>
            <w:pPr>
              <w:pStyle w:val="TableContents"/>
              <w:spacing w:before="0" w:after="283"/>
              <w:jc w:val="right"/>
              <w:rPr/>
            </w:pPr>
            <w:r>
              <w:rPr/>
              <w:t>19,749</w:t>
            </w:r>
          </w:p>
        </w:tc>
        <w:tc>
          <w:tcPr>
            <w:tcW w:w="275" w:type="dxa"/>
            <w:tcBorders/>
            <w:shd w:fill="CCEEFF" w:val="clear"/>
            <w:vAlign w:val="center"/>
          </w:tcPr>
          <w:p>
            <w:pPr>
              <w:pStyle w:val="TableContents"/>
              <w:spacing w:before="0" w:after="283"/>
              <w:jc w:val="left"/>
              <w:rPr/>
            </w:pPr>
            <w:r>
              <w:rPr/>
              <w:t> </w:t>
            </w:r>
          </w:p>
        </w:tc>
      </w:tr>
      <w:tr>
        <w:trPr/>
        <w:tc>
          <w:tcPr>
            <w:tcW w:w="3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21" w:type="dxa"/>
            <w:tcBorders/>
            <w:shd w:fill="FFFFFF" w:val="clear"/>
            <w:vAlign w:val="center"/>
          </w:tcPr>
          <w:p>
            <w:pPr>
              <w:pStyle w:val="TableContents"/>
              <w:spacing w:before="0" w:after="283"/>
              <w:jc w:val="left"/>
              <w:rPr/>
            </w:pPr>
            <w:r>
              <w:rPr/>
              <w:t> </w:t>
            </w:r>
          </w:p>
        </w:tc>
        <w:tc>
          <w:tcPr>
            <w:tcW w:w="1573"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3800" w:type="dxa"/>
            <w:tcBorders/>
            <w:shd w:fill="CCEEFF" w:val="clear"/>
            <w:vAlign w:val="center"/>
          </w:tcPr>
          <w:p>
            <w:pPr>
              <w:pStyle w:val="TableContents"/>
              <w:spacing w:before="0" w:after="283"/>
              <w:jc w:val="left"/>
              <w:rPr/>
            </w:pPr>
            <w:r>
              <w:rPr/>
              <w:t>Total liabilities</w:t>
            </w:r>
          </w:p>
        </w:tc>
        <w:tc>
          <w:tcPr>
            <w:tcW w:w="60" w:type="dxa"/>
            <w:tcBorders/>
            <w:shd w:fill="CCEEFF" w:val="clear"/>
            <w:vAlign w:val="center"/>
          </w:tcPr>
          <w:p>
            <w:pPr>
              <w:pStyle w:val="TableContents"/>
              <w:spacing w:before="0" w:after="283"/>
              <w:rPr/>
            </w:pPr>
            <w:r>
              <w:rPr/>
              <w:t> </w:t>
            </w:r>
          </w:p>
        </w:tc>
        <w:tc>
          <w:tcPr>
            <w:tcW w:w="321" w:type="dxa"/>
            <w:tcBorders/>
            <w:shd w:fill="CCEEFF" w:val="clear"/>
            <w:vAlign w:val="center"/>
          </w:tcPr>
          <w:p>
            <w:pPr>
              <w:pStyle w:val="TableContents"/>
              <w:spacing w:before="0" w:after="283"/>
              <w:jc w:val="left"/>
              <w:rPr/>
            </w:pPr>
            <w:r>
              <w:rPr/>
              <w:t> </w:t>
            </w:r>
          </w:p>
        </w:tc>
        <w:tc>
          <w:tcPr>
            <w:tcW w:w="1573" w:type="dxa"/>
            <w:tcBorders/>
            <w:shd w:fill="CCEEFF" w:val="clear"/>
            <w:vAlign w:val="center"/>
          </w:tcPr>
          <w:p>
            <w:pPr>
              <w:pStyle w:val="TableContents"/>
              <w:spacing w:before="0" w:after="283"/>
              <w:jc w:val="right"/>
              <w:rPr/>
            </w:pPr>
            <w:r>
              <w:rPr/>
              <w:t>165</w:t>
            </w:r>
          </w:p>
        </w:tc>
        <w:tc>
          <w:tcPr>
            <w:tcW w:w="275" w:type="dxa"/>
            <w:tcBorders/>
            <w:shd w:fill="CCEEFF" w:val="clear"/>
            <w:vAlign w:val="center"/>
          </w:tcPr>
          <w:p>
            <w:pPr>
              <w:pStyle w:val="TableContents"/>
              <w:spacing w:before="0" w:after="283"/>
              <w:jc w:val="left"/>
              <w:rPr/>
            </w:pPr>
            <w:r>
              <w:rPr/>
              <w:t> </w:t>
            </w:r>
          </w:p>
        </w:tc>
      </w:tr>
      <w:tr>
        <w:trPr/>
        <w:tc>
          <w:tcPr>
            <w:tcW w:w="3800" w:type="dxa"/>
            <w:tcBorders/>
            <w:shd w:fill="FFFFFF" w:val="clear"/>
            <w:vAlign w:val="center"/>
          </w:tcPr>
          <w:p>
            <w:pPr>
              <w:pStyle w:val="TableContents"/>
              <w:spacing w:before="0" w:after="283"/>
              <w:jc w:val="left"/>
              <w:rPr/>
            </w:pPr>
            <w:r>
              <w:rPr/>
              <w:t>Total stockholders equity</w:t>
            </w:r>
          </w:p>
        </w:tc>
        <w:tc>
          <w:tcPr>
            <w:tcW w:w="60" w:type="dxa"/>
            <w:tcBorders/>
            <w:shd w:fill="FFFFFF" w:val="clear"/>
            <w:vAlign w:val="center"/>
          </w:tcPr>
          <w:p>
            <w:pPr>
              <w:pStyle w:val="TableContents"/>
              <w:spacing w:before="0" w:after="283"/>
              <w:rPr/>
            </w:pPr>
            <w:r>
              <w:rPr/>
              <w:t> </w:t>
            </w:r>
          </w:p>
        </w:tc>
        <w:tc>
          <w:tcPr>
            <w:tcW w:w="3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73" w:type="dxa"/>
            <w:tcBorders>
              <w:bottom w:val="single" w:sz="12" w:space="0" w:color="000000"/>
            </w:tcBorders>
            <w:shd w:fill="FFFFFF" w:val="clear"/>
            <w:tcMar>
              <w:bottom w:w="28" w:type="dxa"/>
            </w:tcMar>
            <w:vAlign w:val="center"/>
          </w:tcPr>
          <w:p>
            <w:pPr>
              <w:pStyle w:val="TableContents"/>
              <w:spacing w:before="0" w:after="283"/>
              <w:jc w:val="right"/>
              <w:rPr/>
            </w:pPr>
            <w:r>
              <w:rPr/>
              <w:t>19,584</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3800" w:type="dxa"/>
            <w:tcBorders/>
            <w:shd w:fill="CCEEFF" w:val="clear"/>
            <w:vAlign w:val="center"/>
          </w:tcPr>
          <w:p>
            <w:pPr>
              <w:pStyle w:val="TableContents"/>
              <w:spacing w:before="0" w:after="283"/>
              <w:jc w:val="left"/>
              <w:rPr/>
            </w:pPr>
            <w:r>
              <w:rPr/>
              <w:t>Total liabilities and stockholders’ equity</w:t>
            </w:r>
          </w:p>
        </w:tc>
        <w:tc>
          <w:tcPr>
            <w:tcW w:w="60" w:type="dxa"/>
            <w:tcBorders/>
            <w:shd w:fill="CCEEFF" w:val="clear"/>
            <w:vAlign w:val="center"/>
          </w:tcPr>
          <w:p>
            <w:pPr>
              <w:pStyle w:val="TableContents"/>
              <w:spacing w:before="0" w:after="283"/>
              <w:rPr/>
            </w:pPr>
            <w:r>
              <w:rPr/>
              <w:t> </w:t>
            </w:r>
          </w:p>
        </w:tc>
        <w:tc>
          <w:tcPr>
            <w:tcW w:w="321"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spacing w:before="0" w:after="283"/>
              <w:jc w:val="right"/>
              <w:rPr/>
            </w:pPr>
            <w:r>
              <w:rPr/>
              <w:t>19,749</w:t>
            </w:r>
          </w:p>
        </w:tc>
        <w:tc>
          <w:tcPr>
            <w:tcW w:w="2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6. RESTRICTED CASH</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restricted cash at December 31, 2018 and 2017 consisted of funds held in a money market account. At December 31, 2018 and 2017, the restricted cash was recorded at amortized cost, which approximates fair value.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December 31, 2018 and 2017, the funds held in a money market account of $200 were classified as a current asset. The money market account funds are required as collateral as additional security for the Company’s New Jersey facility lease.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7. INVENTORIES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Inventories are comprised of finished compounded formulations, over-the-counter and prescription retail pharmacy products, commercial pharmaceutical products, related laboratory supplies and active pharmaceutical ingredients. The composition of inventories as of December 31, 2018 and 2017 was as follows:</w:t>
      </w:r>
    </w:p>
    <w:p>
      <w:pPr>
        <w:pStyle w:val="TextBody"/>
        <w:rPr>
          <w:caps w:val="false"/>
          <w:smallCaps w:val="false"/>
        </w:rPr>
      </w:pPr>
      <w:r>
        <w:rPr>
          <w:caps w:val="false"/>
          <w:smallCaps w:val="false"/>
        </w:rPr>
        <w:t> </w:t>
      </w:r>
    </w:p>
    <w:tbl>
      <w:tblPr>
        <w:tblW w:w="5835" w:type="dxa"/>
        <w:jc w:val="left"/>
        <w:tblInd w:w="0" w:type="dxa"/>
        <w:tblCellMar>
          <w:top w:w="0" w:type="dxa"/>
          <w:left w:w="0" w:type="dxa"/>
          <w:bottom w:w="0" w:type="dxa"/>
          <w:right w:w="0" w:type="dxa"/>
        </w:tblCellMar>
      </w:tblPr>
      <w:tblGrid>
        <w:gridCol w:w="1670"/>
        <w:gridCol w:w="60"/>
        <w:gridCol w:w="391"/>
        <w:gridCol w:w="1564"/>
        <w:gridCol w:w="60"/>
        <w:gridCol w:w="60"/>
        <w:gridCol w:w="391"/>
        <w:gridCol w:w="1564"/>
        <w:gridCol w:w="75"/>
      </w:tblGrid>
      <w:tr>
        <w:trPr/>
        <w:tc>
          <w:tcPr>
            <w:tcW w:w="1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2017</w:t>
            </w:r>
          </w:p>
        </w:tc>
        <w:tc>
          <w:tcPr>
            <w:tcW w:w="75" w:type="dxa"/>
            <w:tcBorders/>
            <w:shd w:fill="auto" w:val="clear"/>
            <w:vAlign w:val="center"/>
          </w:tcPr>
          <w:p>
            <w:pPr>
              <w:pStyle w:val="TableContents"/>
              <w:spacing w:before="0" w:after="283"/>
              <w:rPr/>
            </w:pPr>
            <w:r>
              <w:rPr/>
              <w:t> </w:t>
            </w:r>
          </w:p>
        </w:tc>
      </w:tr>
      <w:tr>
        <w:trPr/>
        <w:tc>
          <w:tcPr>
            <w:tcW w:w="1670" w:type="dxa"/>
            <w:tcBorders/>
            <w:shd w:fill="CCEEFF" w:val="clear"/>
            <w:vAlign w:val="center"/>
          </w:tcPr>
          <w:p>
            <w:pPr>
              <w:pStyle w:val="TableContents"/>
              <w:spacing w:before="0" w:after="283"/>
              <w:jc w:val="left"/>
              <w:rPr/>
            </w:pPr>
            <w:r>
              <w:rPr/>
              <w:t>Raw materials</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left"/>
              <w:rPr/>
            </w:pPr>
            <w:r>
              <w:rPr/>
              <w:t>$</w:t>
            </w:r>
          </w:p>
        </w:tc>
        <w:tc>
          <w:tcPr>
            <w:tcW w:w="1564" w:type="dxa"/>
            <w:tcBorders/>
            <w:shd w:fill="CCEEFF" w:val="clear"/>
            <w:vAlign w:val="center"/>
          </w:tcPr>
          <w:p>
            <w:pPr>
              <w:pStyle w:val="TableContents"/>
              <w:spacing w:before="0" w:after="283"/>
              <w:jc w:val="right"/>
              <w:rPr/>
            </w:pPr>
            <w:r>
              <w:rPr/>
              <w:t>1,119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left"/>
              <w:rPr/>
            </w:pPr>
            <w:r>
              <w:rPr/>
              <w:t>$</w:t>
            </w:r>
          </w:p>
        </w:tc>
        <w:tc>
          <w:tcPr>
            <w:tcW w:w="1564" w:type="dxa"/>
            <w:tcBorders/>
            <w:shd w:fill="CCEEFF" w:val="clear"/>
            <w:vAlign w:val="center"/>
          </w:tcPr>
          <w:p>
            <w:pPr>
              <w:pStyle w:val="TableContents"/>
              <w:spacing w:before="0" w:after="283"/>
              <w:jc w:val="right"/>
              <w:rPr/>
            </w:pPr>
            <w:r>
              <w:rPr/>
              <w:t>956</w:t>
            </w:r>
          </w:p>
        </w:tc>
        <w:tc>
          <w:tcPr>
            <w:tcW w:w="75" w:type="dxa"/>
            <w:tcBorders/>
            <w:shd w:fill="CCEEFF" w:val="clear"/>
            <w:vAlign w:val="center"/>
          </w:tcPr>
          <w:p>
            <w:pPr>
              <w:pStyle w:val="TableContents"/>
              <w:spacing w:before="0" w:after="283"/>
              <w:jc w:val="left"/>
              <w:rPr/>
            </w:pPr>
            <w:r>
              <w:rPr/>
              <w:t> </w:t>
            </w:r>
          </w:p>
        </w:tc>
      </w:tr>
      <w:tr>
        <w:trPr/>
        <w:tc>
          <w:tcPr>
            <w:tcW w:w="1670" w:type="dxa"/>
            <w:tcBorders/>
            <w:shd w:fill="FFFFFF" w:val="clear"/>
            <w:vAlign w:val="center"/>
          </w:tcPr>
          <w:p>
            <w:pPr>
              <w:pStyle w:val="TableContents"/>
              <w:spacing w:before="0" w:after="283"/>
              <w:jc w:val="left"/>
              <w:rPr/>
            </w:pPr>
            <w:r>
              <w:rPr/>
              <w:t>Work in progress</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jc w:val="left"/>
              <w:rPr/>
            </w:pPr>
            <w:r>
              <w:rPr/>
              <w:t> </w:t>
            </w:r>
          </w:p>
        </w:tc>
        <w:tc>
          <w:tcPr>
            <w:tcW w:w="1564" w:type="dxa"/>
            <w:tcBorders/>
            <w:shd w:fill="FFFFFF" w:val="clear"/>
            <w:vAlign w:val="center"/>
          </w:tcPr>
          <w:p>
            <w:pPr>
              <w:pStyle w:val="TableContents"/>
              <w:spacing w:before="0" w:after="283"/>
              <w:jc w:val="right"/>
              <w:rPr/>
            </w:pPr>
            <w:r>
              <w:rPr/>
              <w:t>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jc w:val="left"/>
              <w:rPr/>
            </w:pPr>
            <w:r>
              <w:rPr/>
              <w:t> </w:t>
            </w:r>
          </w:p>
        </w:tc>
        <w:tc>
          <w:tcPr>
            <w:tcW w:w="1564"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1670" w:type="dxa"/>
            <w:tcBorders/>
            <w:shd w:fill="CCEEFF" w:val="clear"/>
            <w:vAlign w:val="center"/>
          </w:tcPr>
          <w:p>
            <w:pPr>
              <w:pStyle w:val="TableContents"/>
              <w:spacing w:before="0" w:after="283"/>
              <w:jc w:val="left"/>
              <w:rPr/>
            </w:pPr>
            <w:r>
              <w:rPr/>
              <w:t>Finished goods</w:t>
            </w:r>
          </w:p>
        </w:tc>
        <w:tc>
          <w:tcPr>
            <w:tcW w:w="60" w:type="dxa"/>
            <w:tcBorders/>
            <w:shd w:fill="CCEEFF" w:val="clear"/>
            <w:vAlign w:val="center"/>
          </w:tcPr>
          <w:p>
            <w:pPr>
              <w:pStyle w:val="TableContents"/>
              <w:spacing w:before="0" w:after="283"/>
              <w:rPr/>
            </w:pPr>
            <w:r>
              <w:rPr/>
              <w:t> </w:t>
            </w:r>
          </w:p>
        </w:tc>
        <w:tc>
          <w:tcPr>
            <w:tcW w:w="39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64" w:type="dxa"/>
            <w:tcBorders>
              <w:bottom w:val="single" w:sz="12" w:space="0" w:color="000000"/>
            </w:tcBorders>
            <w:shd w:fill="CCEEFF" w:val="clear"/>
            <w:tcMar>
              <w:bottom w:w="28" w:type="dxa"/>
            </w:tcMar>
            <w:vAlign w:val="center"/>
          </w:tcPr>
          <w:p>
            <w:pPr>
              <w:pStyle w:val="TableContents"/>
              <w:spacing w:before="0" w:after="283"/>
              <w:jc w:val="right"/>
              <w:rPr/>
            </w:pPr>
            <w:r>
              <w:rPr/>
              <w:t>709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9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64" w:type="dxa"/>
            <w:tcBorders>
              <w:bottom w:val="single" w:sz="12" w:space="0" w:color="000000"/>
            </w:tcBorders>
            <w:shd w:fill="CCEEFF" w:val="clear"/>
            <w:tcMar>
              <w:bottom w:w="28" w:type="dxa"/>
            </w:tcMar>
            <w:vAlign w:val="center"/>
          </w:tcPr>
          <w:p>
            <w:pPr>
              <w:pStyle w:val="TableContents"/>
              <w:spacing w:before="0" w:after="283"/>
              <w:jc w:val="right"/>
              <w:rPr/>
            </w:pPr>
            <w:r>
              <w:rPr/>
              <w:t>1,293</w:t>
            </w:r>
          </w:p>
        </w:tc>
        <w:tc>
          <w:tcPr>
            <w:tcW w:w="75" w:type="dxa"/>
            <w:tcBorders/>
            <w:shd w:fill="CCEEFF" w:val="clear"/>
            <w:vAlign w:val="center"/>
          </w:tcPr>
          <w:p>
            <w:pPr>
              <w:pStyle w:val="TableContents"/>
              <w:spacing w:before="0" w:after="283"/>
              <w:jc w:val="left"/>
              <w:rPr/>
            </w:pPr>
            <w:r>
              <w:rPr/>
              <w:t> </w:t>
            </w:r>
          </w:p>
        </w:tc>
      </w:tr>
      <w:tr>
        <w:trPr/>
        <w:tc>
          <w:tcPr>
            <w:tcW w:w="1670" w:type="dxa"/>
            <w:tcBorders/>
            <w:shd w:fill="FFFFFF" w:val="clear"/>
            <w:vAlign w:val="center"/>
          </w:tcPr>
          <w:p>
            <w:pPr>
              <w:pStyle w:val="TableContents"/>
              <w:spacing w:before="0" w:after="283"/>
              <w:jc w:val="left"/>
              <w:rPr/>
            </w:pPr>
            <w:r>
              <w:rPr/>
              <w:t>Total inventories</w:t>
            </w:r>
          </w:p>
        </w:tc>
        <w:tc>
          <w:tcPr>
            <w:tcW w:w="60" w:type="dxa"/>
            <w:tcBorders/>
            <w:shd w:fill="FFFFFF" w:val="clear"/>
            <w:vAlign w:val="center"/>
          </w:tcPr>
          <w:p>
            <w:pPr>
              <w:pStyle w:val="TableContents"/>
              <w:spacing w:before="0" w:after="283"/>
              <w:rPr/>
            </w:pPr>
            <w:r>
              <w:rPr/>
              <w:t> </w:t>
            </w:r>
          </w:p>
        </w:tc>
        <w:tc>
          <w:tcPr>
            <w:tcW w:w="391"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spacing w:before="0" w:after="283"/>
              <w:jc w:val="right"/>
              <w:rPr/>
            </w:pPr>
            <w:r>
              <w:rPr/>
              <w:t>1,834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91"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spacing w:before="0" w:after="283"/>
              <w:jc w:val="right"/>
              <w:rPr/>
            </w:pPr>
            <w:r>
              <w:rPr/>
              <w:t>2,249</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8. PREPAID EXPENSES AND OTHER CURRENT ASSETS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Prepaid expenses and other current assets consisted of the following:</w:t>
      </w:r>
    </w:p>
    <w:p>
      <w:pPr>
        <w:pStyle w:val="TextBody"/>
        <w:jc w:val="both"/>
        <w:rPr>
          <w:caps w:val="false"/>
          <w:smallCaps w:val="false"/>
        </w:rPr>
      </w:pPr>
      <w:r>
        <w:rPr>
          <w:caps w:val="false"/>
          <w:smallCaps w:val="false"/>
        </w:rPr>
        <w:t> </w:t>
      </w:r>
    </w:p>
    <w:tbl>
      <w:tblPr>
        <w:tblW w:w="8638" w:type="dxa"/>
        <w:jc w:val="left"/>
        <w:tblInd w:w="0" w:type="dxa"/>
        <w:tblCellMar>
          <w:top w:w="0" w:type="dxa"/>
          <w:left w:w="0" w:type="dxa"/>
          <w:bottom w:w="0" w:type="dxa"/>
          <w:right w:w="0" w:type="dxa"/>
        </w:tblCellMar>
      </w:tblPr>
      <w:tblGrid>
        <w:gridCol w:w="4475"/>
        <w:gridCol w:w="60"/>
        <w:gridCol w:w="526"/>
        <w:gridCol w:w="1428"/>
        <w:gridCol w:w="60"/>
        <w:gridCol w:w="60"/>
        <w:gridCol w:w="526"/>
        <w:gridCol w:w="1428"/>
        <w:gridCol w:w="75"/>
      </w:tblGrid>
      <w:tr>
        <w:trPr/>
        <w:tc>
          <w:tcPr>
            <w:tcW w:w="4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2017</w:t>
            </w:r>
          </w:p>
        </w:tc>
        <w:tc>
          <w:tcPr>
            <w:tcW w:w="75" w:type="dxa"/>
            <w:tcBorders/>
            <w:shd w:fill="auto" w:val="clear"/>
            <w:vAlign w:val="center"/>
          </w:tcPr>
          <w:p>
            <w:pPr>
              <w:pStyle w:val="TableContents"/>
              <w:spacing w:before="0" w:after="283"/>
              <w:rPr/>
            </w:pPr>
            <w:r>
              <w:rPr/>
              <w:t> </w:t>
            </w:r>
          </w:p>
        </w:tc>
      </w:tr>
      <w:tr>
        <w:trPr/>
        <w:tc>
          <w:tcPr>
            <w:tcW w:w="4475" w:type="dxa"/>
            <w:tcBorders/>
            <w:shd w:fill="CCEEFF" w:val="clear"/>
            <w:vAlign w:val="center"/>
          </w:tcPr>
          <w:p>
            <w:pPr>
              <w:pStyle w:val="TableContents"/>
              <w:spacing w:before="0" w:after="283"/>
              <w:jc w:val="left"/>
              <w:rPr/>
            </w:pPr>
            <w:r>
              <w:rPr/>
              <w:t>Prepaid insurance</w:t>
            </w:r>
          </w:p>
        </w:tc>
        <w:tc>
          <w:tcPr>
            <w:tcW w:w="60" w:type="dxa"/>
            <w:tcBorders/>
            <w:shd w:fill="CCEEFF" w:val="clear"/>
            <w:vAlign w:val="center"/>
          </w:tcPr>
          <w:p>
            <w:pPr>
              <w:pStyle w:val="TableContents"/>
              <w:spacing w:before="0" w:after="283"/>
              <w:rPr/>
            </w:pPr>
            <w:r>
              <w:rPr/>
              <w:t> </w:t>
            </w:r>
          </w:p>
        </w:tc>
        <w:tc>
          <w:tcPr>
            <w:tcW w:w="526" w:type="dxa"/>
            <w:tcBorders/>
            <w:shd w:fill="CCEEFF" w:val="clear"/>
            <w:vAlign w:val="center"/>
          </w:tcPr>
          <w:p>
            <w:pPr>
              <w:pStyle w:val="TableContents"/>
              <w:spacing w:before="0" w:after="283"/>
              <w:jc w:val="left"/>
              <w:rPr/>
            </w:pPr>
            <w:r>
              <w:rPr/>
              <w:t>$</w:t>
            </w:r>
          </w:p>
        </w:tc>
        <w:tc>
          <w:tcPr>
            <w:tcW w:w="1428" w:type="dxa"/>
            <w:tcBorders/>
            <w:shd w:fill="CCEEFF" w:val="clear"/>
            <w:vAlign w:val="center"/>
          </w:tcPr>
          <w:p>
            <w:pPr>
              <w:pStyle w:val="TableContents"/>
              <w:spacing w:before="0" w:after="283"/>
              <w:jc w:val="right"/>
              <w:rPr/>
            </w:pPr>
            <w:r>
              <w:rPr/>
              <w:t>328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26" w:type="dxa"/>
            <w:tcBorders/>
            <w:shd w:fill="CCEEFF" w:val="clear"/>
            <w:vAlign w:val="center"/>
          </w:tcPr>
          <w:p>
            <w:pPr>
              <w:pStyle w:val="TableContents"/>
              <w:spacing w:before="0" w:after="283"/>
              <w:jc w:val="left"/>
              <w:rPr/>
            </w:pPr>
            <w:r>
              <w:rPr/>
              <w:t>$</w:t>
            </w:r>
          </w:p>
        </w:tc>
        <w:tc>
          <w:tcPr>
            <w:tcW w:w="1428" w:type="dxa"/>
            <w:tcBorders/>
            <w:shd w:fill="CCEEFF" w:val="clear"/>
            <w:vAlign w:val="center"/>
          </w:tcPr>
          <w:p>
            <w:pPr>
              <w:pStyle w:val="TableContents"/>
              <w:spacing w:before="0" w:after="283"/>
              <w:jc w:val="right"/>
              <w:rPr/>
            </w:pPr>
            <w:r>
              <w:rPr/>
              <w:t>164</w:t>
            </w:r>
          </w:p>
        </w:tc>
        <w:tc>
          <w:tcPr>
            <w:tcW w:w="75" w:type="dxa"/>
            <w:tcBorders/>
            <w:shd w:fill="CCEEFF" w:val="clear"/>
            <w:vAlign w:val="center"/>
          </w:tcPr>
          <w:p>
            <w:pPr>
              <w:pStyle w:val="TableContents"/>
              <w:spacing w:before="0" w:after="283"/>
              <w:jc w:val="left"/>
              <w:rPr/>
            </w:pPr>
            <w:r>
              <w:rPr/>
              <w:t> </w:t>
            </w:r>
          </w:p>
        </w:tc>
      </w:tr>
      <w:tr>
        <w:trPr/>
        <w:tc>
          <w:tcPr>
            <w:tcW w:w="4475" w:type="dxa"/>
            <w:tcBorders/>
            <w:shd w:fill="FFFFFF" w:val="clear"/>
            <w:vAlign w:val="center"/>
          </w:tcPr>
          <w:p>
            <w:pPr>
              <w:pStyle w:val="TableContents"/>
              <w:spacing w:before="0" w:after="283"/>
              <w:jc w:val="left"/>
              <w:rPr/>
            </w:pPr>
            <w:r>
              <w:rPr/>
              <w:t>Other prepaid expenses</w:t>
            </w:r>
          </w:p>
        </w:tc>
        <w:tc>
          <w:tcPr>
            <w:tcW w:w="60" w:type="dxa"/>
            <w:tcBorders/>
            <w:shd w:fill="FFFFFF" w:val="clear"/>
            <w:vAlign w:val="center"/>
          </w:tcPr>
          <w:p>
            <w:pPr>
              <w:pStyle w:val="TableContents"/>
              <w:spacing w:before="0" w:after="283"/>
              <w:rPr/>
            </w:pPr>
            <w:r>
              <w:rPr/>
              <w:t> </w:t>
            </w:r>
          </w:p>
        </w:tc>
        <w:tc>
          <w:tcPr>
            <w:tcW w:w="526" w:type="dxa"/>
            <w:tcBorders/>
            <w:shd w:fill="FFFFFF" w:val="clear"/>
            <w:vAlign w:val="center"/>
          </w:tcPr>
          <w:p>
            <w:pPr>
              <w:pStyle w:val="TableContents"/>
              <w:spacing w:before="0" w:after="283"/>
              <w:jc w:val="left"/>
              <w:rPr/>
            </w:pPr>
            <w:r>
              <w:rPr/>
              <w:t> </w:t>
            </w:r>
          </w:p>
        </w:tc>
        <w:tc>
          <w:tcPr>
            <w:tcW w:w="1428" w:type="dxa"/>
            <w:tcBorders/>
            <w:shd w:fill="FFFFFF" w:val="clear"/>
            <w:vAlign w:val="center"/>
          </w:tcPr>
          <w:p>
            <w:pPr>
              <w:pStyle w:val="TableContents"/>
              <w:spacing w:before="0" w:after="283"/>
              <w:jc w:val="right"/>
              <w:rPr/>
            </w:pPr>
            <w:r>
              <w:rPr/>
              <w:t>334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26" w:type="dxa"/>
            <w:tcBorders/>
            <w:shd w:fill="FFFFFF" w:val="clear"/>
            <w:vAlign w:val="center"/>
          </w:tcPr>
          <w:p>
            <w:pPr>
              <w:pStyle w:val="TableContents"/>
              <w:spacing w:before="0" w:after="283"/>
              <w:jc w:val="left"/>
              <w:rPr/>
            </w:pPr>
            <w:r>
              <w:rPr/>
              <w:t> </w:t>
            </w:r>
          </w:p>
        </w:tc>
        <w:tc>
          <w:tcPr>
            <w:tcW w:w="1428" w:type="dxa"/>
            <w:tcBorders/>
            <w:shd w:fill="FFFFFF" w:val="clear"/>
            <w:vAlign w:val="center"/>
          </w:tcPr>
          <w:p>
            <w:pPr>
              <w:pStyle w:val="TableContents"/>
              <w:spacing w:before="0" w:after="283"/>
              <w:jc w:val="right"/>
              <w:rPr/>
            </w:pPr>
            <w:r>
              <w:rPr/>
              <w:t>426</w:t>
            </w:r>
          </w:p>
        </w:tc>
        <w:tc>
          <w:tcPr>
            <w:tcW w:w="75" w:type="dxa"/>
            <w:tcBorders/>
            <w:shd w:fill="FFFFFF" w:val="clear"/>
            <w:vAlign w:val="center"/>
          </w:tcPr>
          <w:p>
            <w:pPr>
              <w:pStyle w:val="TableContents"/>
              <w:spacing w:before="0" w:after="283"/>
              <w:jc w:val="left"/>
              <w:rPr/>
            </w:pPr>
            <w:r>
              <w:rPr/>
              <w:t> </w:t>
            </w:r>
          </w:p>
        </w:tc>
      </w:tr>
      <w:tr>
        <w:trPr/>
        <w:tc>
          <w:tcPr>
            <w:tcW w:w="4475" w:type="dxa"/>
            <w:tcBorders/>
            <w:shd w:fill="CCEEFF" w:val="clear"/>
            <w:vAlign w:val="center"/>
          </w:tcPr>
          <w:p>
            <w:pPr>
              <w:pStyle w:val="TableContents"/>
              <w:spacing w:before="0" w:after="283"/>
              <w:jc w:val="left"/>
              <w:rPr/>
            </w:pPr>
            <w:r>
              <w:rPr/>
              <w:t>Receivable due from Surface</w:t>
            </w:r>
          </w:p>
        </w:tc>
        <w:tc>
          <w:tcPr>
            <w:tcW w:w="60" w:type="dxa"/>
            <w:tcBorders/>
            <w:shd w:fill="CCEEFF" w:val="clear"/>
            <w:vAlign w:val="center"/>
          </w:tcPr>
          <w:p>
            <w:pPr>
              <w:pStyle w:val="TableContents"/>
              <w:spacing w:before="0" w:after="283"/>
              <w:rPr/>
            </w:pPr>
            <w:r>
              <w:rPr/>
              <w:t> </w:t>
            </w:r>
          </w:p>
        </w:tc>
        <w:tc>
          <w:tcPr>
            <w:tcW w:w="526" w:type="dxa"/>
            <w:tcBorders/>
            <w:shd w:fill="CCEEFF" w:val="clear"/>
            <w:vAlign w:val="center"/>
          </w:tcPr>
          <w:p>
            <w:pPr>
              <w:pStyle w:val="TableContents"/>
              <w:spacing w:before="0" w:after="283"/>
              <w:jc w:val="left"/>
              <w:rPr/>
            </w:pPr>
            <w:r>
              <w:rPr/>
              <w:t> </w:t>
            </w:r>
          </w:p>
        </w:tc>
        <w:tc>
          <w:tcPr>
            <w:tcW w:w="1428" w:type="dxa"/>
            <w:tcBorders/>
            <w:shd w:fill="CCEEFF" w:val="clear"/>
            <w:vAlign w:val="center"/>
          </w:tcPr>
          <w:p>
            <w:pPr>
              <w:pStyle w:val="TableContents"/>
              <w:spacing w:before="0" w:after="283"/>
              <w:jc w:val="right"/>
              <w:rPr/>
            </w:pPr>
            <w:r>
              <w:rPr/>
              <w:t>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26" w:type="dxa"/>
            <w:tcBorders/>
            <w:shd w:fill="CCEEFF" w:val="clear"/>
            <w:vAlign w:val="center"/>
          </w:tcPr>
          <w:p>
            <w:pPr>
              <w:pStyle w:val="TableContents"/>
              <w:spacing w:before="0" w:after="283"/>
              <w:jc w:val="left"/>
              <w:rPr/>
            </w:pPr>
            <w:r>
              <w:rPr/>
              <w:t> </w:t>
            </w:r>
          </w:p>
        </w:tc>
        <w:tc>
          <w:tcPr>
            <w:tcW w:w="1428"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475" w:type="dxa"/>
            <w:tcBorders/>
            <w:shd w:fill="FFFFFF" w:val="clear"/>
            <w:vAlign w:val="center"/>
          </w:tcPr>
          <w:p>
            <w:pPr>
              <w:pStyle w:val="TableContents"/>
              <w:spacing w:before="0" w:after="283"/>
              <w:jc w:val="left"/>
              <w:rPr/>
            </w:pPr>
            <w:r>
              <w:rPr/>
              <w:t>Deposits and other current assets</w:t>
            </w:r>
          </w:p>
        </w:tc>
        <w:tc>
          <w:tcPr>
            <w:tcW w:w="60" w:type="dxa"/>
            <w:tcBorders/>
            <w:shd w:fill="FFFFFF" w:val="clear"/>
            <w:vAlign w:val="center"/>
          </w:tcPr>
          <w:p>
            <w:pPr>
              <w:pStyle w:val="TableContents"/>
              <w:spacing w:before="0" w:after="283"/>
              <w:rPr/>
            </w:pPr>
            <w:r>
              <w:rPr/>
              <w:t> </w:t>
            </w:r>
          </w:p>
        </w:tc>
        <w:tc>
          <w:tcPr>
            <w:tcW w:w="52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428" w:type="dxa"/>
            <w:tcBorders>
              <w:bottom w:val="single" w:sz="12" w:space="0" w:color="000000"/>
            </w:tcBorders>
            <w:shd w:fill="FFFFFF" w:val="clear"/>
            <w:tcMar>
              <w:bottom w:w="28" w:type="dxa"/>
            </w:tcMar>
            <w:vAlign w:val="center"/>
          </w:tcPr>
          <w:p>
            <w:pPr>
              <w:pStyle w:val="TableContents"/>
              <w:spacing w:before="0" w:after="283"/>
              <w:jc w:val="right"/>
              <w:rPr/>
            </w:pPr>
            <w:r>
              <w:rPr/>
              <w:t>125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2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428" w:type="dxa"/>
            <w:tcBorders>
              <w:bottom w:val="single" w:sz="12" w:space="0" w:color="000000"/>
            </w:tcBorders>
            <w:shd w:fill="FFFFFF" w:val="clear"/>
            <w:tcMar>
              <w:bottom w:w="28" w:type="dxa"/>
            </w:tcMar>
            <w:vAlign w:val="center"/>
          </w:tcPr>
          <w:p>
            <w:pPr>
              <w:pStyle w:val="TableContents"/>
              <w:spacing w:before="0" w:after="283"/>
              <w:jc w:val="right"/>
              <w:rPr/>
            </w:pPr>
            <w:r>
              <w:rPr/>
              <w:t>124</w:t>
            </w:r>
          </w:p>
        </w:tc>
        <w:tc>
          <w:tcPr>
            <w:tcW w:w="75" w:type="dxa"/>
            <w:tcBorders/>
            <w:shd w:fill="FFFFFF" w:val="clear"/>
            <w:vAlign w:val="center"/>
          </w:tcPr>
          <w:p>
            <w:pPr>
              <w:pStyle w:val="TableContents"/>
              <w:spacing w:before="0" w:after="283"/>
              <w:jc w:val="left"/>
              <w:rPr/>
            </w:pPr>
            <w:r>
              <w:rPr/>
              <w:t> </w:t>
            </w:r>
          </w:p>
        </w:tc>
      </w:tr>
      <w:tr>
        <w:trPr/>
        <w:tc>
          <w:tcPr>
            <w:tcW w:w="4475" w:type="dxa"/>
            <w:tcBorders/>
            <w:shd w:fill="CCEEFF" w:val="clear"/>
            <w:vAlign w:val="center"/>
          </w:tcPr>
          <w:p>
            <w:pPr>
              <w:pStyle w:val="TableContents"/>
              <w:spacing w:before="0" w:after="283"/>
              <w:jc w:val="left"/>
              <w:rPr/>
            </w:pPr>
            <w:r>
              <w:rPr/>
              <w:t>Total prepaid expenses and other current assets</w:t>
            </w:r>
          </w:p>
        </w:tc>
        <w:tc>
          <w:tcPr>
            <w:tcW w:w="60" w:type="dxa"/>
            <w:tcBorders/>
            <w:shd w:fill="CCEEFF" w:val="clear"/>
            <w:vAlign w:val="center"/>
          </w:tcPr>
          <w:p>
            <w:pPr>
              <w:pStyle w:val="TableContents"/>
              <w:spacing w:before="0" w:after="283"/>
              <w:rPr/>
            </w:pPr>
            <w:r>
              <w:rPr/>
              <w:t> </w:t>
            </w:r>
          </w:p>
        </w:tc>
        <w:tc>
          <w:tcPr>
            <w:tcW w:w="526"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spacing w:before="0" w:after="283"/>
              <w:jc w:val="right"/>
              <w:rPr/>
            </w:pPr>
            <w:r>
              <w:rPr/>
              <w:t>837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26"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spacing w:before="0" w:after="283"/>
              <w:jc w:val="right"/>
              <w:rPr/>
            </w:pPr>
            <w:r>
              <w:rPr/>
              <w:t>714</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9. ASSET SALES AND NOTE RECEIVABLE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June 27, 2017, the Company entered into an Asset Purchase Agreement (the “PA Agreement”) with Creative Pharmacy Solutions Central, LLC (the “Buyers”), which closed in July 2017. U</w:t>
      </w:r>
      <w:r>
        <w:rPr>
          <w:rFonts w:ascii="Times New Roman;Times;Serif" w:hAnsi="Times New Roman;Times;Serif"/>
          <w:b w:val="false"/>
          <w:i w:val="false"/>
          <w:caps w:val="false"/>
          <w:smallCaps w:val="false"/>
          <w:sz w:val="17"/>
          <w:highlight w:val="white"/>
        </w:rPr>
        <w:t xml:space="preserve">nder the terms of the PA Agreement, the Company sold substantially all its assets associated with its sinus related business, including but not limited to, certain </w:t>
      </w:r>
      <w:r>
        <w:rPr>
          <w:rFonts w:ascii="Times New Roman;Times;Serif" w:hAnsi="Times New Roman;Times;Serif"/>
          <w:b w:val="false"/>
          <w:i w:val="false"/>
          <w:caps w:val="false"/>
          <w:smallCaps w:val="false"/>
          <w:sz w:val="17"/>
        </w:rPr>
        <w:t xml:space="preserve">intellectual property rights, trademarks, copyrights, inventories, equipment, customer lists, databases, permits, licenses, and assignment of </w:t>
      </w:r>
      <w:r>
        <w:rPr>
          <w:rFonts w:ascii="Times New Roman;Times;Serif" w:hAnsi="Times New Roman;Times;Serif"/>
          <w:b w:val="false"/>
          <w:i w:val="false"/>
          <w:caps w:val="false"/>
          <w:smallCaps w:val="false"/>
          <w:sz w:val="17"/>
          <w:highlight w:val="white"/>
        </w:rPr>
        <w:t>the Company’s lease obligation for its Pennsylvania based pharmacy (the “PA Assets”), for a total purchase price of approximately $450.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Under the terms of the PA Agreement, the Buyers, upon closing, paid to the Company an aggregate cash amount of $40. In addition, the Buyers are obligated to pay the remaining $410 pursuant to a note bearing interest at 6% per annum (the “Sellers Note”). The Buyers are required to make forty-eight monthly cash payments to the Company of $10 following the closing, totaling $462; provided however, that the Buyer had the option to make a one-time payment of $365 any time prior to December 31, 2017, and the Company would waive any remaining amounts due on the Sellers Note. The principal amount of the Sellers Note was also subject to post-closing adjustment through December 31, 2017, if certain criteria were met, however, that period ended and no adjustments were made. There was $397 due under the Sellers Note as of December 31, 2017, which has not yet been paid.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recorded a loss of $69 during the year ended December 31, 2017, related to the sale of the PA Assets.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recorded a loss of $393, which was recorded in other expense, net, during the year ended December 31, 2018, related to the impairment and write-off of all amounts owed to it under its note receivable. The write-off is due to the Company’s estimate of collectability of the asset.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June 2017, in a separate transaction, the Company entered into an agreement to sell certain equipment to a third party for amount of $60 and closed the transaction in July 2017. The Company recorded a loss related to equipment of $52 during the year ended December 31, 2017.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Assets sold during the year ended December 31, 2017 consisted of the following:</w:t>
      </w:r>
    </w:p>
    <w:p>
      <w:pPr>
        <w:pStyle w:val="TextBody"/>
        <w:jc w:val="both"/>
        <w:rPr>
          <w:caps w:val="false"/>
          <w:smallCaps w:val="false"/>
        </w:rPr>
      </w:pPr>
      <w:r>
        <w:rPr>
          <w:caps w:val="false"/>
          <w:smallCaps w:val="false"/>
        </w:rPr>
        <w:t> </w:t>
      </w:r>
    </w:p>
    <w:tbl>
      <w:tblPr>
        <w:tblW w:w="4484" w:type="dxa"/>
        <w:jc w:val="left"/>
        <w:tblInd w:w="0" w:type="dxa"/>
        <w:tblCellMar>
          <w:top w:w="0" w:type="dxa"/>
          <w:left w:w="0" w:type="dxa"/>
          <w:bottom w:w="0" w:type="dxa"/>
          <w:right w:w="0" w:type="dxa"/>
        </w:tblCellMar>
      </w:tblPr>
      <w:tblGrid>
        <w:gridCol w:w="2360"/>
        <w:gridCol w:w="60"/>
        <w:gridCol w:w="459"/>
        <w:gridCol w:w="1495"/>
        <w:gridCol w:w="110"/>
      </w:tblGrid>
      <w:tr>
        <w:trPr/>
        <w:tc>
          <w:tcPr>
            <w:tcW w:w="2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2017</w:t>
            </w:r>
          </w:p>
        </w:tc>
        <w:tc>
          <w:tcPr>
            <w:tcW w:w="110" w:type="dxa"/>
            <w:tcBorders/>
            <w:shd w:fill="auto" w:val="clear"/>
            <w:vAlign w:val="center"/>
          </w:tcPr>
          <w:p>
            <w:pPr>
              <w:pStyle w:val="TableContents"/>
              <w:spacing w:before="0" w:after="283"/>
              <w:rPr/>
            </w:pPr>
            <w:r>
              <w:rPr/>
              <w:t> </w:t>
            </w:r>
          </w:p>
        </w:tc>
      </w:tr>
      <w:tr>
        <w:trPr/>
        <w:tc>
          <w:tcPr>
            <w:tcW w:w="2360" w:type="dxa"/>
            <w:tcBorders/>
            <w:shd w:fill="CCEEFF" w:val="clear"/>
            <w:vAlign w:val="center"/>
          </w:tcPr>
          <w:p>
            <w:pPr>
              <w:pStyle w:val="TableContents"/>
              <w:spacing w:before="0" w:after="283"/>
              <w:rPr/>
            </w:pPr>
            <w:r>
              <w:rPr/>
              <w:t>Inventories</w:t>
            </w:r>
          </w:p>
        </w:tc>
        <w:tc>
          <w:tcPr>
            <w:tcW w:w="60" w:type="dxa"/>
            <w:tcBorders/>
            <w:shd w:fill="CCEEFF" w:val="clear"/>
            <w:vAlign w:val="center"/>
          </w:tcPr>
          <w:p>
            <w:pPr>
              <w:pStyle w:val="TableContents"/>
              <w:spacing w:before="0" w:after="283"/>
              <w:rPr/>
            </w:pPr>
            <w:r>
              <w:rPr/>
              <w:t> </w:t>
            </w:r>
          </w:p>
        </w:tc>
        <w:tc>
          <w:tcPr>
            <w:tcW w:w="459" w:type="dxa"/>
            <w:tcBorders/>
            <w:shd w:fill="CCEEFF" w:val="clear"/>
            <w:vAlign w:val="center"/>
          </w:tcPr>
          <w:p>
            <w:pPr>
              <w:pStyle w:val="TableContents"/>
              <w:spacing w:before="0" w:after="283"/>
              <w:jc w:val="left"/>
              <w:rPr/>
            </w:pPr>
            <w:r>
              <w:rPr/>
              <w:t>$</w:t>
            </w:r>
          </w:p>
        </w:tc>
        <w:tc>
          <w:tcPr>
            <w:tcW w:w="1495" w:type="dxa"/>
            <w:tcBorders/>
            <w:shd w:fill="CCEEFF" w:val="clear"/>
            <w:vAlign w:val="center"/>
          </w:tcPr>
          <w:p>
            <w:pPr>
              <w:pStyle w:val="TableContents"/>
              <w:spacing w:before="0" w:after="283"/>
              <w:jc w:val="right"/>
              <w:rPr/>
            </w:pPr>
            <w:r>
              <w:rPr/>
              <w:t>413</w:t>
            </w:r>
          </w:p>
        </w:tc>
        <w:tc>
          <w:tcPr>
            <w:tcW w:w="110" w:type="dxa"/>
            <w:tcBorders/>
            <w:shd w:fill="CCEE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pPr>
            <w:r>
              <w:rPr/>
              <w:t>Furniture and equipment</w:t>
            </w:r>
          </w:p>
        </w:tc>
        <w:tc>
          <w:tcPr>
            <w:tcW w:w="60" w:type="dxa"/>
            <w:tcBorders/>
            <w:shd w:fill="FFFFFF" w:val="clear"/>
            <w:vAlign w:val="center"/>
          </w:tcPr>
          <w:p>
            <w:pPr>
              <w:pStyle w:val="TableContents"/>
              <w:spacing w:before="0" w:after="283"/>
              <w:rPr/>
            </w:pPr>
            <w:r>
              <w:rPr/>
              <w:t> </w:t>
            </w:r>
          </w:p>
        </w:tc>
        <w:tc>
          <w:tcPr>
            <w:tcW w:w="45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495" w:type="dxa"/>
            <w:tcBorders>
              <w:bottom w:val="single" w:sz="12" w:space="0" w:color="000000"/>
            </w:tcBorders>
            <w:shd w:fill="FFFFFF" w:val="clear"/>
            <w:tcMar>
              <w:bottom w:w="28" w:type="dxa"/>
            </w:tcMar>
            <w:vAlign w:val="center"/>
          </w:tcPr>
          <w:p>
            <w:pPr>
              <w:pStyle w:val="TableContents"/>
              <w:spacing w:before="0" w:after="283"/>
              <w:jc w:val="right"/>
              <w:rPr/>
            </w:pPr>
            <w:r>
              <w:rPr/>
              <w:t>226</w:t>
            </w:r>
          </w:p>
        </w:tc>
        <w:tc>
          <w:tcPr>
            <w:tcW w:w="110" w:type="dxa"/>
            <w:tcBorders/>
            <w:shd w:fill="FFFFFF" w:val="clear"/>
            <w:vAlign w:val="center"/>
          </w:tcPr>
          <w:p>
            <w:pPr>
              <w:pStyle w:val="TableContents"/>
              <w:spacing w:before="0" w:after="283"/>
              <w:jc w:val="left"/>
              <w:rPr/>
            </w:pPr>
            <w:r>
              <w:rPr/>
              <w:t> </w:t>
            </w:r>
          </w:p>
        </w:tc>
      </w:tr>
      <w:tr>
        <w:trPr/>
        <w:tc>
          <w:tcPr>
            <w:tcW w:w="23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9" w:type="dxa"/>
            <w:tcBorders/>
            <w:shd w:fill="CCEEFF" w:val="clear"/>
            <w:vAlign w:val="center"/>
          </w:tcPr>
          <w:p>
            <w:pPr>
              <w:pStyle w:val="TableContents"/>
              <w:spacing w:before="0" w:after="283"/>
              <w:jc w:val="left"/>
              <w:rPr/>
            </w:pPr>
            <w:r>
              <w:rPr/>
              <w:t> </w:t>
            </w:r>
          </w:p>
        </w:tc>
        <w:tc>
          <w:tcPr>
            <w:tcW w:w="1495" w:type="dxa"/>
            <w:tcBorders/>
            <w:shd w:fill="CCEEFF" w:val="clear"/>
            <w:vAlign w:val="center"/>
          </w:tcPr>
          <w:p>
            <w:pPr>
              <w:pStyle w:val="TableContents"/>
              <w:spacing w:before="0" w:after="283"/>
              <w:jc w:val="right"/>
              <w:rPr/>
            </w:pPr>
            <w:r>
              <w:rPr/>
              <w:t>639</w:t>
            </w:r>
          </w:p>
        </w:tc>
        <w:tc>
          <w:tcPr>
            <w:tcW w:w="110" w:type="dxa"/>
            <w:tcBorders/>
            <w:shd w:fill="CCEE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pPr>
            <w:r>
              <w:rPr/>
              <w:t>Loss on asset sale</w:t>
            </w:r>
          </w:p>
        </w:tc>
        <w:tc>
          <w:tcPr>
            <w:tcW w:w="60" w:type="dxa"/>
            <w:tcBorders/>
            <w:shd w:fill="FFFFFF" w:val="clear"/>
            <w:vAlign w:val="center"/>
          </w:tcPr>
          <w:p>
            <w:pPr>
              <w:pStyle w:val="TableContents"/>
              <w:spacing w:before="0" w:after="283"/>
              <w:rPr/>
            </w:pPr>
            <w:r>
              <w:rPr/>
              <w:t> </w:t>
            </w:r>
          </w:p>
        </w:tc>
        <w:tc>
          <w:tcPr>
            <w:tcW w:w="45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495" w:type="dxa"/>
            <w:tcBorders>
              <w:bottom w:val="single" w:sz="12" w:space="0" w:color="000000"/>
            </w:tcBorders>
            <w:shd w:fill="FFFFFF" w:val="clear"/>
            <w:tcMar>
              <w:bottom w:w="28" w:type="dxa"/>
            </w:tcMar>
            <w:vAlign w:val="center"/>
          </w:tcPr>
          <w:p>
            <w:pPr>
              <w:pStyle w:val="TableContents"/>
              <w:spacing w:before="0" w:after="283"/>
              <w:jc w:val="right"/>
              <w:rPr/>
            </w:pPr>
            <w:r>
              <w:rPr/>
              <w:t>(127</w:t>
            </w:r>
          </w:p>
        </w:tc>
        <w:tc>
          <w:tcPr>
            <w:tcW w:w="110" w:type="dxa"/>
            <w:tcBorders/>
            <w:shd w:fill="FFFFFF" w:val="clear"/>
            <w:vAlign w:val="center"/>
          </w:tcPr>
          <w:p>
            <w:pPr>
              <w:pStyle w:val="TableContents"/>
              <w:spacing w:before="0" w:after="283"/>
              <w:jc w:val="left"/>
              <w:rPr/>
            </w:pPr>
            <w:r>
              <w:rPr/>
              <w:t>)</w:t>
            </w:r>
          </w:p>
        </w:tc>
      </w:tr>
      <w:tr>
        <w:trPr/>
        <w:tc>
          <w:tcPr>
            <w:tcW w:w="2360" w:type="dxa"/>
            <w:tcBorders/>
            <w:shd w:fill="CCEEFF" w:val="clear"/>
            <w:vAlign w:val="center"/>
          </w:tcPr>
          <w:p>
            <w:pPr>
              <w:pStyle w:val="TableContents"/>
              <w:spacing w:before="0" w:after="283"/>
              <w:jc w:val="left"/>
              <w:rPr/>
            </w:pPr>
            <w:r>
              <w:rPr/>
              <w:t>Assets sold</w:t>
            </w:r>
          </w:p>
        </w:tc>
        <w:tc>
          <w:tcPr>
            <w:tcW w:w="60" w:type="dxa"/>
            <w:tcBorders/>
            <w:shd w:fill="CCEEFF" w:val="clear"/>
            <w:vAlign w:val="center"/>
          </w:tcPr>
          <w:p>
            <w:pPr>
              <w:pStyle w:val="TableContents"/>
              <w:spacing w:before="0" w:after="283"/>
              <w:rPr/>
            </w:pPr>
            <w:r>
              <w:rPr/>
              <w:t> </w:t>
            </w:r>
          </w:p>
        </w:tc>
        <w:tc>
          <w:tcPr>
            <w:tcW w:w="459"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495" w:type="dxa"/>
            <w:tcBorders>
              <w:bottom w:val="double" w:sz="6" w:space="0" w:color="000000"/>
            </w:tcBorders>
            <w:shd w:fill="CCEEFF" w:val="clear"/>
            <w:tcMar>
              <w:bottom w:w="28" w:type="dxa"/>
            </w:tcMar>
            <w:vAlign w:val="center"/>
          </w:tcPr>
          <w:p>
            <w:pPr>
              <w:pStyle w:val="TableContents"/>
              <w:spacing w:before="0" w:after="283"/>
              <w:jc w:val="right"/>
              <w:rPr/>
            </w:pPr>
            <w:r>
              <w:rPr/>
              <w:t>512</w:t>
            </w:r>
          </w:p>
        </w:tc>
        <w:tc>
          <w:tcPr>
            <w:tcW w:w="11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February 2017, the Company entered into a stock purchase agreement (the “SPA”) with Livernois &amp; London, LLC (“Livernois”). Pursuant to the terms of the SPA, the Company sold to Livernois 100% of the issued and outstanding shares of common stock of its Texas based subsidiary, ImprimisRx TX, Inc. dba ImprimisRx (“Imprimis TX”). The SPA did not transfer to Livernois any of the Company’s rights to intellectual property, products, clients, nor any of its existing business operations. As consideration for the purchase of Imprimis TX, Livernois paid the Company $10 and the Company assigned, and Livernois assumed, the remaining lease obligation totaling $113 for the Texas based facility. The Company recorded a loss of $173 from the sale of Imprimis TX for the year ended December 31, 2017, which is included in the accompanying consolidated statements of operations.</w:t>
      </w:r>
    </w:p>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10. PROPERTY, PLANT AND EQUIPMENT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Property, plant and equipment at December 31, 2018 and 2017 consisted of the following:</w:t>
      </w:r>
    </w:p>
    <w:p>
      <w:pPr>
        <w:pStyle w:val="TextBody"/>
        <w:jc w:val="both"/>
        <w:rPr>
          <w:caps w:val="false"/>
          <w:smallCaps w:val="false"/>
        </w:rPr>
      </w:pPr>
      <w:r>
        <w:rPr>
          <w:caps w:val="false"/>
          <w:smallCaps w:val="false"/>
        </w:rPr>
        <w:t> </w:t>
      </w:r>
    </w:p>
    <w:tbl>
      <w:tblPr>
        <w:tblW w:w="8543" w:type="dxa"/>
        <w:jc w:val="left"/>
        <w:tblInd w:w="0" w:type="dxa"/>
        <w:tblCellMar>
          <w:top w:w="0" w:type="dxa"/>
          <w:left w:w="0" w:type="dxa"/>
          <w:bottom w:w="0" w:type="dxa"/>
          <w:right w:w="0" w:type="dxa"/>
        </w:tblCellMar>
      </w:tblPr>
      <w:tblGrid>
        <w:gridCol w:w="4145"/>
        <w:gridCol w:w="60"/>
        <w:gridCol w:w="333"/>
        <w:gridCol w:w="1621"/>
        <w:gridCol w:w="95"/>
        <w:gridCol w:w="60"/>
        <w:gridCol w:w="352"/>
        <w:gridCol w:w="1602"/>
        <w:gridCol w:w="275"/>
      </w:tblGrid>
      <w:tr>
        <w:trPr/>
        <w:tc>
          <w:tcPr>
            <w:tcW w:w="4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2017</w:t>
            </w:r>
          </w:p>
        </w:tc>
        <w:tc>
          <w:tcPr>
            <w:tcW w:w="275"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283"/>
              <w:jc w:val="left"/>
              <w:rPr/>
            </w:pPr>
            <w:r>
              <w:rPr/>
              <w:t>Property, plant and equipment, net:</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pPr>
            <w:r>
              <w:rPr/>
              <w:t> </w:t>
            </w:r>
          </w:p>
        </w:tc>
        <w:tc>
          <w:tcPr>
            <w:tcW w:w="162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p>
        </w:tc>
        <w:tc>
          <w:tcPr>
            <w:tcW w:w="1602"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4145" w:type="dxa"/>
            <w:tcBorders/>
            <w:shd w:fill="FFFFFF" w:val="clear"/>
            <w:vAlign w:val="center"/>
          </w:tcPr>
          <w:p>
            <w:pPr>
              <w:pStyle w:val="TableContents"/>
              <w:spacing w:before="0" w:after="283"/>
              <w:jc w:val="left"/>
              <w:rPr/>
            </w:pPr>
            <w:r>
              <w:rPr/>
              <w:t>Computer software and hardware</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w:t>
            </w:r>
          </w:p>
        </w:tc>
        <w:tc>
          <w:tcPr>
            <w:tcW w:w="1621" w:type="dxa"/>
            <w:tcBorders/>
            <w:shd w:fill="FFFFFF" w:val="clear"/>
            <w:vAlign w:val="center"/>
          </w:tcPr>
          <w:p>
            <w:pPr>
              <w:pStyle w:val="TableContents"/>
              <w:spacing w:before="0" w:after="283"/>
              <w:jc w:val="right"/>
              <w:rPr/>
            </w:pPr>
            <w:r>
              <w:rPr/>
              <w:t>1,662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w:t>
            </w:r>
          </w:p>
        </w:tc>
        <w:tc>
          <w:tcPr>
            <w:tcW w:w="1602" w:type="dxa"/>
            <w:tcBorders/>
            <w:shd w:fill="FFFFFF" w:val="clear"/>
            <w:vAlign w:val="center"/>
          </w:tcPr>
          <w:p>
            <w:pPr>
              <w:pStyle w:val="TableContents"/>
              <w:spacing w:before="0" w:after="283"/>
              <w:jc w:val="right"/>
              <w:rPr/>
            </w:pPr>
            <w:r>
              <w:rPr/>
              <w:t>1,239</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4145" w:type="dxa"/>
            <w:tcBorders/>
            <w:shd w:fill="CCEEFF" w:val="clear"/>
            <w:vAlign w:val="center"/>
          </w:tcPr>
          <w:p>
            <w:pPr>
              <w:pStyle w:val="TableContents"/>
              <w:spacing w:before="0" w:after="283"/>
              <w:jc w:val="left"/>
              <w:rPr/>
            </w:pPr>
            <w:r>
              <w:rPr/>
              <w:t>Furniture and equipment</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pPr>
            <w:r>
              <w:rPr/>
              <w:t> </w:t>
            </w:r>
          </w:p>
        </w:tc>
        <w:tc>
          <w:tcPr>
            <w:tcW w:w="1621" w:type="dxa"/>
            <w:tcBorders/>
            <w:shd w:fill="CCEEFF" w:val="clear"/>
            <w:vAlign w:val="center"/>
          </w:tcPr>
          <w:p>
            <w:pPr>
              <w:pStyle w:val="TableContents"/>
              <w:spacing w:before="0" w:after="283"/>
              <w:jc w:val="right"/>
              <w:rPr/>
            </w:pPr>
            <w:r>
              <w:rPr/>
              <w:t>397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p>
        </w:tc>
        <w:tc>
          <w:tcPr>
            <w:tcW w:w="1602" w:type="dxa"/>
            <w:tcBorders/>
            <w:shd w:fill="CCEEFF" w:val="clear"/>
            <w:vAlign w:val="center"/>
          </w:tcPr>
          <w:p>
            <w:pPr>
              <w:pStyle w:val="TableContents"/>
              <w:spacing w:before="0" w:after="283"/>
              <w:jc w:val="right"/>
              <w:rPr/>
            </w:pPr>
            <w:r>
              <w:rPr/>
              <w:t>377</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4145" w:type="dxa"/>
            <w:tcBorders/>
            <w:shd w:fill="FFFFFF" w:val="clear"/>
            <w:vAlign w:val="center"/>
          </w:tcPr>
          <w:p>
            <w:pPr>
              <w:pStyle w:val="TableContents"/>
              <w:spacing w:before="0" w:after="283"/>
              <w:jc w:val="left"/>
              <w:rPr/>
            </w:pPr>
            <w:r>
              <w:rPr/>
              <w:t>Lab and pharmacy equipment</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 </w:t>
            </w:r>
          </w:p>
        </w:tc>
        <w:tc>
          <w:tcPr>
            <w:tcW w:w="1621" w:type="dxa"/>
            <w:tcBorders/>
            <w:shd w:fill="FFFFFF" w:val="clear"/>
            <w:vAlign w:val="center"/>
          </w:tcPr>
          <w:p>
            <w:pPr>
              <w:pStyle w:val="TableContents"/>
              <w:spacing w:before="0" w:after="283"/>
              <w:jc w:val="right"/>
              <w:rPr/>
            </w:pPr>
            <w:r>
              <w:rPr/>
              <w:t>3,184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 </w:t>
            </w:r>
          </w:p>
        </w:tc>
        <w:tc>
          <w:tcPr>
            <w:tcW w:w="1602" w:type="dxa"/>
            <w:tcBorders/>
            <w:shd w:fill="FFFFFF" w:val="clear"/>
            <w:vAlign w:val="center"/>
          </w:tcPr>
          <w:p>
            <w:pPr>
              <w:pStyle w:val="TableContents"/>
              <w:spacing w:before="0" w:after="283"/>
              <w:jc w:val="right"/>
              <w:rPr/>
            </w:pPr>
            <w:r>
              <w:rPr/>
              <w:t>2,545</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4145" w:type="dxa"/>
            <w:tcBorders/>
            <w:shd w:fill="CCEEFF" w:val="clear"/>
            <w:vAlign w:val="center"/>
          </w:tcPr>
          <w:p>
            <w:pPr>
              <w:pStyle w:val="TableContents"/>
              <w:spacing w:before="0" w:after="283"/>
              <w:jc w:val="left"/>
              <w:rPr/>
            </w:pPr>
            <w:r>
              <w:rPr/>
              <w:t>Leasehold improvements</w:t>
            </w:r>
          </w:p>
        </w:tc>
        <w:tc>
          <w:tcPr>
            <w:tcW w:w="60" w:type="dxa"/>
            <w:tcBorders/>
            <w:shd w:fill="CCEEFF" w:val="clear"/>
            <w:vAlign w:val="center"/>
          </w:tcPr>
          <w:p>
            <w:pPr>
              <w:pStyle w:val="TableContents"/>
              <w:spacing w:before="0" w:after="283"/>
              <w:rPr/>
            </w:pPr>
            <w:r>
              <w:rPr/>
              <w:t> </w:t>
            </w:r>
          </w:p>
        </w:tc>
        <w:tc>
          <w:tcPr>
            <w:tcW w:w="33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21" w:type="dxa"/>
            <w:tcBorders>
              <w:bottom w:val="single" w:sz="12" w:space="0" w:color="000000"/>
            </w:tcBorders>
            <w:shd w:fill="CCEEFF" w:val="clear"/>
            <w:tcMar>
              <w:bottom w:w="28" w:type="dxa"/>
            </w:tcMar>
            <w:vAlign w:val="center"/>
          </w:tcPr>
          <w:p>
            <w:pPr>
              <w:pStyle w:val="TableContents"/>
              <w:spacing w:before="0" w:after="283"/>
              <w:jc w:val="right"/>
              <w:rPr/>
            </w:pPr>
            <w:r>
              <w:rPr/>
              <w:t>5,496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02" w:type="dxa"/>
            <w:tcBorders>
              <w:bottom w:val="single" w:sz="12" w:space="0" w:color="000000"/>
            </w:tcBorders>
            <w:shd w:fill="CCEEFF" w:val="clear"/>
            <w:tcMar>
              <w:bottom w:w="28" w:type="dxa"/>
            </w:tcMar>
            <w:vAlign w:val="center"/>
          </w:tcPr>
          <w:p>
            <w:pPr>
              <w:pStyle w:val="TableContents"/>
              <w:spacing w:before="0" w:after="283"/>
              <w:jc w:val="right"/>
              <w:rPr/>
            </w:pPr>
            <w:r>
              <w:rPr/>
              <w:t>4,810</w:t>
            </w:r>
          </w:p>
        </w:tc>
        <w:tc>
          <w:tcPr>
            <w:tcW w:w="275" w:type="dxa"/>
            <w:tcBorders/>
            <w:shd w:fill="CCEEFF" w:val="clear"/>
            <w:vAlign w:val="center"/>
          </w:tcPr>
          <w:p>
            <w:pPr>
              <w:pStyle w:val="TableContents"/>
              <w:spacing w:before="0" w:after="283"/>
              <w:jc w:val="left"/>
              <w:rPr/>
            </w:pPr>
            <w:r>
              <w:rPr/>
              <w:t> </w:t>
            </w:r>
          </w:p>
        </w:tc>
      </w:tr>
      <w:tr>
        <w:trPr/>
        <w:tc>
          <w:tcPr>
            <w:tcW w:w="4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 </w:t>
            </w:r>
          </w:p>
        </w:tc>
        <w:tc>
          <w:tcPr>
            <w:tcW w:w="1621" w:type="dxa"/>
            <w:tcBorders/>
            <w:shd w:fill="FFFFFF" w:val="clear"/>
            <w:vAlign w:val="center"/>
          </w:tcPr>
          <w:p>
            <w:pPr>
              <w:pStyle w:val="TableContents"/>
              <w:spacing w:before="0" w:after="283"/>
              <w:jc w:val="right"/>
              <w:rPr/>
            </w:pPr>
            <w:r>
              <w:rPr/>
              <w:t>10,739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 </w:t>
            </w:r>
          </w:p>
        </w:tc>
        <w:tc>
          <w:tcPr>
            <w:tcW w:w="1602" w:type="dxa"/>
            <w:tcBorders/>
            <w:shd w:fill="FFFFFF" w:val="clear"/>
            <w:vAlign w:val="center"/>
          </w:tcPr>
          <w:p>
            <w:pPr>
              <w:pStyle w:val="TableContents"/>
              <w:spacing w:before="0" w:after="283"/>
              <w:jc w:val="right"/>
              <w:rPr/>
            </w:pPr>
            <w:r>
              <w:rPr/>
              <w:t>8,971</w:t>
            </w:r>
          </w:p>
        </w:tc>
        <w:tc>
          <w:tcPr>
            <w:tcW w:w="275" w:type="dxa"/>
            <w:tcBorders/>
            <w:shd w:fill="FFFFFF" w:val="clear"/>
            <w:vAlign w:val="center"/>
          </w:tcPr>
          <w:p>
            <w:pPr>
              <w:pStyle w:val="TableContents"/>
              <w:spacing w:before="0" w:after="283"/>
              <w:jc w:val="left"/>
              <w:rPr/>
            </w:pPr>
            <w:r>
              <w:rPr/>
              <w:t> </w:t>
            </w:r>
          </w:p>
        </w:tc>
      </w:tr>
      <w:tr>
        <w:trPr/>
        <w:tc>
          <w:tcPr>
            <w:tcW w:w="4145" w:type="dxa"/>
            <w:tcBorders/>
            <w:shd w:fill="CCEEFF" w:val="clear"/>
            <w:vAlign w:val="center"/>
          </w:tcPr>
          <w:p>
            <w:pPr>
              <w:pStyle w:val="TableContents"/>
              <w:spacing w:before="0" w:after="283"/>
              <w:jc w:val="left"/>
              <w:rPr/>
            </w:pPr>
            <w:r>
              <w:rPr/>
              <w:t>Accumulated depreciation and amortization</w:t>
            </w:r>
          </w:p>
        </w:tc>
        <w:tc>
          <w:tcPr>
            <w:tcW w:w="60" w:type="dxa"/>
            <w:tcBorders/>
            <w:shd w:fill="CCEEFF" w:val="clear"/>
            <w:vAlign w:val="center"/>
          </w:tcPr>
          <w:p>
            <w:pPr>
              <w:pStyle w:val="TableContents"/>
              <w:spacing w:before="0" w:after="283"/>
              <w:rPr/>
            </w:pPr>
            <w:r>
              <w:rPr/>
              <w:t> </w:t>
            </w:r>
          </w:p>
        </w:tc>
        <w:tc>
          <w:tcPr>
            <w:tcW w:w="33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21" w:type="dxa"/>
            <w:tcBorders>
              <w:bottom w:val="single" w:sz="12" w:space="0" w:color="000000"/>
            </w:tcBorders>
            <w:shd w:fill="CCEEFF" w:val="clear"/>
            <w:tcMar>
              <w:bottom w:w="28" w:type="dxa"/>
            </w:tcMar>
            <w:vAlign w:val="center"/>
          </w:tcPr>
          <w:p>
            <w:pPr>
              <w:pStyle w:val="TableContents"/>
              <w:spacing w:before="0" w:after="283"/>
              <w:jc w:val="right"/>
              <w:rPr/>
            </w:pPr>
            <w:r>
              <w:rPr/>
              <w:t>(4,364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02" w:type="dxa"/>
            <w:tcBorders>
              <w:bottom w:val="single" w:sz="12" w:space="0" w:color="000000"/>
            </w:tcBorders>
            <w:shd w:fill="CCEEFF" w:val="clear"/>
            <w:tcMar>
              <w:bottom w:w="28" w:type="dxa"/>
            </w:tcMar>
            <w:vAlign w:val="center"/>
          </w:tcPr>
          <w:p>
            <w:pPr>
              <w:pStyle w:val="TableContents"/>
              <w:spacing w:before="0" w:after="283"/>
              <w:jc w:val="right"/>
              <w:rPr/>
            </w:pPr>
            <w:r>
              <w:rPr/>
              <w:t>(2,756</w:t>
            </w:r>
          </w:p>
        </w:tc>
        <w:tc>
          <w:tcPr>
            <w:tcW w:w="275" w:type="dxa"/>
            <w:tcBorders/>
            <w:shd w:fill="CCEEFF" w:val="clear"/>
            <w:vAlign w:val="center"/>
          </w:tcPr>
          <w:p>
            <w:pPr>
              <w:pStyle w:val="TableContents"/>
              <w:spacing w:before="0" w:after="283"/>
              <w:jc w:val="left"/>
              <w:rPr/>
            </w:pPr>
            <w:r>
              <w:rPr/>
              <w:t>)</w:t>
            </w:r>
          </w:p>
        </w:tc>
      </w:tr>
      <w:tr>
        <w:trPr/>
        <w:tc>
          <w:tcPr>
            <w:tcW w:w="414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33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621" w:type="dxa"/>
            <w:tcBorders>
              <w:bottom w:val="double" w:sz="6" w:space="0" w:color="000000"/>
            </w:tcBorders>
            <w:shd w:fill="FFFFFF" w:val="clear"/>
            <w:tcMar>
              <w:bottom w:w="28" w:type="dxa"/>
            </w:tcMar>
            <w:vAlign w:val="center"/>
          </w:tcPr>
          <w:p>
            <w:pPr>
              <w:pStyle w:val="TableContents"/>
              <w:spacing w:before="0" w:after="283"/>
              <w:jc w:val="right"/>
              <w:rPr/>
            </w:pPr>
            <w:r>
              <w:rPr/>
              <w:t>6,375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602" w:type="dxa"/>
            <w:tcBorders>
              <w:bottom w:val="double" w:sz="6" w:space="0" w:color="000000"/>
            </w:tcBorders>
            <w:shd w:fill="FFFFFF" w:val="clear"/>
            <w:tcMar>
              <w:bottom w:w="28" w:type="dxa"/>
            </w:tcMar>
            <w:vAlign w:val="center"/>
          </w:tcPr>
          <w:p>
            <w:pPr>
              <w:pStyle w:val="TableContents"/>
              <w:spacing w:before="0" w:after="283"/>
              <w:jc w:val="right"/>
              <w:rPr/>
            </w:pPr>
            <w:r>
              <w:rPr/>
              <w:t>6,215</w:t>
            </w:r>
          </w:p>
        </w:tc>
        <w:tc>
          <w:tcPr>
            <w:tcW w:w="2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recorded depreciation and amortization expense of $1,608 and $1,401 during the years ended December 31, 2018 and 2017,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11. INTANGIBLE ASSETS AND GOODWILL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Company’s intangible assets at December 31, 2018 consisted of the following:</w:t>
      </w:r>
    </w:p>
    <w:p>
      <w:pPr>
        <w:pStyle w:val="TextBody"/>
        <w:rPr>
          <w:caps w:val="false"/>
          <w:smallCaps w:val="false"/>
        </w:rPr>
      </w:pPr>
      <w:r>
        <w:rPr>
          <w:caps w:val="false"/>
          <w:smallCaps w:val="false"/>
        </w:rPr>
        <w:t> </w:t>
      </w:r>
    </w:p>
    <w:tbl>
      <w:tblPr>
        <w:tblW w:w="8685" w:type="dxa"/>
        <w:jc w:val="left"/>
        <w:tblInd w:w="0" w:type="dxa"/>
        <w:tblCellMar>
          <w:top w:w="0" w:type="dxa"/>
          <w:left w:w="0" w:type="dxa"/>
          <w:bottom w:w="0" w:type="dxa"/>
          <w:right w:w="0" w:type="dxa"/>
        </w:tblCellMar>
      </w:tblPr>
      <w:tblGrid>
        <w:gridCol w:w="2285"/>
        <w:gridCol w:w="60"/>
        <w:gridCol w:w="1265"/>
        <w:gridCol w:w="60"/>
        <w:gridCol w:w="140"/>
        <w:gridCol w:w="560"/>
        <w:gridCol w:w="60"/>
        <w:gridCol w:w="60"/>
        <w:gridCol w:w="231"/>
        <w:gridCol w:w="1049"/>
        <w:gridCol w:w="95"/>
        <w:gridCol w:w="60"/>
        <w:gridCol w:w="184"/>
        <w:gridCol w:w="916"/>
        <w:gridCol w:w="95"/>
        <w:gridCol w:w="60"/>
        <w:gridCol w:w="286"/>
        <w:gridCol w:w="1144"/>
        <w:gridCol w:w="75"/>
      </w:tblGrid>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jc w:val="center"/>
              <w:rPr/>
            </w:pPr>
            <w:r>
              <w:rPr/>
              <w:t>Amortization</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jc w:val="center"/>
              <w:rPr/>
            </w:pPr>
            <w:r>
              <w:rPr/>
              <w:t>periods</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jc w:val="center"/>
              <w:rPr/>
            </w:pPr>
            <w:r>
              <w:rPr/>
              <w:t>Net</w:t>
            </w:r>
          </w:p>
        </w:tc>
        <w:tc>
          <w:tcPr>
            <w:tcW w:w="75" w:type="dxa"/>
            <w:tcBorders/>
            <w:shd w:fill="auto"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tcBorders>
              <w:bottom w:val="single" w:sz="12" w:space="0" w:color="000000"/>
            </w:tcBorders>
            <w:shd w:fill="auto" w:val="clear"/>
            <w:tcMar>
              <w:bottom w:w="28" w:type="dxa"/>
            </w:tcMar>
            <w:vAlign w:val="center"/>
          </w:tcPr>
          <w:p>
            <w:pPr>
              <w:pStyle w:val="TableContents"/>
              <w:spacing w:before="0" w:after="283"/>
              <w:jc w:val="center"/>
              <w:rPr/>
            </w:pPr>
            <w:r>
              <w:rPr/>
              <w:t>(in years)</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pPr>
            <w:r>
              <w:rPr/>
              <w:t>Cost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amortization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pPr>
            <w:r>
              <w:rPr/>
              <w:t>Impairment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center"/>
          </w:tcPr>
          <w:p>
            <w:pPr>
              <w:pStyle w:val="TableContents"/>
              <w:spacing w:before="0" w:after="283"/>
              <w:jc w:val="center"/>
              <w:rPr/>
            </w:pPr>
            <w:r>
              <w:rPr/>
              <w:t>Carrying value</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283"/>
              <w:rPr/>
            </w:pPr>
            <w:r>
              <w:rPr/>
              <w:t>Patents</w:t>
            </w:r>
          </w:p>
        </w:tc>
        <w:tc>
          <w:tcPr>
            <w:tcW w:w="60" w:type="dxa"/>
            <w:tcBorders/>
            <w:shd w:fill="CCEEFF" w:val="clear"/>
            <w:vAlign w:val="center"/>
          </w:tcPr>
          <w:p>
            <w:pPr>
              <w:pStyle w:val="TableContents"/>
              <w:spacing w:before="0" w:after="283"/>
              <w:rPr/>
            </w:pPr>
            <w:r>
              <w:rPr/>
              <w:t> </w:t>
            </w:r>
          </w:p>
        </w:tc>
        <w:tc>
          <w:tcPr>
            <w:tcW w:w="1265" w:type="dxa"/>
            <w:tcBorders/>
            <w:shd w:fill="CCEEFF" w:val="clear"/>
            <w:vAlign w:val="center"/>
          </w:tcPr>
          <w:p>
            <w:pPr>
              <w:pStyle w:val="TableContents"/>
              <w:spacing w:before="0" w:after="283"/>
              <w:jc w:val="center"/>
              <w:rPr/>
            </w:pPr>
            <w:r>
              <w:rPr/>
              <w:t>17-19 years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755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w:t>
            </w:r>
          </w:p>
        </w:tc>
        <w:tc>
          <w:tcPr>
            <w:tcW w:w="1049" w:type="dxa"/>
            <w:tcBorders/>
            <w:shd w:fill="CCEEFF" w:val="clear"/>
            <w:vAlign w:val="center"/>
          </w:tcPr>
          <w:p>
            <w:pPr>
              <w:pStyle w:val="TableContents"/>
              <w:spacing w:before="0" w:after="283"/>
              <w:jc w:val="right"/>
              <w:rPr/>
            </w:pPr>
            <w:r>
              <w:rPr/>
              <w:t>(49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jc w:val="left"/>
              <w:rPr/>
            </w:pPr>
            <w:r>
              <w:rPr/>
              <w:t>$</w:t>
            </w:r>
          </w:p>
        </w:tc>
        <w:tc>
          <w:tcPr>
            <w:tcW w:w="916" w:type="dxa"/>
            <w:tcBorders/>
            <w:shd w:fill="CCEEFF" w:val="clear"/>
            <w:vAlign w:val="center"/>
          </w:tcPr>
          <w:p>
            <w:pPr>
              <w:pStyle w:val="TableContents"/>
              <w:spacing w:before="0" w:after="283"/>
              <w:jc w:val="right"/>
              <w:rPr/>
            </w:pPr>
            <w:r>
              <w:rPr/>
              <w:t>          </w:t>
            </w: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w:t>
            </w:r>
          </w:p>
        </w:tc>
        <w:tc>
          <w:tcPr>
            <w:tcW w:w="1144" w:type="dxa"/>
            <w:tcBorders/>
            <w:shd w:fill="CCEEFF" w:val="clear"/>
            <w:vAlign w:val="center"/>
          </w:tcPr>
          <w:p>
            <w:pPr>
              <w:pStyle w:val="TableContents"/>
              <w:spacing w:before="0" w:after="283"/>
              <w:jc w:val="right"/>
              <w:rPr/>
            </w:pPr>
            <w:r>
              <w:rPr/>
              <w:t>706</w:t>
            </w:r>
          </w:p>
        </w:tc>
        <w:tc>
          <w:tcPr>
            <w:tcW w:w="75" w:type="dxa"/>
            <w:tcBorders/>
            <w:shd w:fill="CCEEFF" w:val="clear"/>
            <w:vAlign w:val="center"/>
          </w:tcPr>
          <w:p>
            <w:pPr>
              <w:pStyle w:val="TableContents"/>
              <w:spacing w:before="0" w:after="283"/>
              <w:jc w:val="left"/>
              <w:rPr/>
            </w:pPr>
            <w:r>
              <w:rPr/>
              <w:t> </w:t>
            </w:r>
          </w:p>
        </w:tc>
      </w:tr>
      <w:tr>
        <w:trPr/>
        <w:tc>
          <w:tcPr>
            <w:tcW w:w="2285" w:type="dxa"/>
            <w:tcBorders/>
            <w:shd w:fill="FFFFFF" w:val="clear"/>
            <w:vAlign w:val="center"/>
          </w:tcPr>
          <w:p>
            <w:pPr>
              <w:pStyle w:val="TableContents"/>
              <w:spacing w:before="0" w:after="283"/>
              <w:rPr/>
            </w:pPr>
            <w:r>
              <w:rPr/>
              <w:t>Licenses</w:t>
            </w:r>
          </w:p>
        </w:tc>
        <w:tc>
          <w:tcPr>
            <w:tcW w:w="60" w:type="dxa"/>
            <w:tcBorders/>
            <w:shd w:fill="FFFFFF" w:val="clear"/>
            <w:vAlign w:val="center"/>
          </w:tcPr>
          <w:p>
            <w:pPr>
              <w:pStyle w:val="TableContents"/>
              <w:spacing w:before="0" w:after="283"/>
              <w:rPr/>
            </w:pPr>
            <w:r>
              <w:rPr/>
              <w:t> </w:t>
            </w:r>
          </w:p>
        </w:tc>
        <w:tc>
          <w:tcPr>
            <w:tcW w:w="1265" w:type="dxa"/>
            <w:tcBorders/>
            <w:shd w:fill="FFFFFF" w:val="clear"/>
            <w:vAlign w:val="center"/>
          </w:tcPr>
          <w:p>
            <w:pPr>
              <w:pStyle w:val="TableContents"/>
              <w:spacing w:before="0" w:after="283"/>
              <w:jc w:val="center"/>
              <w:rPr/>
            </w:pPr>
            <w:r>
              <w:rPr/>
              <w:t>20 years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49"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50</w:t>
            </w:r>
          </w:p>
        </w:tc>
        <w:tc>
          <w:tcPr>
            <w:tcW w:w="75" w:type="dxa"/>
            <w:tcBorders/>
            <w:shd w:fill="FFFFFF" w:val="clear"/>
            <w:vAlign w:val="center"/>
          </w:tcPr>
          <w:p>
            <w:pPr>
              <w:pStyle w:val="TableContents"/>
              <w:spacing w:before="0" w:after="283"/>
              <w:jc w:val="left"/>
              <w:rPr/>
            </w:pPr>
            <w:r>
              <w:rPr/>
              <w:t> </w:t>
            </w:r>
          </w:p>
        </w:tc>
      </w:tr>
      <w:tr>
        <w:trPr/>
        <w:tc>
          <w:tcPr>
            <w:tcW w:w="2285" w:type="dxa"/>
            <w:tcBorders/>
            <w:shd w:fill="CCEEFF" w:val="clear"/>
            <w:vAlign w:val="center"/>
          </w:tcPr>
          <w:p>
            <w:pPr>
              <w:pStyle w:val="TableContents"/>
              <w:spacing w:before="0" w:after="283"/>
              <w:rPr/>
            </w:pPr>
            <w:r>
              <w:rPr/>
              <w:t>Trademarks</w:t>
            </w:r>
          </w:p>
        </w:tc>
        <w:tc>
          <w:tcPr>
            <w:tcW w:w="60" w:type="dxa"/>
            <w:tcBorders/>
            <w:shd w:fill="CCEEFF" w:val="clear"/>
            <w:vAlign w:val="center"/>
          </w:tcPr>
          <w:p>
            <w:pPr>
              <w:pStyle w:val="TableContents"/>
              <w:spacing w:before="0" w:after="283"/>
              <w:rPr/>
            </w:pPr>
            <w:r>
              <w:rPr/>
              <w:t> </w:t>
            </w:r>
          </w:p>
        </w:tc>
        <w:tc>
          <w:tcPr>
            <w:tcW w:w="1265" w:type="dxa"/>
            <w:tcBorders/>
            <w:shd w:fill="CCEEFF" w:val="clear"/>
            <w:vAlign w:val="center"/>
          </w:tcPr>
          <w:p>
            <w:pPr>
              <w:pStyle w:val="TableContents"/>
              <w:spacing w:before="0" w:after="283"/>
              <w:jc w:val="center"/>
              <w:rPr/>
            </w:pPr>
            <w:r>
              <w:rPr/>
              <w:t>Indefinite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320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49"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320</w:t>
            </w:r>
          </w:p>
        </w:tc>
        <w:tc>
          <w:tcPr>
            <w:tcW w:w="75" w:type="dxa"/>
            <w:tcBorders/>
            <w:shd w:fill="CCEEFF" w:val="clear"/>
            <w:vAlign w:val="center"/>
          </w:tcPr>
          <w:p>
            <w:pPr>
              <w:pStyle w:val="TableContents"/>
              <w:spacing w:before="0" w:after="283"/>
              <w:jc w:val="left"/>
              <w:rPr/>
            </w:pPr>
            <w:r>
              <w:rPr/>
              <w:t> </w:t>
            </w:r>
          </w:p>
        </w:tc>
      </w:tr>
      <w:tr>
        <w:trPr/>
        <w:tc>
          <w:tcPr>
            <w:tcW w:w="2285" w:type="dxa"/>
            <w:tcBorders/>
            <w:shd w:fill="FFFFFF" w:val="clear"/>
            <w:vAlign w:val="center"/>
          </w:tcPr>
          <w:p>
            <w:pPr>
              <w:pStyle w:val="TableContents"/>
              <w:spacing w:before="0" w:after="283"/>
              <w:jc w:val="left"/>
              <w:rPr/>
            </w:pPr>
            <w:r>
              <w:rPr/>
              <w:t>Customer relationships</w:t>
            </w:r>
          </w:p>
        </w:tc>
        <w:tc>
          <w:tcPr>
            <w:tcW w:w="60" w:type="dxa"/>
            <w:tcBorders/>
            <w:shd w:fill="FFFFFF" w:val="clear"/>
            <w:vAlign w:val="center"/>
          </w:tcPr>
          <w:p>
            <w:pPr>
              <w:pStyle w:val="TableContents"/>
              <w:spacing w:before="0" w:after="283"/>
              <w:rPr/>
            </w:pPr>
            <w:r>
              <w:rPr/>
              <w:t> </w:t>
            </w:r>
          </w:p>
        </w:tc>
        <w:tc>
          <w:tcPr>
            <w:tcW w:w="1265" w:type="dxa"/>
            <w:tcBorders/>
            <w:shd w:fill="FFFFFF" w:val="clear"/>
            <w:vAlign w:val="center"/>
          </w:tcPr>
          <w:p>
            <w:pPr>
              <w:pStyle w:val="TableContents"/>
              <w:spacing w:before="0" w:after="283"/>
              <w:jc w:val="center"/>
              <w:rPr/>
            </w:pPr>
            <w:r>
              <w:rPr/>
              <w:t>3-15 years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2,998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49" w:type="dxa"/>
            <w:tcBorders/>
            <w:shd w:fill="FFFFFF" w:val="clear"/>
            <w:vAlign w:val="center"/>
          </w:tcPr>
          <w:p>
            <w:pPr>
              <w:pStyle w:val="TableContents"/>
              <w:spacing w:before="0" w:after="283"/>
              <w:jc w:val="right"/>
              <w:rPr/>
            </w:pPr>
            <w:r>
              <w:rPr/>
              <w:t>(1,014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(15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1,969</w:t>
            </w:r>
          </w:p>
        </w:tc>
        <w:tc>
          <w:tcPr>
            <w:tcW w:w="75" w:type="dxa"/>
            <w:tcBorders/>
            <w:shd w:fill="FFFFFF" w:val="clear"/>
            <w:vAlign w:val="center"/>
          </w:tcPr>
          <w:p>
            <w:pPr>
              <w:pStyle w:val="TableContents"/>
              <w:spacing w:before="0" w:after="283"/>
              <w:jc w:val="left"/>
              <w:rPr/>
            </w:pPr>
            <w:r>
              <w:rPr/>
              <w:t> </w:t>
            </w:r>
          </w:p>
        </w:tc>
      </w:tr>
      <w:tr>
        <w:trPr/>
        <w:tc>
          <w:tcPr>
            <w:tcW w:w="2285" w:type="dxa"/>
            <w:tcBorders/>
            <w:shd w:fill="CCEEFF" w:val="clear"/>
            <w:vAlign w:val="center"/>
          </w:tcPr>
          <w:p>
            <w:pPr>
              <w:pStyle w:val="TableContents"/>
              <w:spacing w:before="0" w:after="283"/>
              <w:jc w:val="left"/>
              <w:rPr/>
            </w:pPr>
            <w:r>
              <w:rPr/>
              <w:t>Trade name</w:t>
            </w:r>
          </w:p>
        </w:tc>
        <w:tc>
          <w:tcPr>
            <w:tcW w:w="60" w:type="dxa"/>
            <w:tcBorders/>
            <w:shd w:fill="CCEEFF" w:val="clear"/>
            <w:vAlign w:val="center"/>
          </w:tcPr>
          <w:p>
            <w:pPr>
              <w:pStyle w:val="TableContents"/>
              <w:spacing w:before="0" w:after="283"/>
              <w:rPr/>
            </w:pPr>
            <w:r>
              <w:rPr/>
              <w:t> </w:t>
            </w:r>
          </w:p>
        </w:tc>
        <w:tc>
          <w:tcPr>
            <w:tcW w:w="1265" w:type="dxa"/>
            <w:tcBorders/>
            <w:shd w:fill="CCEEFF" w:val="clear"/>
            <w:vAlign w:val="center"/>
          </w:tcPr>
          <w:p>
            <w:pPr>
              <w:pStyle w:val="TableContents"/>
              <w:spacing w:before="0" w:after="283"/>
              <w:jc w:val="center"/>
              <w:rPr/>
            </w:pPr>
            <w:r>
              <w:rPr/>
              <w:t>5 years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16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49" w:type="dxa"/>
            <w:tcBorders/>
            <w:shd w:fill="CCEEFF" w:val="clear"/>
            <w:vAlign w:val="center"/>
          </w:tcPr>
          <w:p>
            <w:pPr>
              <w:pStyle w:val="TableContents"/>
              <w:spacing w:before="0" w:after="283"/>
              <w:jc w:val="right"/>
              <w:rPr/>
            </w:pPr>
            <w:r>
              <w:rPr/>
              <w:t>(13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jc w:val="left"/>
              <w:rPr/>
            </w:pPr>
            <w:r>
              <w:rPr/>
              <w:t> </w:t>
            </w:r>
          </w:p>
        </w:tc>
        <w:tc>
          <w:tcPr>
            <w:tcW w:w="916" w:type="dxa"/>
            <w:tcBorders/>
            <w:shd w:fill="CCEEFF" w:val="clear"/>
            <w:vAlign w:val="center"/>
          </w:tcPr>
          <w:p>
            <w:pPr>
              <w:pStyle w:val="TableContents"/>
              <w:spacing w:before="0" w:after="283"/>
              <w:jc w:val="right"/>
              <w:rPr/>
            </w:pPr>
            <w:r>
              <w:rPr/>
              <w:t>(1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2</w:t>
            </w:r>
          </w:p>
        </w:tc>
        <w:tc>
          <w:tcPr>
            <w:tcW w:w="75" w:type="dxa"/>
            <w:tcBorders/>
            <w:shd w:fill="CCEEFF" w:val="clear"/>
            <w:vAlign w:val="center"/>
          </w:tcPr>
          <w:p>
            <w:pPr>
              <w:pStyle w:val="TableContents"/>
              <w:spacing w:before="0" w:after="283"/>
              <w:jc w:val="left"/>
              <w:rPr/>
            </w:pPr>
            <w:r>
              <w:rPr/>
              <w:t> </w:t>
            </w:r>
          </w:p>
        </w:tc>
      </w:tr>
      <w:tr>
        <w:trPr/>
        <w:tc>
          <w:tcPr>
            <w:tcW w:w="2285" w:type="dxa"/>
            <w:tcBorders/>
            <w:shd w:fill="FFFFFF" w:val="clear"/>
            <w:vAlign w:val="center"/>
          </w:tcPr>
          <w:p>
            <w:pPr>
              <w:pStyle w:val="TableContents"/>
              <w:spacing w:before="0" w:after="283"/>
              <w:jc w:val="left"/>
              <w:rPr/>
            </w:pPr>
            <w:r>
              <w:rPr/>
              <w:t>Non-competition clause</w:t>
            </w:r>
          </w:p>
        </w:tc>
        <w:tc>
          <w:tcPr>
            <w:tcW w:w="60" w:type="dxa"/>
            <w:tcBorders/>
            <w:shd w:fill="FFFFFF" w:val="clear"/>
            <w:vAlign w:val="center"/>
          </w:tcPr>
          <w:p>
            <w:pPr>
              <w:pStyle w:val="TableContents"/>
              <w:spacing w:before="0" w:after="283"/>
              <w:rPr/>
            </w:pPr>
            <w:r>
              <w:rPr/>
              <w:t> </w:t>
            </w:r>
          </w:p>
        </w:tc>
        <w:tc>
          <w:tcPr>
            <w:tcW w:w="1265" w:type="dxa"/>
            <w:tcBorders/>
            <w:shd w:fill="FFFFFF" w:val="clear"/>
            <w:vAlign w:val="center"/>
          </w:tcPr>
          <w:p>
            <w:pPr>
              <w:pStyle w:val="TableContents"/>
              <w:spacing w:before="0" w:after="283"/>
              <w:jc w:val="center"/>
              <w:rPr/>
            </w:pPr>
            <w:r>
              <w:rPr/>
              <w:t>3-4 years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294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49" w:type="dxa"/>
            <w:tcBorders/>
            <w:shd w:fill="FFFFFF" w:val="clear"/>
            <w:vAlign w:val="center"/>
          </w:tcPr>
          <w:p>
            <w:pPr>
              <w:pStyle w:val="TableContents"/>
              <w:spacing w:before="0" w:after="283"/>
              <w:jc w:val="right"/>
              <w:rPr/>
            </w:pPr>
            <w:r>
              <w:rPr/>
              <w:t>(274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jc w:val="left"/>
              <w:rPr/>
            </w:pPr>
            <w:r>
              <w:rPr/>
              <w:t> </w:t>
            </w:r>
          </w:p>
        </w:tc>
        <w:tc>
          <w:tcPr>
            <w:tcW w:w="916" w:type="dxa"/>
            <w:tcBorders/>
            <w:shd w:fill="FFFFFF" w:val="clear"/>
            <w:vAlign w:val="center"/>
          </w:tcPr>
          <w:p>
            <w:pPr>
              <w:pStyle w:val="TableContents"/>
              <w:spacing w:before="0" w:after="283"/>
              <w:jc w:val="right"/>
              <w:rPr/>
            </w:pPr>
            <w:r>
              <w:rPr/>
              <w:t>(20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2285" w:type="dxa"/>
            <w:tcBorders/>
            <w:shd w:fill="CCEEFF" w:val="clear"/>
            <w:vAlign w:val="center"/>
          </w:tcPr>
          <w:p>
            <w:pPr>
              <w:pStyle w:val="TableContents"/>
              <w:spacing w:before="0" w:after="283"/>
              <w:jc w:val="left"/>
              <w:rPr/>
            </w:pPr>
            <w:r>
              <w:rPr/>
              <w:t>State pharmacy licenses</w:t>
            </w:r>
          </w:p>
        </w:tc>
        <w:tc>
          <w:tcPr>
            <w:tcW w:w="60" w:type="dxa"/>
            <w:tcBorders/>
            <w:shd w:fill="CCEEFF" w:val="clear"/>
            <w:vAlign w:val="center"/>
          </w:tcPr>
          <w:p>
            <w:pPr>
              <w:pStyle w:val="TableContents"/>
              <w:spacing w:before="0" w:after="283"/>
              <w:rPr/>
            </w:pPr>
            <w:r>
              <w:rPr/>
              <w:t> </w:t>
            </w:r>
          </w:p>
        </w:tc>
        <w:tc>
          <w:tcPr>
            <w:tcW w:w="1265" w:type="dxa"/>
            <w:tcBorders/>
            <w:shd w:fill="CCEEFF" w:val="clear"/>
            <w:vAlign w:val="center"/>
          </w:tcPr>
          <w:p>
            <w:pPr>
              <w:pStyle w:val="TableContents"/>
              <w:spacing w:before="0" w:after="283"/>
              <w:jc w:val="center"/>
              <w:rPr/>
            </w:pPr>
            <w:r>
              <w:rPr/>
              <w:t>25 years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spacing w:before="0" w:after="283"/>
              <w:jc w:val="right"/>
              <w:rPr/>
            </w:pPr>
            <w:r>
              <w:rPr/>
              <w:t>(5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8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spacing w:before="0" w:after="283"/>
              <w:jc w:val="right"/>
              <w:rPr/>
            </w:pPr>
            <w:r>
              <w:rPr/>
              <w:t>(28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8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12</w:t>
            </w:r>
          </w:p>
        </w:tc>
        <w:tc>
          <w:tcPr>
            <w:tcW w:w="75" w:type="dxa"/>
            <w:tcBorders/>
            <w:shd w:fill="CCEEFF" w:val="clear"/>
            <w:vAlign w:val="center"/>
          </w:tcPr>
          <w:p>
            <w:pPr>
              <w:pStyle w:val="TableContents"/>
              <w:spacing w:before="0" w:after="283"/>
              <w:jc w:val="left"/>
              <w:rPr/>
            </w:pPr>
            <w:r>
              <w:rPr/>
              <w:t> </w:t>
            </w:r>
          </w:p>
        </w:tc>
      </w:tr>
      <w:tr>
        <w:trPr/>
        <w:tc>
          <w:tcPr>
            <w:tcW w:w="228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spacing w:before="0" w:after="283"/>
              <w:jc w:val="right"/>
              <w:rPr/>
            </w:pPr>
            <w:r>
              <w:rPr/>
              <w:t>4,478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1"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49" w:type="dxa"/>
            <w:tcBorders>
              <w:bottom w:val="double" w:sz="6" w:space="0" w:color="000000"/>
            </w:tcBorders>
            <w:shd w:fill="FFFFFF" w:val="clear"/>
            <w:tcMar>
              <w:bottom w:w="28" w:type="dxa"/>
            </w:tcMar>
            <w:vAlign w:val="center"/>
          </w:tcPr>
          <w:p>
            <w:pPr>
              <w:pStyle w:val="TableContents"/>
              <w:spacing w:before="0" w:after="283"/>
              <w:jc w:val="right"/>
              <w:rPr/>
            </w:pPr>
            <w:r>
              <w:rPr/>
              <w:t>(1,355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84"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spacing w:before="0" w:after="283"/>
              <w:jc w:val="right"/>
              <w:rPr/>
            </w:pPr>
            <w:r>
              <w:rPr/>
              <w:t>(64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86"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44" w:type="dxa"/>
            <w:tcBorders>
              <w:bottom w:val="double" w:sz="6" w:space="0" w:color="000000"/>
            </w:tcBorders>
            <w:shd w:fill="FFFFFF" w:val="clear"/>
            <w:tcMar>
              <w:bottom w:w="28" w:type="dxa"/>
            </w:tcMar>
            <w:vAlign w:val="center"/>
          </w:tcPr>
          <w:p>
            <w:pPr>
              <w:pStyle w:val="TableContents"/>
              <w:spacing w:before="0" w:after="283"/>
              <w:jc w:val="right"/>
              <w:rPr/>
            </w:pPr>
            <w:r>
              <w:rPr/>
              <w:t>3,059</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Amortization expense for intangible assets for the year ended December 31 was as follows:</w:t>
      </w:r>
    </w:p>
    <w:p>
      <w:pPr>
        <w:pStyle w:val="TextBody"/>
        <w:rPr>
          <w:caps w:val="false"/>
          <w:smallCaps w:val="false"/>
        </w:rPr>
      </w:pPr>
      <w:r>
        <w:rPr>
          <w:caps w:val="false"/>
          <w:smallCaps w:val="false"/>
        </w:rPr>
        <w:t> </w:t>
      </w:r>
    </w:p>
    <w:tbl>
      <w:tblPr>
        <w:tblW w:w="6328" w:type="dxa"/>
        <w:jc w:val="left"/>
        <w:tblInd w:w="0" w:type="dxa"/>
        <w:tblCellMar>
          <w:top w:w="0" w:type="dxa"/>
          <w:left w:w="0" w:type="dxa"/>
          <w:bottom w:w="0" w:type="dxa"/>
          <w:right w:w="0" w:type="dxa"/>
        </w:tblCellMar>
      </w:tblPr>
      <w:tblGrid>
        <w:gridCol w:w="2285"/>
        <w:gridCol w:w="60"/>
        <w:gridCol w:w="510"/>
        <w:gridCol w:w="1384"/>
        <w:gridCol w:w="60"/>
        <w:gridCol w:w="60"/>
        <w:gridCol w:w="510"/>
        <w:gridCol w:w="1384"/>
        <w:gridCol w:w="75"/>
      </w:tblGrid>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For the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For the</w:t>
            </w:r>
          </w:p>
        </w:tc>
        <w:tc>
          <w:tcPr>
            <w:tcW w:w="75" w:type="dxa"/>
            <w:tcBorders/>
            <w:shd w:fill="auto"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shd w:fill="auto" w:val="clear"/>
            <w:vAlign w:val="center"/>
          </w:tcPr>
          <w:p>
            <w:pPr>
              <w:pStyle w:val="TableContents"/>
              <w:spacing w:before="0" w:after="283"/>
              <w:jc w:val="center"/>
              <w:rPr/>
            </w:pPr>
            <w:r>
              <w:rPr/>
              <w:t>Year Ended</w:t>
            </w:r>
          </w:p>
        </w:tc>
        <w:tc>
          <w:tcPr>
            <w:tcW w:w="75" w:type="dxa"/>
            <w:tcBorders/>
            <w:shd w:fill="auto"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283"/>
              <w:rPr/>
            </w:pPr>
            <w:r>
              <w:rPr/>
              <w:t>Patents</w:t>
            </w:r>
          </w:p>
        </w:tc>
        <w:tc>
          <w:tcPr>
            <w:tcW w:w="60"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jc w:val="left"/>
              <w:rPr/>
            </w:pPr>
            <w:r>
              <w:rPr/>
              <w:t>$</w:t>
            </w:r>
          </w:p>
        </w:tc>
        <w:tc>
          <w:tcPr>
            <w:tcW w:w="1384" w:type="dxa"/>
            <w:tcBorders/>
            <w:shd w:fill="CCEEFF" w:val="clear"/>
            <w:vAlign w:val="center"/>
          </w:tcPr>
          <w:p>
            <w:pPr>
              <w:pStyle w:val="TableContents"/>
              <w:spacing w:before="0" w:after="283"/>
              <w:jc w:val="right"/>
              <w:rPr/>
            </w:pPr>
            <w:r>
              <w:rPr/>
              <w:t>28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jc w:val="left"/>
              <w:rPr/>
            </w:pPr>
            <w:r>
              <w:rPr/>
              <w:t>$</w:t>
            </w:r>
          </w:p>
        </w:tc>
        <w:tc>
          <w:tcPr>
            <w:tcW w:w="1384" w:type="dxa"/>
            <w:tcBorders/>
            <w:shd w:fill="CCEEFF" w:val="clear"/>
            <w:vAlign w:val="center"/>
          </w:tcPr>
          <w:p>
            <w:pPr>
              <w:pStyle w:val="TableContents"/>
              <w:spacing w:before="0" w:after="283"/>
              <w:jc w:val="right"/>
              <w:rPr/>
            </w:pPr>
            <w:r>
              <w:rPr/>
              <w:t>15</w:t>
            </w:r>
          </w:p>
        </w:tc>
        <w:tc>
          <w:tcPr>
            <w:tcW w:w="75" w:type="dxa"/>
            <w:tcBorders/>
            <w:shd w:fill="CCEEFF" w:val="clear"/>
            <w:vAlign w:val="center"/>
          </w:tcPr>
          <w:p>
            <w:pPr>
              <w:pStyle w:val="TableContents"/>
              <w:spacing w:before="0" w:after="283"/>
              <w:jc w:val="left"/>
              <w:rPr/>
            </w:pPr>
            <w:r>
              <w:rPr/>
              <w:t> </w:t>
            </w:r>
          </w:p>
        </w:tc>
      </w:tr>
      <w:tr>
        <w:trPr/>
        <w:tc>
          <w:tcPr>
            <w:tcW w:w="2285" w:type="dxa"/>
            <w:tcBorders/>
            <w:shd w:fill="FFFFFF" w:val="clear"/>
            <w:vAlign w:val="center"/>
          </w:tcPr>
          <w:p>
            <w:pPr>
              <w:pStyle w:val="TableContents"/>
              <w:spacing w:before="0" w:after="283"/>
              <w:rPr/>
            </w:pPr>
            <w:r>
              <w:rPr/>
              <w:t>Licenses</w:t>
            </w:r>
          </w:p>
        </w:tc>
        <w:tc>
          <w:tcPr>
            <w:tcW w:w="60"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left"/>
              <w:rPr/>
            </w:pPr>
            <w:r>
              <w:rPr/>
              <w:t> </w:t>
            </w:r>
          </w:p>
        </w:tc>
        <w:tc>
          <w:tcPr>
            <w:tcW w:w="1384"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left"/>
              <w:rPr/>
            </w:pPr>
            <w:r>
              <w:rPr/>
              <w:t> </w:t>
            </w:r>
          </w:p>
        </w:tc>
        <w:tc>
          <w:tcPr>
            <w:tcW w:w="1384"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2285" w:type="dxa"/>
            <w:tcBorders/>
            <w:shd w:fill="CCEEFF" w:val="clear"/>
            <w:vAlign w:val="center"/>
          </w:tcPr>
          <w:p>
            <w:pPr>
              <w:pStyle w:val="TableContents"/>
              <w:spacing w:before="0" w:after="283"/>
              <w:jc w:val="left"/>
              <w:rPr/>
            </w:pPr>
            <w:r>
              <w:rPr/>
              <w:t>Customer relationships</w:t>
            </w:r>
          </w:p>
        </w:tc>
        <w:tc>
          <w:tcPr>
            <w:tcW w:w="60"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jc w:val="left"/>
              <w:rPr/>
            </w:pPr>
            <w:r>
              <w:rPr/>
              <w:t> </w:t>
            </w:r>
          </w:p>
        </w:tc>
        <w:tc>
          <w:tcPr>
            <w:tcW w:w="1384" w:type="dxa"/>
            <w:tcBorders/>
            <w:shd w:fill="CCEEFF" w:val="clear"/>
            <w:vAlign w:val="center"/>
          </w:tcPr>
          <w:p>
            <w:pPr>
              <w:pStyle w:val="TableContents"/>
              <w:spacing w:before="0" w:after="283"/>
              <w:jc w:val="right"/>
              <w:rPr/>
            </w:pPr>
            <w:r>
              <w:rPr/>
              <w:t>201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jc w:val="left"/>
              <w:rPr/>
            </w:pPr>
            <w:r>
              <w:rPr/>
              <w:t> </w:t>
            </w:r>
          </w:p>
        </w:tc>
        <w:tc>
          <w:tcPr>
            <w:tcW w:w="1384" w:type="dxa"/>
            <w:tcBorders/>
            <w:shd w:fill="CCEEFF" w:val="clear"/>
            <w:vAlign w:val="center"/>
          </w:tcPr>
          <w:p>
            <w:pPr>
              <w:pStyle w:val="TableContents"/>
              <w:spacing w:before="0" w:after="283"/>
              <w:jc w:val="right"/>
              <w:rPr/>
            </w:pPr>
            <w:r>
              <w:rPr/>
              <w:t>257</w:t>
            </w:r>
          </w:p>
        </w:tc>
        <w:tc>
          <w:tcPr>
            <w:tcW w:w="75" w:type="dxa"/>
            <w:tcBorders/>
            <w:shd w:fill="CCEEFF" w:val="clear"/>
            <w:vAlign w:val="center"/>
          </w:tcPr>
          <w:p>
            <w:pPr>
              <w:pStyle w:val="TableContents"/>
              <w:spacing w:before="0" w:after="283"/>
              <w:jc w:val="left"/>
              <w:rPr/>
            </w:pPr>
            <w:r>
              <w:rPr/>
              <w:t> </w:t>
            </w:r>
          </w:p>
        </w:tc>
      </w:tr>
      <w:tr>
        <w:trPr/>
        <w:tc>
          <w:tcPr>
            <w:tcW w:w="2285" w:type="dxa"/>
            <w:tcBorders/>
            <w:shd w:fill="FFFFFF" w:val="clear"/>
            <w:vAlign w:val="center"/>
          </w:tcPr>
          <w:p>
            <w:pPr>
              <w:pStyle w:val="TableContents"/>
              <w:spacing w:before="0" w:after="283"/>
              <w:jc w:val="left"/>
              <w:rPr/>
            </w:pPr>
            <w:r>
              <w:rPr/>
              <w:t>Trade name</w:t>
            </w:r>
          </w:p>
        </w:tc>
        <w:tc>
          <w:tcPr>
            <w:tcW w:w="60"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left"/>
              <w:rPr/>
            </w:pPr>
            <w:r>
              <w:rPr/>
              <w:t> </w:t>
            </w:r>
          </w:p>
        </w:tc>
        <w:tc>
          <w:tcPr>
            <w:tcW w:w="1384" w:type="dxa"/>
            <w:tcBorders/>
            <w:shd w:fill="FFFFFF" w:val="clear"/>
            <w:vAlign w:val="center"/>
          </w:tcPr>
          <w:p>
            <w:pPr>
              <w:pStyle w:val="TableContents"/>
              <w:spacing w:before="0" w:after="283"/>
              <w:jc w:val="right"/>
              <w:rPr/>
            </w:pPr>
            <w:r>
              <w:rPr/>
              <w:t>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left"/>
              <w:rPr/>
            </w:pPr>
            <w:r>
              <w:rPr/>
              <w:t> </w:t>
            </w:r>
          </w:p>
        </w:tc>
        <w:tc>
          <w:tcPr>
            <w:tcW w:w="1384" w:type="dxa"/>
            <w:tcBorders/>
            <w:shd w:fill="FFFFFF" w:val="clear"/>
            <w:vAlign w:val="center"/>
          </w:tcPr>
          <w:p>
            <w:pPr>
              <w:pStyle w:val="TableContents"/>
              <w:spacing w:before="0" w:after="283"/>
              <w:jc w:val="right"/>
              <w:rPr/>
            </w:pPr>
            <w:r>
              <w:rPr/>
              <w:t>3</w:t>
            </w:r>
          </w:p>
        </w:tc>
        <w:tc>
          <w:tcPr>
            <w:tcW w:w="75" w:type="dxa"/>
            <w:tcBorders/>
            <w:shd w:fill="FFFFFF" w:val="clear"/>
            <w:vAlign w:val="center"/>
          </w:tcPr>
          <w:p>
            <w:pPr>
              <w:pStyle w:val="TableContents"/>
              <w:spacing w:before="0" w:after="283"/>
              <w:jc w:val="left"/>
              <w:rPr/>
            </w:pPr>
            <w:r>
              <w:rPr/>
              <w:t> </w:t>
            </w:r>
          </w:p>
        </w:tc>
      </w:tr>
      <w:tr>
        <w:trPr/>
        <w:tc>
          <w:tcPr>
            <w:tcW w:w="2285" w:type="dxa"/>
            <w:tcBorders/>
            <w:shd w:fill="CCEEFF" w:val="clear"/>
            <w:vAlign w:val="center"/>
          </w:tcPr>
          <w:p>
            <w:pPr>
              <w:pStyle w:val="TableContents"/>
              <w:spacing w:before="0" w:after="283"/>
              <w:jc w:val="left"/>
              <w:rPr/>
            </w:pPr>
            <w:r>
              <w:rPr/>
              <w:t>Non-competition clause</w:t>
            </w:r>
          </w:p>
        </w:tc>
        <w:tc>
          <w:tcPr>
            <w:tcW w:w="60"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jc w:val="left"/>
              <w:rPr/>
            </w:pPr>
            <w:r>
              <w:rPr/>
              <w:t> </w:t>
            </w:r>
          </w:p>
        </w:tc>
        <w:tc>
          <w:tcPr>
            <w:tcW w:w="1384"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jc w:val="left"/>
              <w:rPr/>
            </w:pPr>
            <w:r>
              <w:rPr/>
              <w:t> </w:t>
            </w:r>
          </w:p>
        </w:tc>
        <w:tc>
          <w:tcPr>
            <w:tcW w:w="1384" w:type="dxa"/>
            <w:tcBorders/>
            <w:shd w:fill="CCEEFF" w:val="clear"/>
            <w:vAlign w:val="center"/>
          </w:tcPr>
          <w:p>
            <w:pPr>
              <w:pStyle w:val="TableContents"/>
              <w:spacing w:before="0" w:after="283"/>
              <w:jc w:val="right"/>
              <w:rPr/>
            </w:pPr>
            <w:r>
              <w:rPr/>
              <w:t>87</w:t>
            </w:r>
          </w:p>
        </w:tc>
        <w:tc>
          <w:tcPr>
            <w:tcW w:w="75" w:type="dxa"/>
            <w:tcBorders/>
            <w:shd w:fill="CCEEFF" w:val="clear"/>
            <w:vAlign w:val="center"/>
          </w:tcPr>
          <w:p>
            <w:pPr>
              <w:pStyle w:val="TableContents"/>
              <w:spacing w:before="0" w:after="283"/>
              <w:jc w:val="left"/>
              <w:rPr/>
            </w:pPr>
            <w:r>
              <w:rPr/>
              <w:t> </w:t>
            </w:r>
          </w:p>
        </w:tc>
      </w:tr>
      <w:tr>
        <w:trPr/>
        <w:tc>
          <w:tcPr>
            <w:tcW w:w="2285" w:type="dxa"/>
            <w:tcBorders/>
            <w:shd w:fill="FFFFFF" w:val="clear"/>
            <w:vAlign w:val="center"/>
          </w:tcPr>
          <w:p>
            <w:pPr>
              <w:pStyle w:val="TableContents"/>
              <w:spacing w:before="0" w:after="283"/>
              <w:jc w:val="left"/>
              <w:rPr/>
            </w:pPr>
            <w:r>
              <w:rPr/>
              <w:t>State pharmacy licenses</w:t>
            </w:r>
          </w:p>
        </w:tc>
        <w:tc>
          <w:tcPr>
            <w:tcW w:w="60" w:type="dxa"/>
            <w:tcBorders/>
            <w:shd w:fill="FFFFFF" w:val="clear"/>
            <w:vAlign w:val="center"/>
          </w:tcPr>
          <w:p>
            <w:pPr>
              <w:pStyle w:val="TableContents"/>
              <w:spacing w:before="0" w:after="283"/>
              <w:rPr/>
            </w:pPr>
            <w:r>
              <w:rPr/>
              <w:t> </w:t>
            </w:r>
          </w:p>
        </w:tc>
        <w:tc>
          <w:tcPr>
            <w:tcW w:w="5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spacing w:before="0" w:after="283"/>
              <w:jc w:val="right"/>
              <w:rPr/>
            </w:pPr>
            <w:r>
              <w:rPr/>
              <w:t>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spacing w:before="0" w:after="283"/>
              <w:jc w:val="right"/>
              <w:rPr/>
            </w:pPr>
            <w:r>
              <w:rPr/>
              <w:t>2</w:t>
            </w:r>
          </w:p>
        </w:tc>
        <w:tc>
          <w:tcPr>
            <w:tcW w:w="75" w:type="dxa"/>
            <w:tcBorders/>
            <w:shd w:fill="FFFFFF" w:val="clear"/>
            <w:vAlign w:val="center"/>
          </w:tcPr>
          <w:p>
            <w:pPr>
              <w:pStyle w:val="TableContents"/>
              <w:spacing w:before="0" w:after="283"/>
              <w:jc w:val="left"/>
              <w:rPr/>
            </w:pPr>
            <w:r>
              <w:rPr/>
              <w:t> </w:t>
            </w:r>
          </w:p>
        </w:tc>
      </w:tr>
      <w:tr>
        <w:trPr/>
        <w:tc>
          <w:tcPr>
            <w:tcW w:w="22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384" w:type="dxa"/>
            <w:tcBorders>
              <w:bottom w:val="double" w:sz="6" w:space="0" w:color="000000"/>
            </w:tcBorders>
            <w:shd w:fill="CCEEFF" w:val="clear"/>
            <w:tcMar>
              <w:bottom w:w="28" w:type="dxa"/>
            </w:tcMar>
            <w:vAlign w:val="center"/>
          </w:tcPr>
          <w:p>
            <w:pPr>
              <w:pStyle w:val="TableContents"/>
              <w:spacing w:before="0" w:after="283"/>
              <w:jc w:val="right"/>
              <w:rPr/>
            </w:pPr>
            <w:r>
              <w:rPr/>
              <w:t>235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1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384" w:type="dxa"/>
            <w:tcBorders>
              <w:bottom w:val="double" w:sz="6" w:space="0" w:color="000000"/>
            </w:tcBorders>
            <w:shd w:fill="CCEEFF" w:val="clear"/>
            <w:tcMar>
              <w:bottom w:w="28" w:type="dxa"/>
            </w:tcMar>
            <w:vAlign w:val="center"/>
          </w:tcPr>
          <w:p>
            <w:pPr>
              <w:pStyle w:val="TableContents"/>
              <w:spacing w:before="0" w:after="283"/>
              <w:jc w:val="right"/>
              <w:rPr/>
            </w:pPr>
            <w:r>
              <w:rPr/>
              <w:t>364</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Estimated future amortization expense for the Company’s intangible assets at December 31, 2018 is as follows:</w:t>
      </w:r>
    </w:p>
    <w:p>
      <w:pPr>
        <w:pStyle w:val="TextBody"/>
        <w:rPr>
          <w:caps w:val="false"/>
          <w:smallCaps w:val="false"/>
        </w:rPr>
      </w:pPr>
      <w:r>
        <w:rPr>
          <w:caps w:val="false"/>
          <w:smallCaps w:val="false"/>
        </w:rPr>
        <w:t> </w:t>
      </w:r>
    </w:p>
    <w:tbl>
      <w:tblPr>
        <w:tblW w:w="3525" w:type="dxa"/>
        <w:jc w:val="left"/>
        <w:tblInd w:w="0" w:type="dxa"/>
        <w:tblCellMar>
          <w:top w:w="0" w:type="dxa"/>
          <w:left w:w="0" w:type="dxa"/>
          <w:bottom w:w="28" w:type="dxa"/>
          <w:right w:w="0" w:type="dxa"/>
        </w:tblCellMar>
      </w:tblPr>
      <w:tblGrid>
        <w:gridCol w:w="2690"/>
        <w:gridCol w:w="60"/>
        <w:gridCol w:w="140"/>
        <w:gridCol w:w="560"/>
        <w:gridCol w:w="75"/>
      </w:tblGrid>
      <w:tr>
        <w:trPr/>
        <w:tc>
          <w:tcPr>
            <w:tcW w:w="2690" w:type="dxa"/>
            <w:tcBorders>
              <w:bottom w:val="single" w:sz="12" w:space="0" w:color="000000"/>
            </w:tcBorders>
            <w:shd w:fill="auto" w:val="clear"/>
            <w:vAlign w:val="center"/>
          </w:tcPr>
          <w:p>
            <w:pPr>
              <w:pStyle w:val="TableContents"/>
              <w:spacing w:before="0" w:after="283"/>
              <w:rPr/>
            </w:pPr>
            <w:r>
              <w:rPr/>
              <w:t>Years ending December 31,</w:t>
            </w:r>
          </w:p>
        </w:tc>
        <w:tc>
          <w:tcPr>
            <w:tcW w:w="60" w:type="dxa"/>
            <w:tcBorders/>
            <w:shd w:fill="auto" w:val="clear"/>
            <w:tcMar>
              <w:bottom w:w="0" w:type="dxa"/>
            </w:tcMar>
            <w:vAlign w:val="center"/>
          </w:tcPr>
          <w:p>
            <w:pPr>
              <w:pStyle w:val="TableContents"/>
              <w:spacing w:before="0" w:after="283"/>
              <w:rPr/>
            </w:pPr>
            <w:r>
              <w:rPr/>
              <w:t> </w:t>
            </w:r>
          </w:p>
        </w:tc>
        <w:tc>
          <w:tcPr>
            <w:tcW w:w="700" w:type="dxa"/>
            <w:gridSpan w:val="2"/>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2690" w:type="dxa"/>
            <w:tcBorders/>
            <w:shd w:fill="CCEEFF" w:val="clear"/>
            <w:tcMar>
              <w:bottom w:w="0" w:type="dxa"/>
            </w:tcMar>
            <w:vAlign w:val="center"/>
          </w:tcPr>
          <w:p>
            <w:pPr>
              <w:pStyle w:val="TableContents"/>
              <w:spacing w:before="0" w:after="283"/>
              <w:rPr/>
            </w:pPr>
            <w:r>
              <w:rPr/>
              <w:t>2019</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244</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690" w:type="dxa"/>
            <w:tcBorders/>
            <w:shd w:fill="FFFFFF" w:val="clear"/>
            <w:tcMar>
              <w:bottom w:w="0"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2020</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560" w:type="dxa"/>
            <w:tcBorders/>
            <w:shd w:fill="FFFFFF" w:val="clear"/>
            <w:tcMar>
              <w:bottom w:w="0" w:type="dxa"/>
            </w:tcMar>
            <w:vAlign w:val="center"/>
          </w:tcPr>
          <w:p>
            <w:pPr>
              <w:pStyle w:val="TableContents"/>
              <w:spacing w:before="0" w:after="283"/>
              <w:jc w:val="right"/>
              <w:rPr/>
            </w:pPr>
            <w:r>
              <w:rPr/>
              <w:t>242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690" w:type="dxa"/>
            <w:tcBorders/>
            <w:shd w:fill="CCEEFF" w:val="clear"/>
            <w:tcMar>
              <w:bottom w:w="0"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2021</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242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690" w:type="dxa"/>
            <w:tcBorders/>
            <w:shd w:fill="FFFFFF" w:val="clear"/>
            <w:tcMar>
              <w:bottom w:w="0"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2022</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560" w:type="dxa"/>
            <w:tcBorders/>
            <w:shd w:fill="FFFFFF" w:val="clear"/>
            <w:tcMar>
              <w:bottom w:w="0" w:type="dxa"/>
            </w:tcMar>
            <w:vAlign w:val="center"/>
          </w:tcPr>
          <w:p>
            <w:pPr>
              <w:pStyle w:val="TableContents"/>
              <w:spacing w:before="0" w:after="283"/>
              <w:jc w:val="right"/>
              <w:rPr/>
            </w:pPr>
            <w:r>
              <w:rPr/>
              <w:t>242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690" w:type="dxa"/>
            <w:tcBorders/>
            <w:shd w:fill="CCEEFF" w:val="clear"/>
            <w:tcMar>
              <w:bottom w:w="0"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Thereafter</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560" w:type="dxa"/>
            <w:tcBorders>
              <w:bottom w:val="single" w:sz="12" w:space="0" w:color="000000"/>
            </w:tcBorders>
            <w:shd w:fill="CCEEFF" w:val="clear"/>
            <w:vAlign w:val="center"/>
          </w:tcPr>
          <w:p>
            <w:pPr>
              <w:pStyle w:val="TableContents"/>
              <w:spacing w:before="0" w:after="283"/>
              <w:jc w:val="right"/>
              <w:rPr/>
            </w:pPr>
            <w:r>
              <w:rPr/>
              <w:t>2,089</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6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double" w:sz="6" w:space="0" w:color="000000"/>
            </w:tcBorders>
            <w:shd w:fill="FFFFFF" w:val="clear"/>
            <w:vAlign w:val="center"/>
          </w:tcPr>
          <w:p>
            <w:pPr>
              <w:pStyle w:val="TableContents"/>
              <w:spacing w:before="0" w:after="283"/>
              <w:jc w:val="left"/>
              <w:rPr/>
            </w:pPr>
            <w:r>
              <w:rPr/>
              <w:t>$</w:t>
            </w:r>
          </w:p>
        </w:tc>
        <w:tc>
          <w:tcPr>
            <w:tcW w:w="560" w:type="dxa"/>
            <w:tcBorders>
              <w:bottom w:val="double" w:sz="6" w:space="0" w:color="000000"/>
            </w:tcBorders>
            <w:shd w:fill="FFFFFF" w:val="clear"/>
            <w:vAlign w:val="center"/>
          </w:tcPr>
          <w:p>
            <w:pPr>
              <w:pStyle w:val="TableContents"/>
              <w:spacing w:before="0" w:after="283"/>
              <w:jc w:val="right"/>
              <w:rPr/>
            </w:pPr>
            <w:r>
              <w:rPr/>
              <w:t>3,059</w:t>
            </w:r>
          </w:p>
        </w:tc>
        <w:tc>
          <w:tcPr>
            <w:tcW w:w="75" w:type="dxa"/>
            <w:tcBorders/>
            <w:shd w:fill="FFFFFF" w:val="clear"/>
            <w:tcMar>
              <w:bottom w:w="0" w:type="dxa"/>
            </w:tcM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There have been no changes in the carrying value of the Company’s goodwill during the year ended December 31, 2018.</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F-19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1080" w:right="0" w:hanging="1080"/>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12. ACCOUNTS PAYABLE AND ACCRUED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Accounts payable and accrued expenses at December 31, 2018 and 2017 consisted of the following:</w:t>
      </w:r>
    </w:p>
    <w:p>
      <w:pPr>
        <w:pStyle w:val="TextBody"/>
        <w:jc w:val="both"/>
        <w:rPr>
          <w:caps w:val="false"/>
          <w:smallCaps w:val="false"/>
        </w:rPr>
      </w:pPr>
      <w:r>
        <w:rPr>
          <w:caps w:val="false"/>
          <w:smallCaps w:val="false"/>
        </w:rPr>
        <w:t> </w:t>
      </w:r>
    </w:p>
    <w:tbl>
      <w:tblPr>
        <w:tblW w:w="8753" w:type="dxa"/>
        <w:jc w:val="left"/>
        <w:tblInd w:w="0" w:type="dxa"/>
        <w:tblCellMar>
          <w:top w:w="0" w:type="dxa"/>
          <w:left w:w="0" w:type="dxa"/>
          <w:bottom w:w="0" w:type="dxa"/>
          <w:right w:w="0" w:type="dxa"/>
        </w:tblCellMar>
      </w:tblPr>
      <w:tblGrid>
        <w:gridCol w:w="4520"/>
        <w:gridCol w:w="60"/>
        <w:gridCol w:w="352"/>
        <w:gridCol w:w="1602"/>
        <w:gridCol w:w="95"/>
        <w:gridCol w:w="60"/>
        <w:gridCol w:w="352"/>
        <w:gridCol w:w="1602"/>
        <w:gridCol w:w="110"/>
      </w:tblGrid>
      <w:tr>
        <w:trPr/>
        <w:tc>
          <w:tcPr>
            <w:tcW w:w="4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2017</w:t>
            </w:r>
          </w:p>
        </w:tc>
        <w:tc>
          <w:tcPr>
            <w:tcW w:w="110" w:type="dxa"/>
            <w:tcBorders/>
            <w:shd w:fill="auto" w:val="clear"/>
            <w:vAlign w:val="center"/>
          </w:tcPr>
          <w:p>
            <w:pPr>
              <w:pStyle w:val="TableContents"/>
              <w:spacing w:before="0" w:after="283"/>
              <w:rPr/>
            </w:pPr>
            <w:r>
              <w:rPr/>
              <w:t> </w:t>
            </w:r>
          </w:p>
        </w:tc>
      </w:tr>
      <w:tr>
        <w:trPr/>
        <w:tc>
          <w:tcPr>
            <w:tcW w:w="4520" w:type="dxa"/>
            <w:tcBorders/>
            <w:shd w:fill="CCEEFF" w:val="clear"/>
            <w:vAlign w:val="center"/>
          </w:tcPr>
          <w:p>
            <w:pPr>
              <w:pStyle w:val="TableContents"/>
              <w:spacing w:before="0" w:after="283"/>
              <w:jc w:val="left"/>
              <w:rPr/>
            </w:pPr>
            <w:r>
              <w:rPr/>
              <w:t>Accounts payable</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w:t>
            </w:r>
          </w:p>
        </w:tc>
        <w:tc>
          <w:tcPr>
            <w:tcW w:w="1602" w:type="dxa"/>
            <w:tcBorders/>
            <w:shd w:fill="CCEEFF" w:val="clear"/>
            <w:vAlign w:val="center"/>
          </w:tcPr>
          <w:p>
            <w:pPr>
              <w:pStyle w:val="TableContents"/>
              <w:spacing w:before="0" w:after="283"/>
              <w:jc w:val="right"/>
              <w:rPr/>
            </w:pPr>
            <w:r>
              <w:rPr/>
              <w:t>5,606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w:t>
            </w:r>
          </w:p>
        </w:tc>
        <w:tc>
          <w:tcPr>
            <w:tcW w:w="1602" w:type="dxa"/>
            <w:tcBorders/>
            <w:shd w:fill="CCEEFF" w:val="clear"/>
            <w:vAlign w:val="center"/>
          </w:tcPr>
          <w:p>
            <w:pPr>
              <w:pStyle w:val="TableContents"/>
              <w:spacing w:before="0" w:after="283"/>
              <w:jc w:val="right"/>
              <w:rPr/>
            </w:pPr>
            <w:r>
              <w:rPr/>
              <w:t>3,241</w:t>
            </w:r>
          </w:p>
        </w:tc>
        <w:tc>
          <w:tcPr>
            <w:tcW w:w="110" w:type="dxa"/>
            <w:tcBorders/>
            <w:shd w:fill="CCEEFF" w:val="clear"/>
            <w:vAlign w:val="center"/>
          </w:tcPr>
          <w:p>
            <w:pPr>
              <w:pStyle w:val="TableContents"/>
              <w:spacing w:before="0" w:after="283"/>
              <w:jc w:val="left"/>
              <w:rPr/>
            </w:pPr>
            <w:r>
              <w:rPr/>
              <w:t> </w:t>
            </w:r>
          </w:p>
        </w:tc>
      </w:tr>
      <w:tr>
        <w:trPr/>
        <w:tc>
          <w:tcPr>
            <w:tcW w:w="4520" w:type="dxa"/>
            <w:tcBorders/>
            <w:shd w:fill="FFFFFF" w:val="clear"/>
            <w:vAlign w:val="center"/>
          </w:tcPr>
          <w:p>
            <w:pPr>
              <w:pStyle w:val="TableContents"/>
              <w:spacing w:before="0" w:after="283"/>
              <w:jc w:val="left"/>
              <w:rPr/>
            </w:pPr>
            <w:r>
              <w:rPr/>
              <w:t>Deferred rent</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 </w:t>
            </w:r>
          </w:p>
        </w:tc>
        <w:tc>
          <w:tcPr>
            <w:tcW w:w="1602" w:type="dxa"/>
            <w:tcBorders/>
            <w:shd w:fill="FFFFFF" w:val="clear"/>
            <w:vAlign w:val="center"/>
          </w:tcPr>
          <w:p>
            <w:pPr>
              <w:pStyle w:val="TableContents"/>
              <w:spacing w:before="0" w:after="283"/>
              <w:jc w:val="right"/>
              <w:rPr/>
            </w:pPr>
            <w:r>
              <w:rPr/>
              <w:t>388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 </w:t>
            </w:r>
          </w:p>
        </w:tc>
        <w:tc>
          <w:tcPr>
            <w:tcW w:w="1602" w:type="dxa"/>
            <w:tcBorders/>
            <w:shd w:fill="FFFFFF" w:val="clear"/>
            <w:vAlign w:val="center"/>
          </w:tcPr>
          <w:p>
            <w:pPr>
              <w:pStyle w:val="TableContents"/>
              <w:spacing w:before="0" w:after="283"/>
              <w:jc w:val="right"/>
              <w:rPr/>
            </w:pPr>
            <w:r>
              <w:rPr/>
              <w:t>388</w:t>
            </w:r>
          </w:p>
        </w:tc>
        <w:tc>
          <w:tcPr>
            <w:tcW w:w="110" w:type="dxa"/>
            <w:tcBorders/>
            <w:shd w:fill="FFFFFF" w:val="clear"/>
            <w:vAlign w:val="center"/>
          </w:tcPr>
          <w:p>
            <w:pPr>
              <w:pStyle w:val="TableContents"/>
              <w:spacing w:before="0" w:after="283"/>
              <w:jc w:val="left"/>
              <w:rPr/>
            </w:pPr>
            <w:r>
              <w:rPr/>
              <w:t> </w:t>
            </w:r>
          </w:p>
        </w:tc>
      </w:tr>
      <w:tr>
        <w:trPr/>
        <w:tc>
          <w:tcPr>
            <w:tcW w:w="4520" w:type="dxa"/>
            <w:tcBorders/>
            <w:shd w:fill="CCEEFF" w:val="clear"/>
            <w:vAlign w:val="center"/>
          </w:tcPr>
          <w:p>
            <w:pPr>
              <w:pStyle w:val="TableContents"/>
              <w:spacing w:before="0" w:after="283"/>
              <w:jc w:val="left"/>
              <w:rPr/>
            </w:pPr>
            <w:r>
              <w:rPr/>
              <w:t>Accrued interest (see Note 13)</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p>
        </w:tc>
        <w:tc>
          <w:tcPr>
            <w:tcW w:w="1602" w:type="dxa"/>
            <w:tcBorders/>
            <w:shd w:fill="CCEEFF" w:val="clear"/>
            <w:vAlign w:val="center"/>
          </w:tcPr>
          <w:p>
            <w:pPr>
              <w:pStyle w:val="TableContents"/>
              <w:spacing w:before="0" w:after="283"/>
              <w:jc w:val="right"/>
              <w:rPr/>
            </w:pPr>
            <w:r>
              <w:rPr/>
              <w:t>256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p>
        </w:tc>
        <w:tc>
          <w:tcPr>
            <w:tcW w:w="1602" w:type="dxa"/>
            <w:tcBorders/>
            <w:shd w:fill="CCEEFF" w:val="clear"/>
            <w:vAlign w:val="center"/>
          </w:tcPr>
          <w:p>
            <w:pPr>
              <w:pStyle w:val="TableContents"/>
              <w:spacing w:before="0" w:after="283"/>
              <w:jc w:val="right"/>
              <w:rPr/>
            </w:pPr>
            <w:r>
              <w:rPr/>
              <w:t>256</w:t>
            </w:r>
          </w:p>
        </w:tc>
        <w:tc>
          <w:tcPr>
            <w:tcW w:w="110" w:type="dxa"/>
            <w:tcBorders/>
            <w:shd w:fill="CCEEFF" w:val="clear"/>
            <w:vAlign w:val="center"/>
          </w:tcPr>
          <w:p>
            <w:pPr>
              <w:pStyle w:val="TableContents"/>
              <w:spacing w:before="0" w:after="283"/>
              <w:jc w:val="left"/>
              <w:rPr/>
            </w:pPr>
            <w:r>
              <w:rPr/>
              <w:t> </w:t>
            </w:r>
          </w:p>
        </w:tc>
      </w:tr>
      <w:tr>
        <w:trPr/>
        <w:tc>
          <w:tcPr>
            <w:tcW w:w="4520" w:type="dxa"/>
            <w:tcBorders/>
            <w:shd w:fill="FFFFFF" w:val="clear"/>
            <w:vAlign w:val="center"/>
          </w:tcPr>
          <w:p>
            <w:pPr>
              <w:pStyle w:val="TableContents"/>
              <w:spacing w:before="0" w:after="283"/>
              <w:jc w:val="left"/>
              <w:rPr/>
            </w:pPr>
            <w:r>
              <w:rPr/>
              <w:t>Accrued exit fee for note payable (see Note 13)</w:t>
            </w:r>
          </w:p>
        </w:tc>
        <w:tc>
          <w:tcPr>
            <w:tcW w:w="60" w:type="dxa"/>
            <w:tcBorders/>
            <w:shd w:fill="FFFFFF" w:val="clear"/>
            <w:vAlign w:val="center"/>
          </w:tcPr>
          <w:p>
            <w:pPr>
              <w:pStyle w:val="TableContents"/>
              <w:spacing w:before="0" w:after="283"/>
              <w:rPr/>
            </w:pPr>
            <w:r>
              <w:rPr/>
              <w:t> </w:t>
            </w:r>
          </w:p>
        </w:tc>
        <w:tc>
          <w:tcPr>
            <w:tcW w:w="35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02" w:type="dxa"/>
            <w:tcBorders>
              <w:bottom w:val="single" w:sz="12" w:space="0" w:color="000000"/>
            </w:tcBorders>
            <w:shd w:fill="FFFFFF" w:val="clear"/>
            <w:tcMar>
              <w:bottom w:w="28" w:type="dxa"/>
            </w:tcMar>
            <w:vAlign w:val="center"/>
          </w:tcPr>
          <w:p>
            <w:pPr>
              <w:pStyle w:val="TableContents"/>
              <w:spacing w:before="0" w:after="283"/>
              <w:jc w:val="right"/>
              <w:rPr/>
            </w:pPr>
            <w:r>
              <w:rPr/>
              <w:t>800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02" w:type="dxa"/>
            <w:tcBorders>
              <w:bottom w:val="single" w:sz="12" w:space="0" w:color="000000"/>
            </w:tcBorders>
            <w:shd w:fill="FFFFFF" w:val="clear"/>
            <w:tcMar>
              <w:bottom w:w="28" w:type="dxa"/>
            </w:tcMar>
            <w:vAlign w:val="center"/>
          </w:tcPr>
          <w:p>
            <w:pPr>
              <w:pStyle w:val="TableContents"/>
              <w:spacing w:before="0" w:after="283"/>
              <w:jc w:val="right"/>
              <w:rPr/>
            </w:pPr>
            <w:r>
              <w:rPr/>
              <w:t>800</w:t>
            </w:r>
          </w:p>
        </w:tc>
        <w:tc>
          <w:tcPr>
            <w:tcW w:w="110" w:type="dxa"/>
            <w:tcBorders/>
            <w:shd w:fill="FFFFFF" w:val="clear"/>
            <w:vAlign w:val="center"/>
          </w:tcPr>
          <w:p>
            <w:pPr>
              <w:pStyle w:val="TableContents"/>
              <w:spacing w:before="0" w:after="283"/>
              <w:jc w:val="left"/>
              <w:rPr/>
            </w:pPr>
            <w:r>
              <w:rPr/>
              <w:t> </w:t>
            </w:r>
          </w:p>
        </w:tc>
      </w:tr>
      <w:tr>
        <w:trPr/>
        <w:tc>
          <w:tcPr>
            <w:tcW w:w="4520" w:type="dxa"/>
            <w:tcBorders/>
            <w:shd w:fill="CCEEFF" w:val="clear"/>
            <w:vAlign w:val="center"/>
          </w:tcPr>
          <w:p>
            <w:pPr>
              <w:pStyle w:val="TableContents"/>
              <w:spacing w:before="0" w:after="283"/>
              <w:jc w:val="left"/>
              <w:rPr/>
            </w:pPr>
            <w:r>
              <w:rPr/>
              <w:t>Total accounts payable and accrued expenses</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p>
        </w:tc>
        <w:tc>
          <w:tcPr>
            <w:tcW w:w="1602" w:type="dxa"/>
            <w:tcBorders/>
            <w:shd w:fill="CCEEFF" w:val="clear"/>
            <w:vAlign w:val="center"/>
          </w:tcPr>
          <w:p>
            <w:pPr>
              <w:pStyle w:val="TableContents"/>
              <w:spacing w:before="0" w:after="283"/>
              <w:jc w:val="right"/>
              <w:rPr/>
            </w:pPr>
            <w:r>
              <w:rPr/>
              <w:t>7,050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p>
        </w:tc>
        <w:tc>
          <w:tcPr>
            <w:tcW w:w="1602" w:type="dxa"/>
            <w:tcBorders/>
            <w:shd w:fill="CCEEFF" w:val="clear"/>
            <w:vAlign w:val="center"/>
          </w:tcPr>
          <w:p>
            <w:pPr>
              <w:pStyle w:val="TableContents"/>
              <w:spacing w:before="0" w:after="283"/>
              <w:jc w:val="right"/>
              <w:rPr/>
            </w:pPr>
            <w:r>
              <w:rPr/>
              <w:t>4,685</w:t>
            </w:r>
          </w:p>
        </w:tc>
        <w:tc>
          <w:tcPr>
            <w:tcW w:w="110" w:type="dxa"/>
            <w:tcBorders/>
            <w:shd w:fill="CCEEFF" w:val="clear"/>
            <w:vAlign w:val="center"/>
          </w:tcPr>
          <w:p>
            <w:pPr>
              <w:pStyle w:val="TableContents"/>
              <w:spacing w:before="0" w:after="283"/>
              <w:jc w:val="left"/>
              <w:rPr/>
            </w:pPr>
            <w:r>
              <w:rPr/>
              <w:t> </w:t>
            </w:r>
          </w:p>
        </w:tc>
      </w:tr>
      <w:tr>
        <w:trPr/>
        <w:tc>
          <w:tcPr>
            <w:tcW w:w="4520" w:type="dxa"/>
            <w:tcBorders/>
            <w:shd w:fill="FFFFFF" w:val="clear"/>
            <w:vAlign w:val="center"/>
          </w:tcPr>
          <w:p>
            <w:pPr>
              <w:pStyle w:val="TableContents"/>
              <w:spacing w:before="0" w:after="283"/>
              <w:jc w:val="left"/>
              <w:rPr/>
            </w:pPr>
            <w:r>
              <w:rPr/>
              <w:t>Less: Current portion</w:t>
            </w:r>
          </w:p>
        </w:tc>
        <w:tc>
          <w:tcPr>
            <w:tcW w:w="60" w:type="dxa"/>
            <w:tcBorders/>
            <w:shd w:fill="FFFFFF" w:val="clear"/>
            <w:vAlign w:val="center"/>
          </w:tcPr>
          <w:p>
            <w:pPr>
              <w:pStyle w:val="TableContents"/>
              <w:spacing w:before="0" w:after="283"/>
              <w:rPr/>
            </w:pPr>
            <w:r>
              <w:rPr/>
              <w:t> </w:t>
            </w:r>
          </w:p>
        </w:tc>
        <w:tc>
          <w:tcPr>
            <w:tcW w:w="35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02" w:type="dxa"/>
            <w:tcBorders>
              <w:bottom w:val="single" w:sz="12" w:space="0" w:color="000000"/>
            </w:tcBorders>
            <w:shd w:fill="FFFFFF" w:val="clear"/>
            <w:tcMar>
              <w:bottom w:w="28" w:type="dxa"/>
            </w:tcMar>
            <w:vAlign w:val="center"/>
          </w:tcPr>
          <w:p>
            <w:pPr>
              <w:pStyle w:val="TableContents"/>
              <w:spacing w:before="0" w:after="283"/>
              <w:jc w:val="right"/>
              <w:rPr/>
            </w:pPr>
            <w:r>
              <w:rPr/>
              <w:t>(6,250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35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02" w:type="dxa"/>
            <w:tcBorders>
              <w:bottom w:val="single" w:sz="12" w:space="0" w:color="000000"/>
            </w:tcBorders>
            <w:shd w:fill="FFFFFF" w:val="clear"/>
            <w:tcMar>
              <w:bottom w:w="28" w:type="dxa"/>
            </w:tcMar>
            <w:vAlign w:val="center"/>
          </w:tcPr>
          <w:p>
            <w:pPr>
              <w:pStyle w:val="TableContents"/>
              <w:spacing w:before="0" w:after="283"/>
              <w:jc w:val="right"/>
              <w:rPr/>
            </w:pPr>
            <w:r>
              <w:rPr/>
              <w:t>(3,885</w:t>
            </w:r>
          </w:p>
        </w:tc>
        <w:tc>
          <w:tcPr>
            <w:tcW w:w="110" w:type="dxa"/>
            <w:tcBorders/>
            <w:shd w:fill="FFFFFF" w:val="clear"/>
            <w:vAlign w:val="center"/>
          </w:tcPr>
          <w:p>
            <w:pPr>
              <w:pStyle w:val="TableContents"/>
              <w:spacing w:before="0" w:after="283"/>
              <w:jc w:val="left"/>
              <w:rPr/>
            </w:pPr>
            <w:r>
              <w:rPr/>
              <w:t>)</w:t>
            </w:r>
          </w:p>
        </w:tc>
      </w:tr>
      <w:tr>
        <w:trPr/>
        <w:tc>
          <w:tcPr>
            <w:tcW w:w="4520" w:type="dxa"/>
            <w:tcBorders/>
            <w:shd w:fill="CCEEFF" w:val="clear"/>
            <w:vAlign w:val="center"/>
          </w:tcPr>
          <w:p>
            <w:pPr>
              <w:pStyle w:val="TableContents"/>
              <w:spacing w:before="0" w:after="283"/>
              <w:jc w:val="left"/>
              <w:rPr/>
            </w:pPr>
            <w:r>
              <w:rPr/>
              <w:t>Non-current total accrued expenses</w:t>
            </w:r>
          </w:p>
        </w:tc>
        <w:tc>
          <w:tcPr>
            <w:tcW w:w="60" w:type="dxa"/>
            <w:tcBorders/>
            <w:shd w:fill="CCEEFF" w:val="clear"/>
            <w:vAlign w:val="center"/>
          </w:tcPr>
          <w:p>
            <w:pPr>
              <w:pStyle w:val="TableContents"/>
              <w:spacing w:before="0" w:after="283"/>
              <w:rPr/>
            </w:pPr>
            <w:r>
              <w:rPr/>
              <w:t> </w:t>
            </w:r>
          </w:p>
        </w:tc>
        <w:tc>
          <w:tcPr>
            <w:tcW w:w="35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spacing w:before="0" w:after="283"/>
              <w:jc w:val="right"/>
              <w:rPr/>
            </w:pPr>
            <w:r>
              <w:rPr/>
              <w:t>800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spacing w:before="0" w:after="283"/>
              <w:jc w:val="right"/>
              <w:rPr/>
            </w:pPr>
            <w:r>
              <w:rPr/>
              <w:t>800</w:t>
            </w:r>
          </w:p>
        </w:tc>
        <w:tc>
          <w:tcPr>
            <w:tcW w:w="11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13. DEBT</w:t>
      </w:r>
    </w:p>
    <w:p>
      <w:pPr>
        <w:pStyle w:val="TextBody"/>
        <w:ind w:left="1080" w:right="0" w:hanging="1080"/>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LSAF Senior 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2015 and 2016, the Company entered into a loan and security agreement (the “Loan Agreement”) with IMMY Funding LLC, an affiliate of Life Sciences Alternative Funding LLC (“LSAF”), as lender and collateral agent. Pursuant to the terms of the Loan Agreement, as amended in January 2016 and December 2016, LSAF made available to the Company a term loan in the aggregate principal amount of up to $10,000, all of which was drawn on May 11, 2015. The term loan bore interest at a fixed per-annum rate of 12.5% and allowed for 2% of the interest to be paid-in-kind until December 2016. The Loan Agreement included a final fee of 5% of the aggregate principal amount of the term loan and prepayment fees of up to 1% of the principal balance were due on January 1, 2019. In connection with the Loan Agreement, the Company issued a warrant to purchase up to 125,000 shares of the Company’s common stock to LSAF. The Company then entered into subsequent amendments and related note payable agreements with LSAF related to the Loan Agreement and its warrants during 2016, including a convertible note agreement and note exchange agreement. Beginning January 1, 2017, the Company owed LSAF $13,332 under the Loan Agreement, its subsequent amendments and related agreements, including any interest that has been paid in kind of the principal balance, in aggregate.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SWK Senior Note and LSAF Payoff – 2017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July 2017, the Company entered into a term loan and security agreement in the principal amount of $16,000 (the “SWK Loan Agreement” or “SWK Loan”) with SWK Funding LLC and its partners (“SWK”), as lender and collateral agent. The SWK Loan Agreement was fully funded at closing with a five-year term, however, such term may be reduced to four years if certain revenue requirements are not achieved. Concurrently with the funding, the Company utilized a portion of the SWK Loan funds as full payment to an affiliate of LSAF to terminate all amounts due to LSAF in connection with the LSAF Agreement. In total, including previously made principal payments, the Company made payments of $13,999 to pay-off the LSAF Agreement and expenses, which also included the previously accrued exit fee, interest paid in kind and other expenses related to the payoff. The Company also recorded a loss on early extinguishment of debt during the year ended December 31, 2017 of $884 related to the pay-off.</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SWK Loan bears interest at a variable rate equal to the three-month London Inter-Bank Offered Rate (subject to a minimum of 1.50% and maximum of 3.00%), plus an applicable margin of 10.50%. The SWK Loan Agreement permits the Company to pay interest only on the principal amount loaned thereunder for the first six payments (payments are due on a quarterly basis), which interest-only period could have been reduced to four payments if the Company had not met certain minimum revenue requirements. Following the interest-only period, the Company will be required to pay interest, plus repayments of the principal amount loaned under the SWK Loan Agreement, in quarterly payments, which shall not exceed $750 per quarter. All amounts owed under the SWK Loan Agreement, including a final fee equal to 5% of the aggregate principal amount loaned thereunder, will be due and payable on July 19, 2022. The Company may elect to prepay all, but not less than all, of the amounts owed under the SWK Loan Agreement prior to the maturity date at any time after July 19, 2019. The Company is also obligated under the SWK Loan Agreement to pay for certain expenses incurred by the SWK Lender through and after the date of the SWK Loan Agreement, including certain fees and expenses relating to the preparation and administration of the SWK Loan Agreement. The Company incurred expenses and final fee of approximately $1,282 in connection with the SWK Loan Agreement. The final fee and expenses are being amortized as interest expense over the term of the SWK Loan using the effective interest rate method and the related liability of $800 for the final fee is included in accrued expenses (see Note 12) in the accompanying consolidated balance sheets as of December 31, 2018 and 2017.</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connection with the SWK Loan Agreement, the Company issued to SWK warrants to purchase up to 415,586 shares of the Company’s common stock (the “Lender Warrants”) with an exercise price of $3.08. In August 2017, the Company and SWK amended the warrants, to allow for the purchase up to 615,386 warrants with an exercise price of $2.08. The Lender Warrants are exercisable immediately, and have a term of 7 years. The Lender Warrants are subject to a cashless exercise feature, with the exercise price and number of shares issuable upon exercise subject to change in connection with stock splits, dividends, reclassifications and other conditions. The relative fair value of the Lender Warrants was approximately $982 and was estimated using the Black-Scholes-Merton option pricing model with the following assumptions: fair value of the Company’s common stock at issuance of $2.08 per share; seven-year contractual term; 113.5% volatility; 0% dividend rate; and a risk-free interest rate of 1.77%.</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For the years ended December 31, 2018 and 2017, debt discount amortization related to notes payable were $520 and $811,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Notes payable at December 31, 2018 were as follows:</w:t>
      </w:r>
    </w:p>
    <w:p>
      <w:pPr>
        <w:pStyle w:val="TextBody"/>
        <w:jc w:val="both"/>
        <w:rPr>
          <w:caps w:val="false"/>
          <w:smallCaps w:val="false"/>
        </w:rPr>
      </w:pPr>
      <w:r>
        <w:rPr>
          <w:caps w:val="false"/>
          <w:smallCaps w:val="false"/>
        </w:rPr>
        <w:t> </w:t>
      </w:r>
    </w:p>
    <w:tbl>
      <w:tblPr>
        <w:tblW w:w="4334" w:type="dxa"/>
        <w:jc w:val="left"/>
        <w:tblInd w:w="0" w:type="dxa"/>
        <w:tblCellMar>
          <w:top w:w="0" w:type="dxa"/>
          <w:left w:w="0" w:type="dxa"/>
          <w:bottom w:w="0" w:type="dxa"/>
          <w:right w:w="0" w:type="dxa"/>
        </w:tblCellMar>
      </w:tblPr>
      <w:tblGrid>
        <w:gridCol w:w="2210"/>
        <w:gridCol w:w="60"/>
        <w:gridCol w:w="333"/>
        <w:gridCol w:w="1621"/>
        <w:gridCol w:w="110"/>
      </w:tblGrid>
      <w:tr>
        <w:trPr/>
        <w:tc>
          <w:tcPr>
            <w:tcW w:w="22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2018</w:t>
            </w:r>
          </w:p>
        </w:tc>
        <w:tc>
          <w:tcPr>
            <w:tcW w:w="110"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283"/>
              <w:jc w:val="left"/>
              <w:rPr/>
            </w:pPr>
            <w:r>
              <w:rPr/>
              <w:t>SWK note</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pPr>
            <w:r>
              <w:rPr/>
              <w:t>$</w:t>
            </w:r>
          </w:p>
        </w:tc>
        <w:tc>
          <w:tcPr>
            <w:tcW w:w="1621" w:type="dxa"/>
            <w:tcBorders/>
            <w:shd w:fill="CCEEFF" w:val="clear"/>
            <w:vAlign w:val="center"/>
          </w:tcPr>
          <w:p>
            <w:pPr>
              <w:pStyle w:val="TableContents"/>
              <w:spacing w:before="0" w:after="283"/>
              <w:jc w:val="right"/>
              <w:rPr/>
            </w:pPr>
            <w:r>
              <w:rPr/>
              <w:t>16,000</w:t>
            </w:r>
          </w:p>
        </w:tc>
        <w:tc>
          <w:tcPr>
            <w:tcW w:w="110" w:type="dxa"/>
            <w:tcBorders/>
            <w:shd w:fill="CCEEFF" w:val="clear"/>
            <w:vAlign w:val="center"/>
          </w:tcPr>
          <w:p>
            <w:pPr>
              <w:pStyle w:val="TableContents"/>
              <w:spacing w:before="0" w:after="283"/>
              <w:jc w:val="left"/>
              <w:rPr/>
            </w:pPr>
            <w:r>
              <w:rPr/>
              <w:t> </w:t>
            </w:r>
          </w:p>
        </w:tc>
      </w:tr>
      <w:tr>
        <w:trPr/>
        <w:tc>
          <w:tcPr>
            <w:tcW w:w="2210" w:type="dxa"/>
            <w:tcBorders/>
            <w:shd w:fill="FFFFFF" w:val="clear"/>
            <w:vAlign w:val="center"/>
          </w:tcPr>
          <w:p>
            <w:pPr>
              <w:pStyle w:val="TableContents"/>
              <w:spacing w:before="0" w:after="283"/>
              <w:jc w:val="left"/>
              <w:rPr/>
            </w:pPr>
            <w:r>
              <w:rPr/>
              <w:t>Less: Discount on note</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 </w:t>
            </w:r>
          </w:p>
        </w:tc>
        <w:tc>
          <w:tcPr>
            <w:tcW w:w="1621" w:type="dxa"/>
            <w:tcBorders/>
            <w:shd w:fill="FFFFFF" w:val="clear"/>
            <w:vAlign w:val="center"/>
          </w:tcPr>
          <w:p>
            <w:pPr>
              <w:pStyle w:val="TableContents"/>
              <w:spacing w:before="0" w:after="283"/>
              <w:jc w:val="right"/>
              <w:rPr/>
            </w:pPr>
            <w:r>
              <w:rPr/>
              <w:t>(1,472</w:t>
            </w:r>
          </w:p>
        </w:tc>
        <w:tc>
          <w:tcPr>
            <w:tcW w:w="110" w:type="dxa"/>
            <w:tcBorders/>
            <w:shd w:fill="FFFFFF" w:val="clear"/>
            <w:vAlign w:val="center"/>
          </w:tcPr>
          <w:p>
            <w:pPr>
              <w:pStyle w:val="TableContents"/>
              <w:spacing w:before="0" w:after="283"/>
              <w:jc w:val="left"/>
              <w:rPr/>
            </w:pPr>
            <w:r>
              <w:rPr/>
              <w:t>)</w:t>
            </w:r>
          </w:p>
        </w:tc>
      </w:tr>
      <w:tr>
        <w:trPr/>
        <w:tc>
          <w:tcPr>
            <w:tcW w:w="2210" w:type="dxa"/>
            <w:tcBorders/>
            <w:shd w:fill="CCEEFF" w:val="clear"/>
            <w:vAlign w:val="center"/>
          </w:tcPr>
          <w:p>
            <w:pPr>
              <w:pStyle w:val="TableContents"/>
              <w:spacing w:before="0" w:after="283"/>
              <w:jc w:val="left"/>
              <w:rPr/>
            </w:pPr>
            <w:r>
              <w:rPr/>
              <w:t>Less: Current portion</w:t>
            </w:r>
          </w:p>
        </w:tc>
        <w:tc>
          <w:tcPr>
            <w:tcW w:w="60" w:type="dxa"/>
            <w:tcBorders/>
            <w:shd w:fill="CCEEFF" w:val="clear"/>
            <w:vAlign w:val="center"/>
          </w:tcPr>
          <w:p>
            <w:pPr>
              <w:pStyle w:val="TableContents"/>
              <w:spacing w:before="0" w:after="283"/>
              <w:rPr/>
            </w:pPr>
            <w:r>
              <w:rPr/>
              <w:t> </w:t>
            </w:r>
          </w:p>
        </w:tc>
        <w:tc>
          <w:tcPr>
            <w:tcW w:w="33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21" w:type="dxa"/>
            <w:tcBorders>
              <w:bottom w:val="single" w:sz="12" w:space="0" w:color="000000"/>
            </w:tcBorders>
            <w:shd w:fill="CCEEFF" w:val="clear"/>
            <w:tcMar>
              <w:bottom w:w="28" w:type="dxa"/>
            </w:tcMar>
            <w:vAlign w:val="center"/>
          </w:tcPr>
          <w:p>
            <w:pPr>
              <w:pStyle w:val="TableContents"/>
              <w:spacing w:before="0" w:after="283"/>
              <w:jc w:val="right"/>
              <w:rPr/>
            </w:pPr>
            <w:r>
              <w:rPr/>
              <w:t>(2,529</w:t>
            </w:r>
          </w:p>
        </w:tc>
        <w:tc>
          <w:tcPr>
            <w:tcW w:w="110" w:type="dxa"/>
            <w:tcBorders/>
            <w:shd w:fill="CCEEFF" w:val="clear"/>
            <w:vAlign w:val="center"/>
          </w:tcPr>
          <w:p>
            <w:pPr>
              <w:pStyle w:val="TableContents"/>
              <w:spacing w:before="0" w:after="283"/>
              <w:jc w:val="left"/>
              <w:rPr/>
            </w:pPr>
            <w:r>
              <w:rPr/>
              <w:t>)</w:t>
            </w:r>
          </w:p>
        </w:tc>
      </w:tr>
      <w:tr>
        <w:trPr/>
        <w:tc>
          <w:tcPr>
            <w:tcW w:w="2210" w:type="dxa"/>
            <w:tcBorders/>
            <w:shd w:fill="FFFFFF" w:val="clear"/>
            <w:vAlign w:val="center"/>
          </w:tcPr>
          <w:p>
            <w:pPr>
              <w:pStyle w:val="TableContents"/>
              <w:spacing w:before="0" w:after="283"/>
              <w:jc w:val="left"/>
              <w:rPr>
                <w:b/>
              </w:rPr>
            </w:pPr>
            <w:r>
              <w:rPr>
                <w:b/>
              </w:rPr>
              <w:t>Long-term portion</w:t>
            </w:r>
          </w:p>
        </w:tc>
        <w:tc>
          <w:tcPr>
            <w:tcW w:w="60" w:type="dxa"/>
            <w:tcBorders/>
            <w:shd w:fill="FFFFFF" w:val="clear"/>
            <w:vAlign w:val="center"/>
          </w:tcPr>
          <w:p>
            <w:pPr>
              <w:pStyle w:val="TableContents"/>
              <w:spacing w:before="0" w:after="283"/>
              <w:rPr/>
            </w:pPr>
            <w:r>
              <w:rPr/>
              <w:t> </w:t>
            </w:r>
          </w:p>
        </w:tc>
        <w:tc>
          <w:tcPr>
            <w:tcW w:w="333"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1621" w:type="dxa"/>
            <w:tcBorders>
              <w:bottom w:val="double" w:sz="6" w:space="0" w:color="000000"/>
            </w:tcBorders>
            <w:shd w:fill="FFFFFF" w:val="clear"/>
            <w:tcMar>
              <w:bottom w:w="28" w:type="dxa"/>
            </w:tcMar>
            <w:vAlign w:val="center"/>
          </w:tcPr>
          <w:p>
            <w:pPr>
              <w:pStyle w:val="TableContents"/>
              <w:spacing w:before="0" w:after="283"/>
              <w:jc w:val="right"/>
              <w:rPr>
                <w:b/>
              </w:rPr>
            </w:pPr>
            <w:r>
              <w:rPr>
                <w:b/>
              </w:rPr>
              <w:t>11,999</w:t>
            </w:r>
          </w:p>
        </w:tc>
        <w:tc>
          <w:tcPr>
            <w:tcW w:w="110"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Future minimum payments under notes payable outstanding at December 31, 2018 are as follows:</w:t>
      </w:r>
    </w:p>
    <w:p>
      <w:pPr>
        <w:pStyle w:val="TextBody"/>
        <w:jc w:val="both"/>
        <w:rPr>
          <w:caps w:val="false"/>
          <w:smallCaps w:val="false"/>
        </w:rPr>
      </w:pPr>
      <w:r>
        <w:rPr>
          <w:caps w:val="false"/>
          <w:smallCaps w:val="false"/>
        </w:rPr>
        <w:t> </w:t>
      </w:r>
    </w:p>
    <w:tbl>
      <w:tblPr>
        <w:tblW w:w="7395" w:type="dxa"/>
        <w:jc w:val="left"/>
        <w:tblInd w:w="0" w:type="dxa"/>
        <w:tblCellMar>
          <w:top w:w="0" w:type="dxa"/>
          <w:left w:w="0" w:type="dxa"/>
          <w:bottom w:w="0" w:type="dxa"/>
          <w:right w:w="0" w:type="dxa"/>
        </w:tblCellMar>
      </w:tblPr>
      <w:tblGrid>
        <w:gridCol w:w="6365"/>
        <w:gridCol w:w="60"/>
        <w:gridCol w:w="146"/>
        <w:gridCol w:w="714"/>
        <w:gridCol w:w="110"/>
      </w:tblGrid>
      <w:tr>
        <w:trPr/>
        <w:tc>
          <w:tcPr>
            <w:tcW w:w="6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110" w:type="dxa"/>
            <w:tcBorders/>
            <w:shd w:fill="auto" w:val="clear"/>
            <w:vAlign w:val="center"/>
          </w:tcPr>
          <w:p>
            <w:pPr>
              <w:pStyle w:val="TableContents"/>
              <w:spacing w:before="0" w:after="283"/>
              <w:rPr/>
            </w:pPr>
            <w:r>
              <w:rPr/>
              <w:t> </w:t>
            </w:r>
          </w:p>
        </w:tc>
      </w:tr>
      <w:tr>
        <w:trPr/>
        <w:tc>
          <w:tcPr>
            <w:tcW w:w="6365" w:type="dxa"/>
            <w:tcBorders/>
            <w:shd w:fill="CCEEFF" w:val="clear"/>
            <w:vAlign w:val="center"/>
          </w:tcPr>
          <w:p>
            <w:pPr>
              <w:pStyle w:val="TableContents"/>
              <w:spacing w:before="0" w:after="283"/>
              <w:jc w:val="left"/>
              <w:rPr/>
            </w:pPr>
            <w:r>
              <w:rPr/>
              <w:t>2019</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714" w:type="dxa"/>
            <w:tcBorders/>
            <w:shd w:fill="CCEEFF" w:val="clear"/>
            <w:vAlign w:val="center"/>
          </w:tcPr>
          <w:p>
            <w:pPr>
              <w:pStyle w:val="TableContents"/>
              <w:spacing w:before="0" w:after="283"/>
              <w:jc w:val="right"/>
              <w:rPr/>
            </w:pPr>
            <w:r>
              <w:rPr/>
              <w:t>5,018</w:t>
            </w:r>
          </w:p>
        </w:tc>
        <w:tc>
          <w:tcPr>
            <w:tcW w:w="110" w:type="dxa"/>
            <w:tcBorders/>
            <w:shd w:fill="CCEEFF" w:val="clear"/>
            <w:vAlign w:val="center"/>
          </w:tcPr>
          <w:p>
            <w:pPr>
              <w:pStyle w:val="TableContents"/>
              <w:spacing w:before="0" w:after="283"/>
              <w:jc w:val="left"/>
              <w:rPr/>
            </w:pPr>
            <w:r>
              <w:rPr/>
              <w:t> </w:t>
            </w:r>
          </w:p>
        </w:tc>
      </w:tr>
      <w:tr>
        <w:trPr/>
        <w:tc>
          <w:tcPr>
            <w:tcW w:w="6365" w:type="dxa"/>
            <w:tcBorders/>
            <w:shd w:fill="FFFFFF" w:val="clear"/>
            <w:vAlign w:val="center"/>
          </w:tcPr>
          <w:p>
            <w:pPr>
              <w:pStyle w:val="TableContents"/>
              <w:spacing w:before="0" w:after="283"/>
              <w:jc w:val="left"/>
              <w:rPr/>
            </w:pPr>
            <w:r>
              <w:rPr/>
              <w:t>2020</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714" w:type="dxa"/>
            <w:tcBorders/>
            <w:shd w:fill="FFFFFF" w:val="clear"/>
            <w:vAlign w:val="center"/>
          </w:tcPr>
          <w:p>
            <w:pPr>
              <w:pStyle w:val="TableContents"/>
              <w:spacing w:before="0" w:after="283"/>
              <w:jc w:val="right"/>
              <w:rPr/>
            </w:pPr>
            <w:r>
              <w:rPr/>
              <w:t>4,402</w:t>
            </w:r>
          </w:p>
        </w:tc>
        <w:tc>
          <w:tcPr>
            <w:tcW w:w="110" w:type="dxa"/>
            <w:tcBorders/>
            <w:shd w:fill="FFFFFF" w:val="clear"/>
            <w:vAlign w:val="center"/>
          </w:tcPr>
          <w:p>
            <w:pPr>
              <w:pStyle w:val="TableContents"/>
              <w:spacing w:before="0" w:after="283"/>
              <w:jc w:val="left"/>
              <w:rPr/>
            </w:pPr>
            <w:r>
              <w:rPr/>
              <w:t> </w:t>
            </w:r>
          </w:p>
        </w:tc>
      </w:tr>
      <w:tr>
        <w:trPr/>
        <w:tc>
          <w:tcPr>
            <w:tcW w:w="6365" w:type="dxa"/>
            <w:tcBorders/>
            <w:shd w:fill="CCEEFF" w:val="clear"/>
            <w:vAlign w:val="center"/>
          </w:tcPr>
          <w:p>
            <w:pPr>
              <w:pStyle w:val="TableContents"/>
              <w:spacing w:before="0" w:after="283"/>
              <w:jc w:val="left"/>
              <w:rPr/>
            </w:pPr>
            <w:r>
              <w:rPr/>
              <w:t>2021</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714" w:type="dxa"/>
            <w:tcBorders/>
            <w:shd w:fill="CCEEFF" w:val="clear"/>
            <w:vAlign w:val="center"/>
          </w:tcPr>
          <w:p>
            <w:pPr>
              <w:pStyle w:val="TableContents"/>
              <w:spacing w:before="0" w:after="283"/>
              <w:jc w:val="right"/>
              <w:rPr/>
            </w:pPr>
            <w:r>
              <w:rPr/>
              <w:t>4,033</w:t>
            </w:r>
          </w:p>
        </w:tc>
        <w:tc>
          <w:tcPr>
            <w:tcW w:w="110" w:type="dxa"/>
            <w:tcBorders/>
            <w:shd w:fill="CCEEFF" w:val="clear"/>
            <w:vAlign w:val="center"/>
          </w:tcPr>
          <w:p>
            <w:pPr>
              <w:pStyle w:val="TableContents"/>
              <w:spacing w:before="0" w:after="283"/>
              <w:jc w:val="left"/>
              <w:rPr/>
            </w:pPr>
            <w:r>
              <w:rPr/>
              <w:t> </w:t>
            </w:r>
          </w:p>
        </w:tc>
      </w:tr>
      <w:tr>
        <w:trPr/>
        <w:tc>
          <w:tcPr>
            <w:tcW w:w="6365" w:type="dxa"/>
            <w:tcBorders/>
            <w:shd w:fill="FFFFFF" w:val="clear"/>
            <w:vAlign w:val="center"/>
          </w:tcPr>
          <w:p>
            <w:pPr>
              <w:pStyle w:val="TableContents"/>
              <w:spacing w:before="0" w:after="283"/>
              <w:jc w:val="left"/>
              <w:rPr/>
            </w:pPr>
            <w:r>
              <w:rPr/>
              <w:t>2022</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spacing w:before="0" w:after="283"/>
              <w:jc w:val="right"/>
              <w:rPr/>
            </w:pPr>
            <w:r>
              <w:rPr/>
              <w:t>7,410</w:t>
            </w:r>
          </w:p>
        </w:tc>
        <w:tc>
          <w:tcPr>
            <w:tcW w:w="110" w:type="dxa"/>
            <w:tcBorders/>
            <w:shd w:fill="FFFFFF" w:val="clear"/>
            <w:vAlign w:val="center"/>
          </w:tcPr>
          <w:p>
            <w:pPr>
              <w:pStyle w:val="TableContents"/>
              <w:spacing w:before="0" w:after="283"/>
              <w:jc w:val="left"/>
              <w:rPr/>
            </w:pPr>
            <w:r>
              <w:rPr/>
              <w:t> </w:t>
            </w:r>
          </w:p>
        </w:tc>
      </w:tr>
      <w:tr>
        <w:trPr/>
        <w:tc>
          <w:tcPr>
            <w:tcW w:w="6365" w:type="dxa"/>
            <w:tcBorders/>
            <w:shd w:fill="CCEEFF" w:val="clear"/>
            <w:vAlign w:val="center"/>
          </w:tcPr>
          <w:p>
            <w:pPr>
              <w:pStyle w:val="TableContents"/>
              <w:spacing w:before="0" w:after="283"/>
              <w:jc w:val="left"/>
              <w:rPr/>
            </w:pPr>
            <w:r>
              <w:rPr/>
              <w:t>Total minimum payments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714" w:type="dxa"/>
            <w:tcBorders/>
            <w:shd w:fill="CCEEFF" w:val="clear"/>
            <w:vAlign w:val="center"/>
          </w:tcPr>
          <w:p>
            <w:pPr>
              <w:pStyle w:val="TableContents"/>
              <w:spacing w:before="0" w:after="283"/>
              <w:jc w:val="right"/>
              <w:rPr/>
            </w:pPr>
            <w:r>
              <w:rPr/>
              <w:t>20,863</w:t>
            </w:r>
          </w:p>
        </w:tc>
        <w:tc>
          <w:tcPr>
            <w:tcW w:w="110" w:type="dxa"/>
            <w:tcBorders/>
            <w:shd w:fill="CCEEFF" w:val="clear"/>
            <w:vAlign w:val="center"/>
          </w:tcPr>
          <w:p>
            <w:pPr>
              <w:pStyle w:val="TableContents"/>
              <w:spacing w:before="0" w:after="283"/>
              <w:jc w:val="left"/>
              <w:rPr/>
            </w:pPr>
            <w:r>
              <w:rPr/>
              <w:t> </w:t>
            </w:r>
          </w:p>
        </w:tc>
      </w:tr>
      <w:tr>
        <w:trPr/>
        <w:tc>
          <w:tcPr>
            <w:tcW w:w="6365" w:type="dxa"/>
            <w:tcBorders/>
            <w:shd w:fill="FFFFFF" w:val="clear"/>
            <w:vAlign w:val="center"/>
          </w:tcPr>
          <w:p>
            <w:pPr>
              <w:pStyle w:val="TableContents"/>
              <w:spacing w:before="0" w:after="283"/>
              <w:jc w:val="left"/>
              <w:rPr/>
            </w:pPr>
            <w:r>
              <w:rPr/>
              <w:t>Less: amount representing interest</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spacing w:before="0" w:after="283"/>
              <w:jc w:val="right"/>
              <w:rPr/>
            </w:pPr>
            <w:r>
              <w:rPr/>
              <w:t>(4,863</w:t>
            </w:r>
          </w:p>
        </w:tc>
        <w:tc>
          <w:tcPr>
            <w:tcW w:w="110" w:type="dxa"/>
            <w:tcBorders/>
            <w:shd w:fill="FFFFFF" w:val="clear"/>
            <w:vAlign w:val="center"/>
          </w:tcPr>
          <w:p>
            <w:pPr>
              <w:pStyle w:val="TableContents"/>
              <w:spacing w:before="0" w:after="283"/>
              <w:jc w:val="left"/>
              <w:rPr/>
            </w:pPr>
            <w:r>
              <w:rPr/>
              <w:t>)</w:t>
            </w:r>
          </w:p>
        </w:tc>
      </w:tr>
      <w:tr>
        <w:trPr/>
        <w:tc>
          <w:tcPr>
            <w:tcW w:w="6365" w:type="dxa"/>
            <w:tcBorders/>
            <w:shd w:fill="CCEEFF" w:val="clear"/>
            <w:vAlign w:val="center"/>
          </w:tcPr>
          <w:p>
            <w:pPr>
              <w:pStyle w:val="TableContents"/>
              <w:spacing w:before="0" w:after="283"/>
              <w:jc w:val="left"/>
              <w:rPr/>
            </w:pPr>
            <w:r>
              <w:rPr/>
              <w:t>Notes payable, gross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714" w:type="dxa"/>
            <w:tcBorders/>
            <w:shd w:fill="CCEEFF" w:val="clear"/>
            <w:vAlign w:val="center"/>
          </w:tcPr>
          <w:p>
            <w:pPr>
              <w:pStyle w:val="TableContents"/>
              <w:spacing w:before="0" w:after="283"/>
              <w:jc w:val="right"/>
              <w:rPr/>
            </w:pPr>
            <w:r>
              <w:rPr/>
              <w:t>16,000</w:t>
            </w:r>
          </w:p>
        </w:tc>
        <w:tc>
          <w:tcPr>
            <w:tcW w:w="110" w:type="dxa"/>
            <w:tcBorders/>
            <w:shd w:fill="CCEEFF" w:val="clear"/>
            <w:vAlign w:val="center"/>
          </w:tcPr>
          <w:p>
            <w:pPr>
              <w:pStyle w:val="TableContents"/>
              <w:spacing w:before="0" w:after="283"/>
              <w:jc w:val="left"/>
              <w:rPr/>
            </w:pPr>
            <w:r>
              <w:rPr/>
              <w:t> </w:t>
            </w:r>
          </w:p>
        </w:tc>
      </w:tr>
      <w:tr>
        <w:trPr/>
        <w:tc>
          <w:tcPr>
            <w:tcW w:w="6365" w:type="dxa"/>
            <w:tcBorders/>
            <w:shd w:fill="FFFFFF" w:val="clear"/>
            <w:vAlign w:val="center"/>
          </w:tcPr>
          <w:p>
            <w:pPr>
              <w:pStyle w:val="TableContents"/>
              <w:spacing w:before="0" w:after="283"/>
              <w:jc w:val="left"/>
              <w:rPr/>
            </w:pPr>
            <w:r>
              <w:rPr/>
              <w:t>Less: unamortized discount</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714" w:type="dxa"/>
            <w:tcBorders/>
            <w:shd w:fill="FFFFFF" w:val="clear"/>
            <w:vAlign w:val="center"/>
          </w:tcPr>
          <w:p>
            <w:pPr>
              <w:pStyle w:val="TableContents"/>
              <w:spacing w:before="0" w:after="283"/>
              <w:jc w:val="right"/>
              <w:rPr/>
            </w:pPr>
            <w:r>
              <w:rPr/>
              <w:t>(1,472</w:t>
            </w:r>
          </w:p>
        </w:tc>
        <w:tc>
          <w:tcPr>
            <w:tcW w:w="110" w:type="dxa"/>
            <w:tcBorders/>
            <w:shd w:fill="FFFFFF" w:val="clear"/>
            <w:vAlign w:val="center"/>
          </w:tcPr>
          <w:p>
            <w:pPr>
              <w:pStyle w:val="TableContents"/>
              <w:spacing w:before="0" w:after="283"/>
              <w:jc w:val="left"/>
              <w:rPr/>
            </w:pPr>
            <w:r>
              <w:rPr/>
              <w:t>)</w:t>
            </w:r>
          </w:p>
        </w:tc>
      </w:tr>
      <w:tr>
        <w:trPr/>
        <w:tc>
          <w:tcPr>
            <w:tcW w:w="6365" w:type="dxa"/>
            <w:tcBorders/>
            <w:shd w:fill="CCEEFF" w:val="clear"/>
            <w:vAlign w:val="center"/>
          </w:tcPr>
          <w:p>
            <w:pPr>
              <w:pStyle w:val="TableContents"/>
              <w:spacing w:before="0" w:after="283"/>
              <w:jc w:val="left"/>
              <w:rPr/>
            </w:pPr>
            <w:r>
              <w:rPr/>
              <w:t>Less: current portion, net of unamortized discount</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spacing w:before="0" w:after="283"/>
              <w:jc w:val="right"/>
              <w:rPr/>
            </w:pPr>
            <w:r>
              <w:rPr/>
              <w:t>(2,529</w:t>
            </w:r>
          </w:p>
        </w:tc>
        <w:tc>
          <w:tcPr>
            <w:tcW w:w="110" w:type="dxa"/>
            <w:tcBorders/>
            <w:shd w:fill="CCEEFF" w:val="clear"/>
            <w:vAlign w:val="center"/>
          </w:tcPr>
          <w:p>
            <w:pPr>
              <w:pStyle w:val="TableContents"/>
              <w:spacing w:before="0" w:after="283"/>
              <w:jc w:val="left"/>
              <w:rPr/>
            </w:pPr>
            <w:r>
              <w:rPr/>
              <w:t>)</w:t>
            </w:r>
          </w:p>
        </w:tc>
      </w:tr>
      <w:tr>
        <w:trPr/>
        <w:tc>
          <w:tcPr>
            <w:tcW w:w="6365" w:type="dxa"/>
            <w:tcBorders/>
            <w:shd w:fill="FFFFFF" w:val="clear"/>
            <w:vAlign w:val="center"/>
          </w:tcPr>
          <w:p>
            <w:pPr>
              <w:pStyle w:val="TableContents"/>
              <w:spacing w:before="0" w:after="283"/>
              <w:jc w:val="left"/>
              <w:rPr/>
            </w:pPr>
            <w:r>
              <w:rPr/>
              <w:t>Note payable, net of current portion and unamortized debt discount</w:t>
            </w:r>
          </w:p>
        </w:tc>
        <w:tc>
          <w:tcPr>
            <w:tcW w:w="60" w:type="dxa"/>
            <w:tcBorders/>
            <w:shd w:fill="FFFFFF" w:val="clear"/>
            <w:vAlign w:val="center"/>
          </w:tcPr>
          <w:p>
            <w:pPr>
              <w:pStyle w:val="TableContents"/>
              <w:spacing w:before="0" w:after="283"/>
              <w:rPr/>
            </w:pPr>
            <w:r>
              <w:rPr/>
              <w:t> </w:t>
            </w:r>
          </w:p>
        </w:tc>
        <w:tc>
          <w:tcPr>
            <w:tcW w:w="146"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14" w:type="dxa"/>
            <w:tcBorders>
              <w:bottom w:val="double" w:sz="6" w:space="0" w:color="000000"/>
            </w:tcBorders>
            <w:shd w:fill="FFFFFF" w:val="clear"/>
            <w:tcMar>
              <w:bottom w:w="28" w:type="dxa"/>
            </w:tcMar>
            <w:vAlign w:val="center"/>
          </w:tcPr>
          <w:p>
            <w:pPr>
              <w:pStyle w:val="TableContents"/>
              <w:spacing w:before="0" w:after="283"/>
              <w:jc w:val="right"/>
              <w:rPr/>
            </w:pPr>
            <w:r>
              <w:rPr/>
              <w:t>11,999</w:t>
            </w:r>
          </w:p>
        </w:tc>
        <w:tc>
          <w:tcPr>
            <w:tcW w:w="110"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14. CAPITAL LEASE OBLIGATION</w:t>
      </w:r>
    </w:p>
    <w:p>
      <w:pPr>
        <w:pStyle w:val="TextBody"/>
        <w:ind w:left="1080" w:right="0" w:hanging="108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August 9, 2016, the Company entered into a commercial lease agreement (the “Lease Agreement”) with Essex Capital Corporation (“Essex”). Pursuant to the terms of the Lease Agreement, the Company sold certain equipment (the “Equipment”) to Essex for a total purchase price of approximately $2,000, which was then leased back to the Company under a thirty-six month term net basis lease with monthly payments of approximately $64. The fair value of equipment sold and then leased under the Lease Agreement totaled approximately $2,000. The lease term may be extended for an additional twelve month period in the event the Company achieves certain financial milestones. The Company has the right to purchase the Equipment from Essex upon the expiration of the Lease Agreement for a purchase price equal to the Equipment’s then fair market value, with such fair market value not to exceed fifteen percent of the original Equipment value on August 9, 2016. If the Equipment is not purchased at the end of the term, the Company may automatically extend the lease on a month-to-month basis or return the Equipment and terminate the Lease Agreement. The Company expects to purchase the Equipment at the end of the term of the lease and has accrued the final payment amount of $300. The Company also incurred expenses of approximately $67 in connection with the Lease Agreement. The issuance costs were recorded as a discount. The discount is being amortized as interest expense over the term of the lease using the effective interest method. The Company used an interest rate of 16.8% for calculation of the present value of the future minimum payments under the Lease Agreement. For the years ended December 31, 2018 and 2017, debt discount amortization related to the Lease Agreement was $93 and $167, respectively, and is included in interest expense in the accompanying consolidated statement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December 31, 2018, future payments under the Company’s capital lease were as follows:</w:t>
      </w:r>
    </w:p>
    <w:p>
      <w:pPr>
        <w:pStyle w:val="TextBody"/>
        <w:rPr>
          <w:caps w:val="false"/>
          <w:smallCaps w:val="false"/>
        </w:rPr>
      </w:pPr>
      <w:r>
        <w:rPr>
          <w:caps w:val="false"/>
          <w:smallCaps w:val="false"/>
        </w:rPr>
        <w:t> </w:t>
      </w:r>
    </w:p>
    <w:tbl>
      <w:tblPr>
        <w:tblW w:w="7815" w:type="dxa"/>
        <w:jc w:val="left"/>
        <w:tblInd w:w="0" w:type="dxa"/>
        <w:tblCellMar>
          <w:top w:w="0" w:type="dxa"/>
          <w:left w:w="0" w:type="dxa"/>
          <w:bottom w:w="0" w:type="dxa"/>
          <w:right w:w="0" w:type="dxa"/>
        </w:tblCellMar>
      </w:tblPr>
      <w:tblGrid>
        <w:gridCol w:w="6785"/>
        <w:gridCol w:w="60"/>
        <w:gridCol w:w="202"/>
        <w:gridCol w:w="658"/>
        <w:gridCol w:w="110"/>
      </w:tblGrid>
      <w:tr>
        <w:trPr/>
        <w:tc>
          <w:tcPr>
            <w:tcW w:w="6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110" w:type="dxa"/>
            <w:tcBorders/>
            <w:shd w:fill="auto" w:val="clear"/>
            <w:vAlign w:val="center"/>
          </w:tcPr>
          <w:p>
            <w:pPr>
              <w:pStyle w:val="TableContents"/>
              <w:spacing w:before="0" w:after="283"/>
              <w:rPr/>
            </w:pPr>
            <w:r>
              <w:rPr/>
              <w:t> </w:t>
            </w:r>
          </w:p>
        </w:tc>
      </w:tr>
      <w:tr>
        <w:trPr/>
        <w:tc>
          <w:tcPr>
            <w:tcW w:w="6785" w:type="dxa"/>
            <w:tcBorders/>
            <w:shd w:fill="CCEEFF" w:val="clear"/>
            <w:vAlign w:val="center"/>
          </w:tcPr>
          <w:p>
            <w:pPr>
              <w:pStyle w:val="TableContents"/>
              <w:spacing w:before="0" w:after="283"/>
              <w:jc w:val="left"/>
              <w:rPr/>
            </w:pPr>
            <w:r>
              <w:rPr/>
              <w:t>2019</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658" w:type="dxa"/>
            <w:tcBorders>
              <w:bottom w:val="single" w:sz="12" w:space="0" w:color="000000"/>
            </w:tcBorders>
            <w:shd w:fill="CCEEFF" w:val="clear"/>
            <w:tcMar>
              <w:bottom w:w="28" w:type="dxa"/>
            </w:tcMar>
            <w:vAlign w:val="center"/>
          </w:tcPr>
          <w:p>
            <w:pPr>
              <w:pStyle w:val="TableContents"/>
              <w:spacing w:before="0" w:after="283"/>
              <w:jc w:val="right"/>
              <w:rPr/>
            </w:pPr>
            <w:r>
              <w:rPr/>
              <w:t>751</w:t>
            </w:r>
          </w:p>
        </w:tc>
        <w:tc>
          <w:tcPr>
            <w:tcW w:w="110" w:type="dxa"/>
            <w:tcBorders/>
            <w:shd w:fill="CCEEFF" w:val="clear"/>
            <w:vAlign w:val="center"/>
          </w:tcPr>
          <w:p>
            <w:pPr>
              <w:pStyle w:val="TableContents"/>
              <w:spacing w:before="0" w:after="283"/>
              <w:jc w:val="left"/>
              <w:rPr/>
            </w:pPr>
            <w:r>
              <w:rPr/>
              <w:t> </w:t>
            </w:r>
          </w:p>
        </w:tc>
      </w:tr>
      <w:tr>
        <w:trPr/>
        <w:tc>
          <w:tcPr>
            <w:tcW w:w="6785" w:type="dxa"/>
            <w:tcBorders/>
            <w:shd w:fill="FFFFFF" w:val="clear"/>
            <w:vAlign w:val="center"/>
          </w:tcPr>
          <w:p>
            <w:pPr>
              <w:pStyle w:val="TableContents"/>
              <w:spacing w:before="0" w:after="283"/>
              <w:jc w:val="left"/>
              <w:rPr/>
            </w:pPr>
            <w:r>
              <w:rPr/>
              <w:t>Total minimum lease payments</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658" w:type="dxa"/>
            <w:tcBorders/>
            <w:shd w:fill="FFFFFF" w:val="clear"/>
            <w:vAlign w:val="center"/>
          </w:tcPr>
          <w:p>
            <w:pPr>
              <w:pStyle w:val="TableContents"/>
              <w:spacing w:before="0" w:after="283"/>
              <w:jc w:val="right"/>
              <w:rPr/>
            </w:pPr>
            <w:r>
              <w:rPr/>
              <w:t>751</w:t>
            </w:r>
          </w:p>
        </w:tc>
        <w:tc>
          <w:tcPr>
            <w:tcW w:w="110"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jc w:val="left"/>
              <w:rPr/>
            </w:pPr>
            <w:r>
              <w:rPr/>
              <w:t>Less: amount representing interest payments</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spacing w:before="0" w:after="283"/>
              <w:jc w:val="right"/>
              <w:rPr/>
            </w:pPr>
            <w:r>
              <w:rPr/>
              <w:t>(15</w:t>
            </w:r>
          </w:p>
        </w:tc>
        <w:tc>
          <w:tcPr>
            <w:tcW w:w="110" w:type="dxa"/>
            <w:tcBorders/>
            <w:shd w:fill="CCEEFF" w:val="clear"/>
            <w:vAlign w:val="center"/>
          </w:tcPr>
          <w:p>
            <w:pPr>
              <w:pStyle w:val="TableContents"/>
              <w:spacing w:before="0" w:after="283"/>
              <w:jc w:val="left"/>
              <w:rPr/>
            </w:pPr>
            <w:r>
              <w:rPr/>
              <w:t>)</w:t>
            </w:r>
          </w:p>
        </w:tc>
      </w:tr>
      <w:tr>
        <w:trPr/>
        <w:tc>
          <w:tcPr>
            <w:tcW w:w="6785" w:type="dxa"/>
            <w:tcBorders/>
            <w:shd w:fill="FFFFFF" w:val="clear"/>
            <w:vAlign w:val="center"/>
          </w:tcPr>
          <w:p>
            <w:pPr>
              <w:pStyle w:val="TableContents"/>
              <w:spacing w:before="0" w:after="283"/>
              <w:jc w:val="left"/>
              <w:rPr/>
            </w:pPr>
            <w:r>
              <w:rPr/>
              <w:t>Present value of future minimum lease payment</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658" w:type="dxa"/>
            <w:tcBorders/>
            <w:shd w:fill="FFFFFF" w:val="clear"/>
            <w:vAlign w:val="center"/>
          </w:tcPr>
          <w:p>
            <w:pPr>
              <w:pStyle w:val="TableContents"/>
              <w:spacing w:before="0" w:after="283"/>
              <w:jc w:val="right"/>
              <w:rPr/>
            </w:pPr>
            <w:r>
              <w:rPr/>
              <w:t>736</w:t>
            </w:r>
          </w:p>
        </w:tc>
        <w:tc>
          <w:tcPr>
            <w:tcW w:w="110"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jc w:val="left"/>
              <w:rPr/>
            </w:pPr>
            <w:r>
              <w:rPr/>
              <w:t>Less: unamortized discount</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spacing w:before="0" w:after="283"/>
              <w:jc w:val="right"/>
              <w:rPr/>
            </w:pPr>
            <w:r>
              <w:rPr/>
              <w:t>(16</w:t>
            </w:r>
          </w:p>
        </w:tc>
        <w:tc>
          <w:tcPr>
            <w:tcW w:w="110" w:type="dxa"/>
            <w:tcBorders/>
            <w:shd w:fill="CCEEFF" w:val="clear"/>
            <w:vAlign w:val="center"/>
          </w:tcPr>
          <w:p>
            <w:pPr>
              <w:pStyle w:val="TableContents"/>
              <w:spacing w:before="0" w:after="283"/>
              <w:jc w:val="left"/>
              <w:rPr/>
            </w:pPr>
            <w:r>
              <w:rPr/>
              <w:t>)</w:t>
            </w:r>
          </w:p>
        </w:tc>
      </w:tr>
      <w:tr>
        <w:trPr/>
        <w:tc>
          <w:tcPr>
            <w:tcW w:w="67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jc w:val="left"/>
              <w:rPr/>
            </w:pPr>
            <w:r>
              <w:rPr/>
              <w:t> </w:t>
            </w:r>
          </w:p>
        </w:tc>
        <w:tc>
          <w:tcPr>
            <w:tcW w:w="658" w:type="dxa"/>
            <w:tcBorders/>
            <w:shd w:fill="FFFFFF" w:val="clear"/>
            <w:vAlign w:val="center"/>
          </w:tcPr>
          <w:p>
            <w:pPr>
              <w:pStyle w:val="TableContents"/>
              <w:spacing w:before="0" w:after="283"/>
              <w:jc w:val="right"/>
              <w:rPr/>
            </w:pPr>
            <w:r>
              <w:rPr/>
              <w:t>720</w:t>
            </w:r>
          </w:p>
        </w:tc>
        <w:tc>
          <w:tcPr>
            <w:tcW w:w="110"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jc w:val="left"/>
              <w:rPr/>
            </w:pPr>
            <w:r>
              <w:rPr/>
              <w:t>Less: current portion, net of unamortized discount</w:t>
            </w:r>
          </w:p>
        </w:tc>
        <w:tc>
          <w:tcPr>
            <w:tcW w:w="60" w:type="dxa"/>
            <w:tcBorders/>
            <w:shd w:fill="CCEEFF" w:val="clear"/>
            <w:vAlign w:val="center"/>
          </w:tcPr>
          <w:p>
            <w:pPr>
              <w:pStyle w:val="TableContents"/>
              <w:spacing w:before="0" w:after="283"/>
              <w:rPr/>
            </w:pPr>
            <w:r>
              <w:rPr/>
              <w:t> </w:t>
            </w:r>
          </w:p>
        </w:tc>
        <w:tc>
          <w:tcPr>
            <w:tcW w:w="20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spacing w:before="0" w:after="283"/>
              <w:jc w:val="right"/>
              <w:rPr/>
            </w:pPr>
            <w:r>
              <w:rPr/>
              <w:t>(720</w:t>
            </w:r>
          </w:p>
        </w:tc>
        <w:tc>
          <w:tcPr>
            <w:tcW w:w="110" w:type="dxa"/>
            <w:tcBorders/>
            <w:shd w:fill="CCEEFF" w:val="clear"/>
            <w:vAlign w:val="center"/>
          </w:tcPr>
          <w:p>
            <w:pPr>
              <w:pStyle w:val="TableContents"/>
              <w:spacing w:before="0" w:after="283"/>
              <w:jc w:val="left"/>
              <w:rPr/>
            </w:pPr>
            <w:r>
              <w:rPr/>
              <w:t>)</w:t>
            </w:r>
          </w:p>
        </w:tc>
      </w:tr>
      <w:tr>
        <w:trPr/>
        <w:tc>
          <w:tcPr>
            <w:tcW w:w="6785" w:type="dxa"/>
            <w:tcBorders/>
            <w:shd w:fill="FFFFFF" w:val="clear"/>
            <w:vAlign w:val="center"/>
          </w:tcPr>
          <w:p>
            <w:pPr>
              <w:pStyle w:val="TableContents"/>
              <w:spacing w:before="0" w:after="283"/>
              <w:jc w:val="left"/>
              <w:rPr/>
            </w:pPr>
            <w:r>
              <w:rPr/>
              <w:t>Capital lease obligation net of current portion and unamortized discount</w:t>
            </w:r>
          </w:p>
        </w:tc>
        <w:tc>
          <w:tcPr>
            <w:tcW w:w="60" w:type="dxa"/>
            <w:tcBorders/>
            <w:shd w:fill="FFFFFF" w:val="clear"/>
            <w:vAlign w:val="center"/>
          </w:tcPr>
          <w:p>
            <w:pPr>
              <w:pStyle w:val="TableContents"/>
              <w:spacing w:before="0" w:after="283"/>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658"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cost of the equipment under capital leases as of December 31, 2018 and 2017 was $2,070, with related accumulated depreciation of $729 and $444, respectively.</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ind w:left="1080" w:right="0" w:hanging="1080"/>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15. STOCKHOLDERS’ EQUITY AND STOCK-BASED COMPENSATION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December 31, 2018 and 2017, the Company had 50,000,000 and 90,000,000 shares of common stock, $0.001 par value, authorized, respectively. On July 10, 2018, the Company amended its amended and restated certificate of incorporation to reduce the number of authorized shares of common stock from 90,000,000 to 50,000,000.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Issuances During the Year Ended December 31, 2017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March 2017, we entered into securities purchase agreements with two accredited investors, which provided for the sale by the Company of 1,312,500 shares of its common stock, at a price of $2.40 per share (the “Registered Offering”). We received net proceeds of $2,940 after deducting the underwriter discount of 6% of the gross proceeds from the Registered Offering and other related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March 2017, the Company issued 25,000 shares of its restricted common stock, with a fair value of $60, as payment for investor relations related services.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April 2017, the Company issued 100,000 shares of common stock as a result of warrant exercises. The Company received cash proceeds of $179 upon the exercise of the warrants with an exercise price of $1.79.</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November 2015, the Company entered into a Controlled Equity Offering</w:t>
      </w:r>
      <w:r>
        <w:rPr>
          <w:rFonts w:ascii="Times New Roman;Times;Serif" w:hAnsi="Times New Roman;Times;Serif"/>
          <w:b w:val="false"/>
          <w:i w:val="false"/>
          <w:caps w:val="false"/>
          <w:smallCaps w:val="false"/>
          <w:position w:val="5"/>
          <w:sz w:val="13"/>
          <w:sz w:val="17"/>
        </w:rPr>
        <w:t>SM</w:t>
      </w:r>
      <w:r>
        <w:rPr>
          <w:rFonts w:ascii="Times New Roman;Times;Serif" w:hAnsi="Times New Roman;Times;Serif"/>
          <w:b w:val="false"/>
          <w:i w:val="false"/>
          <w:caps w:val="false"/>
          <w:smallCaps w:val="false"/>
          <w:sz w:val="17"/>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sold 557,714 shares of common stock and received net proceeds of $1,124, after deducting $35 for sales commission and offering expenses, under the Sales Agreement during the year ended December 31, 2017.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2017, 56,822 shares of the Company’s common stock underlying RSUs issued to directors vested, but the issuance and delivery of these shares are deferred until the director resigns.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Issuances During the Year Ended December 31,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January 2018, the Company issued 25,273 shares of its restricted common stock, with a fair value of $44, in lieu of a cash payment for accrued royalty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RSUs granted in February 2015 to Andrew R. Boll, the Company’s Chief Financial Officer, vested, and in February 2018, 30,000 shares the Company’s common stock were issued to Mr. Boll.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RSUs granted in February 2015 to John P. Saharek, the President of ImprimisRx (formerly, the Company’s Chief Commercial Officer), vested, and in February 2018, 30,000 shares the Company’s common stock were issued to Mr. Saharek.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March 2018, the Company issued 35,427 shares of its restricted common stock, with a fair value of $64, in lieu of a cash payment for accrued royalty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December 2018, the Company issued 15,000 shares of its restricted common stock, with a fair value of $42, related to a milestone payment due under a sales and marketing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sold 305,619 shares of common stock and received net proceeds of $642, after deducting $20 for sales commission and offering expenses, under the Sales Agreement during the nine months ended September 30, 2018. In November 2018, the Company terminated the Sales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the Company issued 2,364,889 shares of its common stock related to the exercise of common stock warrants with an exercise price of $1.79, and received net proceeds of $4,233.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the Company issued 910,273 shares of its common stock related to the cashless exercise of 1,576,665 common stock warrants with an exercise price of $1.79.</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99,626 shares of the Company’s common stock underlying RSUs issued to directors vested, but the issuance and delivery of these shares are deferred until the director resigns.</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Preferred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At December 31, 2018 and 2017, the Company had 5,000,000 shares of preferred stock, $0.001 par value, authorized and no shares of preferred stock issued and outstanding.</w:t>
      </w:r>
    </w:p>
    <w:p>
      <w:pPr>
        <w:pStyle w:val="TextBody"/>
        <w:ind w:left="1080" w:right="0" w:hanging="1080"/>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Stock Option Plan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 As of December 31, 2018, the 2017 Plan provide for the issuance of a maximum of 2,000,000 shares of the Company’s common stock. The purpose of the Plan is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 The Company had 1,572,640 shares available for future issuances under the 2017 Plan at December 31,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Stock Options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summary of stock option activity under the Plan for the year ended December 31, 2018 is as follows: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15"/>
        <w:gridCol w:w="60"/>
        <w:gridCol w:w="76"/>
        <w:gridCol w:w="1255"/>
        <w:gridCol w:w="95"/>
        <w:gridCol w:w="60"/>
        <w:gridCol w:w="433"/>
        <w:gridCol w:w="1366"/>
        <w:gridCol w:w="60"/>
        <w:gridCol w:w="60"/>
        <w:gridCol w:w="294"/>
        <w:gridCol w:w="2176"/>
        <w:gridCol w:w="60"/>
        <w:gridCol w:w="60"/>
        <w:gridCol w:w="331"/>
        <w:gridCol w:w="1324"/>
        <w:gridCol w:w="80"/>
      </w:tblGrid>
      <w:tr>
        <w:trPr/>
        <w:tc>
          <w:tcPr>
            <w:tcW w:w="24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31" w:type="dxa"/>
            <w:gridSpan w:val="2"/>
            <w:tcBorders>
              <w:bottom w:val="single" w:sz="12" w:space="0" w:color="000000"/>
            </w:tcBorders>
            <w:shd w:fill="auto" w:val="clear"/>
            <w:tcMar>
              <w:bottom w:w="28" w:type="dxa"/>
            </w:tcMar>
            <w:vAlign w:val="center"/>
          </w:tcPr>
          <w:p>
            <w:pPr>
              <w:pStyle w:val="TableContents"/>
              <w:spacing w:before="0" w:after="283"/>
              <w:jc w:val="center"/>
              <w:rPr/>
            </w:pPr>
            <w:r>
              <w:rPr/>
              <w:t>Number of shares</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799"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 Avg. Exercise Price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470"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 Avg. Remaining Contractual Life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55" w:type="dxa"/>
            <w:gridSpan w:val="2"/>
            <w:tcBorders>
              <w:bottom w:val="single" w:sz="12" w:space="0" w:color="000000"/>
            </w:tcBorders>
            <w:shd w:fill="auto" w:val="clear"/>
            <w:tcMar>
              <w:bottom w:w="28" w:type="dxa"/>
            </w:tcMar>
            <w:vAlign w:val="center"/>
          </w:tcPr>
          <w:p>
            <w:pPr>
              <w:pStyle w:val="TableContents"/>
              <w:spacing w:before="0" w:after="283"/>
              <w:jc w:val="center"/>
              <w:rPr/>
            </w:pPr>
            <w:r>
              <w:rPr/>
              <w:t>Aggregate Intrinsic Value</w:t>
            </w:r>
          </w:p>
        </w:tc>
        <w:tc>
          <w:tcPr>
            <w:tcW w:w="80" w:type="dxa"/>
            <w:tcBorders/>
            <w:shd w:fill="auto" w:val="clear"/>
            <w:vAlign w:val="center"/>
          </w:tcPr>
          <w:p>
            <w:pPr>
              <w:pStyle w:val="TableContents"/>
              <w:spacing w:before="0" w:after="283"/>
              <w:jc w:val="center"/>
              <w:rPr/>
            </w:pPr>
            <w:r>
              <w:rPr/>
              <w:t> </w:t>
            </w:r>
          </w:p>
        </w:tc>
      </w:tr>
      <w:tr>
        <w:trPr/>
        <w:tc>
          <w:tcPr>
            <w:tcW w:w="2415" w:type="dxa"/>
            <w:tcBorders/>
            <w:shd w:fill="CCEEFF" w:val="clear"/>
            <w:vAlign w:val="center"/>
          </w:tcPr>
          <w:p>
            <w:pPr>
              <w:pStyle w:val="TableContents"/>
              <w:spacing w:before="0" w:after="283"/>
              <w:rPr/>
            </w:pPr>
            <w:r>
              <w:rPr/>
              <w:t>Options outstanding - January 1, 2018</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1255" w:type="dxa"/>
            <w:tcBorders/>
            <w:shd w:fill="CCEEFF" w:val="clear"/>
            <w:vAlign w:val="center"/>
          </w:tcPr>
          <w:p>
            <w:pPr>
              <w:pStyle w:val="TableContents"/>
              <w:spacing w:before="0" w:after="283"/>
              <w:jc w:val="right"/>
              <w:rPr/>
            </w:pPr>
            <w:r>
              <w:rPr/>
              <w:t>2,259,979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jc w:val="left"/>
              <w:rPr/>
            </w:pPr>
            <w:r>
              <w:rPr/>
              <w:t>$</w:t>
            </w:r>
          </w:p>
        </w:tc>
        <w:tc>
          <w:tcPr>
            <w:tcW w:w="1366" w:type="dxa"/>
            <w:tcBorders/>
            <w:shd w:fill="CCEEFF" w:val="clear"/>
            <w:vAlign w:val="center"/>
          </w:tcPr>
          <w:p>
            <w:pPr>
              <w:pStyle w:val="TableContents"/>
              <w:spacing w:before="0" w:after="283"/>
              <w:jc w:val="right"/>
              <w:rPr/>
            </w:pPr>
            <w:r>
              <w:rPr/>
              <w:t>5.50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4" w:type="dxa"/>
            <w:tcBorders/>
            <w:shd w:fill="CCEEFF" w:val="clear"/>
            <w:vAlign w:val="center"/>
          </w:tcPr>
          <w:p>
            <w:pPr>
              <w:pStyle w:val="TableContents"/>
              <w:spacing w:before="0" w:after="283"/>
              <w:jc w:val="left"/>
              <w:rPr/>
            </w:pPr>
            <w:r>
              <w:rPr/>
              <w:t> </w:t>
            </w:r>
          </w:p>
        </w:tc>
        <w:tc>
          <w:tcPr>
            <w:tcW w:w="21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1" w:type="dxa"/>
            <w:tcBorders/>
            <w:shd w:fill="CCEEFF" w:val="clear"/>
            <w:vAlign w:val="center"/>
          </w:tcPr>
          <w:p>
            <w:pPr>
              <w:pStyle w:val="TableContents"/>
              <w:spacing w:before="0" w:after="283"/>
              <w:jc w:val="left"/>
              <w:rPr/>
            </w:pPr>
            <w:r>
              <w:rPr/>
              <w:t> </w:t>
            </w:r>
          </w:p>
        </w:tc>
        <w:tc>
          <w:tcPr>
            <w:tcW w:w="132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r>
      <w:tr>
        <w:trPr/>
        <w:tc>
          <w:tcPr>
            <w:tcW w:w="2415" w:type="dxa"/>
            <w:tcBorders/>
            <w:shd w:fill="FFFFFF" w:val="clear"/>
            <w:vAlign w:val="center"/>
          </w:tcPr>
          <w:p>
            <w:pPr>
              <w:pStyle w:val="TableContents"/>
              <w:spacing w:before="0" w:after="283"/>
              <w:jc w:val="left"/>
              <w:rPr/>
            </w:pPr>
            <w:r>
              <w:rPr/>
              <w:t>Options granted</w:t>
            </w:r>
          </w:p>
        </w:tc>
        <w:tc>
          <w:tcPr>
            <w:tcW w:w="60"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jc w:val="left"/>
              <w:rPr/>
            </w:pPr>
            <w:r>
              <w:rPr/>
              <w:t> </w:t>
            </w:r>
          </w:p>
        </w:tc>
        <w:tc>
          <w:tcPr>
            <w:tcW w:w="1255" w:type="dxa"/>
            <w:tcBorders/>
            <w:shd w:fill="FFFFFF" w:val="clear"/>
            <w:vAlign w:val="center"/>
          </w:tcPr>
          <w:p>
            <w:pPr>
              <w:pStyle w:val="TableContents"/>
              <w:spacing w:before="0" w:after="283"/>
              <w:jc w:val="right"/>
              <w:rPr/>
            </w:pPr>
            <w:r>
              <w:rPr/>
              <w:t>296,500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jc w:val="left"/>
              <w:rPr/>
            </w:pPr>
            <w:r>
              <w:rPr/>
              <w:t>$</w:t>
            </w:r>
          </w:p>
        </w:tc>
        <w:tc>
          <w:tcPr>
            <w:tcW w:w="1366" w:type="dxa"/>
            <w:tcBorders/>
            <w:shd w:fill="FFFFFF" w:val="clear"/>
            <w:vAlign w:val="center"/>
          </w:tcPr>
          <w:p>
            <w:pPr>
              <w:pStyle w:val="TableContents"/>
              <w:spacing w:before="0" w:after="283"/>
              <w:jc w:val="right"/>
              <w:rPr/>
            </w:pPr>
            <w:r>
              <w:rPr/>
              <w:t>1.80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4" w:type="dxa"/>
            <w:tcBorders/>
            <w:shd w:fill="FFFFFF" w:val="clear"/>
            <w:vAlign w:val="center"/>
          </w:tcPr>
          <w:p>
            <w:pPr>
              <w:pStyle w:val="TableContents"/>
              <w:spacing w:before="0" w:after="283"/>
              <w:jc w:val="left"/>
              <w:rPr/>
            </w:pPr>
            <w:r>
              <w:rPr/>
              <w:t> </w:t>
            </w:r>
          </w:p>
        </w:tc>
        <w:tc>
          <w:tcPr>
            <w:tcW w:w="217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1" w:type="dxa"/>
            <w:tcBorders/>
            <w:shd w:fill="FFFFFF" w:val="clear"/>
            <w:vAlign w:val="center"/>
          </w:tcPr>
          <w:p>
            <w:pPr>
              <w:pStyle w:val="TableContents"/>
              <w:spacing w:before="0" w:after="283"/>
              <w:jc w:val="left"/>
              <w:rPr/>
            </w:pPr>
            <w:r>
              <w:rPr/>
              <w:t> </w:t>
            </w:r>
          </w:p>
        </w:tc>
        <w:tc>
          <w:tcPr>
            <w:tcW w:w="132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r>
      <w:tr>
        <w:trPr/>
        <w:tc>
          <w:tcPr>
            <w:tcW w:w="2415" w:type="dxa"/>
            <w:tcBorders/>
            <w:shd w:fill="CCEEFF" w:val="clear"/>
            <w:vAlign w:val="center"/>
          </w:tcPr>
          <w:p>
            <w:pPr>
              <w:pStyle w:val="TableContents"/>
              <w:spacing w:before="0" w:after="283"/>
              <w:jc w:val="left"/>
              <w:rPr/>
            </w:pPr>
            <w:r>
              <w:rPr/>
              <w:t>Options exercised</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jc w:val="left"/>
              <w:rPr/>
            </w:pPr>
            <w:r>
              <w:rPr/>
              <w:t> </w:t>
            </w:r>
          </w:p>
        </w:tc>
        <w:tc>
          <w:tcPr>
            <w:tcW w:w="12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jc w:val="left"/>
              <w:rPr/>
            </w:pPr>
            <w:r>
              <w:rPr/>
              <w:t>$</w:t>
            </w:r>
          </w:p>
        </w:tc>
        <w:tc>
          <w:tcPr>
            <w:tcW w:w="136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4" w:type="dxa"/>
            <w:tcBorders/>
            <w:shd w:fill="CCEEFF" w:val="clear"/>
            <w:vAlign w:val="center"/>
          </w:tcPr>
          <w:p>
            <w:pPr>
              <w:pStyle w:val="TableContents"/>
              <w:spacing w:before="0" w:after="283"/>
              <w:jc w:val="left"/>
              <w:rPr/>
            </w:pPr>
            <w:r>
              <w:rPr/>
              <w:t> </w:t>
            </w:r>
          </w:p>
        </w:tc>
        <w:tc>
          <w:tcPr>
            <w:tcW w:w="21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1" w:type="dxa"/>
            <w:tcBorders/>
            <w:shd w:fill="CCEEFF" w:val="clear"/>
            <w:vAlign w:val="center"/>
          </w:tcPr>
          <w:p>
            <w:pPr>
              <w:pStyle w:val="TableContents"/>
              <w:spacing w:before="0" w:after="283"/>
              <w:jc w:val="left"/>
              <w:rPr/>
            </w:pPr>
            <w:r>
              <w:rPr/>
              <w:t> </w:t>
            </w:r>
          </w:p>
        </w:tc>
        <w:tc>
          <w:tcPr>
            <w:tcW w:w="132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r>
      <w:tr>
        <w:trPr/>
        <w:tc>
          <w:tcPr>
            <w:tcW w:w="2415" w:type="dxa"/>
            <w:tcBorders/>
            <w:shd w:fill="FFFFFF" w:val="clear"/>
            <w:vAlign w:val="center"/>
          </w:tcPr>
          <w:p>
            <w:pPr>
              <w:pStyle w:val="TableContents"/>
              <w:spacing w:before="0" w:after="283"/>
              <w:jc w:val="left"/>
              <w:rPr/>
            </w:pPr>
            <w:r>
              <w:rPr/>
              <w:t>Options cancelled/forfeit</w:t>
            </w:r>
          </w:p>
        </w:tc>
        <w:tc>
          <w:tcPr>
            <w:tcW w:w="60" w:type="dxa"/>
            <w:tcBorders/>
            <w:shd w:fill="FFFFFF" w:val="clear"/>
            <w:vAlign w:val="center"/>
          </w:tcPr>
          <w:p>
            <w:pPr>
              <w:pStyle w:val="TableContents"/>
              <w:spacing w:before="0" w:after="283"/>
              <w:rPr/>
            </w:pPr>
            <w:r>
              <w:rPr/>
              <w:t> </w:t>
            </w:r>
          </w:p>
        </w:tc>
        <w:tc>
          <w:tcPr>
            <w:tcW w:w="7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spacing w:before="0" w:after="283"/>
              <w:jc w:val="right"/>
              <w:rPr/>
            </w:pPr>
            <w:r>
              <w:rPr/>
              <w:t>(74,470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jc w:val="left"/>
              <w:rPr/>
            </w:pPr>
            <w:r>
              <w:rPr/>
              <w:t>$</w:t>
            </w:r>
          </w:p>
        </w:tc>
        <w:tc>
          <w:tcPr>
            <w:tcW w:w="1366" w:type="dxa"/>
            <w:tcBorders/>
            <w:shd w:fill="FFFFFF" w:val="clear"/>
            <w:vAlign w:val="center"/>
          </w:tcPr>
          <w:p>
            <w:pPr>
              <w:pStyle w:val="TableContents"/>
              <w:spacing w:before="0" w:after="283"/>
              <w:jc w:val="right"/>
              <w:rPr/>
            </w:pPr>
            <w:r>
              <w:rPr/>
              <w:t>4.29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4" w:type="dxa"/>
            <w:tcBorders/>
            <w:shd w:fill="FFFFFF" w:val="clear"/>
            <w:vAlign w:val="center"/>
          </w:tcPr>
          <w:p>
            <w:pPr>
              <w:pStyle w:val="TableContents"/>
              <w:spacing w:before="0" w:after="283"/>
              <w:jc w:val="left"/>
              <w:rPr/>
            </w:pPr>
            <w:r>
              <w:rPr/>
              <w:t> </w:t>
            </w:r>
          </w:p>
        </w:tc>
        <w:tc>
          <w:tcPr>
            <w:tcW w:w="217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1" w:type="dxa"/>
            <w:tcBorders/>
            <w:shd w:fill="FFFFFF" w:val="clear"/>
            <w:vAlign w:val="center"/>
          </w:tcPr>
          <w:p>
            <w:pPr>
              <w:pStyle w:val="TableContents"/>
              <w:spacing w:before="0" w:after="283"/>
              <w:jc w:val="left"/>
              <w:rPr/>
            </w:pPr>
            <w:r>
              <w:rPr/>
              <w:t> </w:t>
            </w:r>
          </w:p>
        </w:tc>
        <w:tc>
          <w:tcPr>
            <w:tcW w:w="132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r>
      <w:tr>
        <w:trPr/>
        <w:tc>
          <w:tcPr>
            <w:tcW w:w="2415" w:type="dxa"/>
            <w:tcBorders/>
            <w:shd w:fill="CCEEFF" w:val="clear"/>
            <w:vAlign w:val="center"/>
          </w:tcPr>
          <w:p>
            <w:pPr>
              <w:pStyle w:val="TableContents"/>
              <w:spacing w:before="0" w:after="283"/>
              <w:rPr/>
            </w:pPr>
            <w:r>
              <w:rPr/>
              <w:t>Options outstanding - December 31, 2018</w:t>
            </w:r>
          </w:p>
        </w:tc>
        <w:tc>
          <w:tcPr>
            <w:tcW w:w="60" w:type="dxa"/>
            <w:tcBorders/>
            <w:shd w:fill="CCEEFF" w:val="clear"/>
            <w:vAlign w:val="center"/>
          </w:tcPr>
          <w:p>
            <w:pPr>
              <w:pStyle w:val="TableContents"/>
              <w:spacing w:before="0" w:after="283"/>
              <w:rPr/>
            </w:pPr>
            <w:r>
              <w:rPr/>
              <w:t> </w:t>
            </w:r>
          </w:p>
        </w:tc>
        <w:tc>
          <w:tcPr>
            <w:tcW w:w="76"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255" w:type="dxa"/>
            <w:tcBorders>
              <w:bottom w:val="double" w:sz="6" w:space="0" w:color="000000"/>
            </w:tcBorders>
            <w:shd w:fill="CCEEFF" w:val="clear"/>
            <w:tcMar>
              <w:bottom w:w="28" w:type="dxa"/>
            </w:tcMar>
            <w:vAlign w:val="center"/>
          </w:tcPr>
          <w:p>
            <w:pPr>
              <w:pStyle w:val="TableContents"/>
              <w:spacing w:before="0" w:after="283"/>
              <w:jc w:val="right"/>
              <w:rPr/>
            </w:pPr>
            <w:r>
              <w:rPr/>
              <w:t>2,482,009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jc w:val="left"/>
              <w:rPr/>
            </w:pPr>
            <w:r>
              <w:rPr/>
              <w:t>$</w:t>
            </w:r>
          </w:p>
        </w:tc>
        <w:tc>
          <w:tcPr>
            <w:tcW w:w="1366" w:type="dxa"/>
            <w:tcBorders/>
            <w:shd w:fill="CCEEFF" w:val="clear"/>
            <w:vAlign w:val="center"/>
          </w:tcPr>
          <w:p>
            <w:pPr>
              <w:pStyle w:val="TableContents"/>
              <w:spacing w:before="0" w:after="283"/>
              <w:jc w:val="right"/>
              <w:rPr/>
            </w:pPr>
            <w:r>
              <w:rPr/>
              <w:t>5.10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4" w:type="dxa"/>
            <w:tcBorders/>
            <w:shd w:fill="CCEEFF" w:val="clear"/>
            <w:vAlign w:val="center"/>
          </w:tcPr>
          <w:p>
            <w:pPr>
              <w:pStyle w:val="TableContents"/>
              <w:spacing w:before="0" w:after="283"/>
              <w:jc w:val="left"/>
              <w:rPr/>
            </w:pPr>
            <w:r>
              <w:rPr/>
              <w:t> </w:t>
            </w:r>
          </w:p>
        </w:tc>
        <w:tc>
          <w:tcPr>
            <w:tcW w:w="2176" w:type="dxa"/>
            <w:tcBorders/>
            <w:shd w:fill="CCEEFF" w:val="clear"/>
            <w:vAlign w:val="center"/>
          </w:tcPr>
          <w:p>
            <w:pPr>
              <w:pStyle w:val="TableContents"/>
              <w:spacing w:before="0" w:after="283"/>
              <w:jc w:val="right"/>
              <w:rPr/>
            </w:pPr>
            <w:r>
              <w:rPr/>
              <w:t>5.51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1" w:type="dxa"/>
            <w:tcBorders/>
            <w:shd w:fill="CCEEFF" w:val="clear"/>
            <w:vAlign w:val="center"/>
          </w:tcPr>
          <w:p>
            <w:pPr>
              <w:pStyle w:val="TableContents"/>
              <w:spacing w:before="0" w:after="283"/>
              <w:jc w:val="left"/>
              <w:rPr/>
            </w:pPr>
            <w:r>
              <w:rPr/>
              <w:t>$</w:t>
            </w:r>
          </w:p>
        </w:tc>
        <w:tc>
          <w:tcPr>
            <w:tcW w:w="1324" w:type="dxa"/>
            <w:tcBorders/>
            <w:shd w:fill="CCEEFF" w:val="clear"/>
            <w:vAlign w:val="center"/>
          </w:tcPr>
          <w:p>
            <w:pPr>
              <w:pStyle w:val="TableContents"/>
              <w:spacing w:before="0" w:after="283"/>
              <w:jc w:val="right"/>
              <w:rPr/>
            </w:pPr>
            <w:r>
              <w:rPr/>
              <w:t>3,990</w:t>
            </w:r>
          </w:p>
        </w:tc>
        <w:tc>
          <w:tcPr>
            <w:tcW w:w="80" w:type="dxa"/>
            <w:tcBorders/>
            <w:shd w:fill="CCEEFF" w:val="clear"/>
            <w:vAlign w:val="center"/>
          </w:tcPr>
          <w:p>
            <w:pPr>
              <w:pStyle w:val="TableContents"/>
              <w:spacing w:before="0" w:after="283"/>
              <w:jc w:val="left"/>
              <w:rPr/>
            </w:pPr>
            <w:r>
              <w:rPr/>
              <w:t> </w:t>
            </w:r>
          </w:p>
        </w:tc>
      </w:tr>
      <w:tr>
        <w:trPr/>
        <w:tc>
          <w:tcPr>
            <w:tcW w:w="2415" w:type="dxa"/>
            <w:tcBorders/>
            <w:shd w:fill="FFFFFF" w:val="clear"/>
            <w:vAlign w:val="center"/>
          </w:tcPr>
          <w:p>
            <w:pPr>
              <w:pStyle w:val="TableContents"/>
              <w:spacing w:before="0" w:after="283"/>
              <w:jc w:val="left"/>
              <w:rPr/>
            </w:pPr>
            <w:r>
              <w:rPr/>
              <w:t>Options exercisable</w:t>
            </w:r>
          </w:p>
        </w:tc>
        <w:tc>
          <w:tcPr>
            <w:tcW w:w="60" w:type="dxa"/>
            <w:tcBorders/>
            <w:shd w:fill="FFFFFF" w:val="clear"/>
            <w:vAlign w:val="center"/>
          </w:tcPr>
          <w:p>
            <w:pPr>
              <w:pStyle w:val="TableContents"/>
              <w:spacing w:before="0" w:after="283"/>
              <w:rPr/>
            </w:pPr>
            <w:r>
              <w:rPr/>
              <w:t> </w:t>
            </w:r>
          </w:p>
        </w:tc>
        <w:tc>
          <w:tcPr>
            <w:tcW w:w="76"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255" w:type="dxa"/>
            <w:tcBorders>
              <w:bottom w:val="double" w:sz="6" w:space="0" w:color="000000"/>
            </w:tcBorders>
            <w:shd w:fill="FFFFFF" w:val="clear"/>
            <w:tcMar>
              <w:bottom w:w="28" w:type="dxa"/>
            </w:tcMar>
            <w:vAlign w:val="center"/>
          </w:tcPr>
          <w:p>
            <w:pPr>
              <w:pStyle w:val="TableContents"/>
              <w:spacing w:before="0" w:after="283"/>
              <w:jc w:val="right"/>
              <w:rPr/>
            </w:pPr>
            <w:r>
              <w:rPr/>
              <w:t>1,337,780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jc w:val="left"/>
              <w:rPr/>
            </w:pPr>
            <w:r>
              <w:rPr/>
              <w:t>$</w:t>
            </w:r>
          </w:p>
        </w:tc>
        <w:tc>
          <w:tcPr>
            <w:tcW w:w="1366" w:type="dxa"/>
            <w:tcBorders/>
            <w:shd w:fill="FFFFFF" w:val="clear"/>
            <w:vAlign w:val="center"/>
          </w:tcPr>
          <w:p>
            <w:pPr>
              <w:pStyle w:val="TableContents"/>
              <w:spacing w:before="0" w:after="283"/>
              <w:jc w:val="right"/>
              <w:rPr/>
            </w:pPr>
            <w:r>
              <w:rPr/>
              <w:t>4.94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4" w:type="dxa"/>
            <w:tcBorders/>
            <w:shd w:fill="FFFFFF" w:val="clear"/>
            <w:vAlign w:val="center"/>
          </w:tcPr>
          <w:p>
            <w:pPr>
              <w:pStyle w:val="TableContents"/>
              <w:spacing w:before="0" w:after="283"/>
              <w:jc w:val="left"/>
              <w:rPr/>
            </w:pPr>
            <w:r>
              <w:rPr/>
              <w:t> </w:t>
            </w:r>
          </w:p>
        </w:tc>
        <w:tc>
          <w:tcPr>
            <w:tcW w:w="2176" w:type="dxa"/>
            <w:tcBorders/>
            <w:shd w:fill="FFFFFF" w:val="clear"/>
            <w:vAlign w:val="center"/>
          </w:tcPr>
          <w:p>
            <w:pPr>
              <w:pStyle w:val="TableContents"/>
              <w:spacing w:before="0" w:after="283"/>
              <w:jc w:val="right"/>
              <w:rPr/>
            </w:pPr>
            <w:r>
              <w:rPr/>
              <w:t>6.22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1" w:type="dxa"/>
            <w:tcBorders/>
            <w:shd w:fill="FFFFFF" w:val="clear"/>
            <w:vAlign w:val="center"/>
          </w:tcPr>
          <w:p>
            <w:pPr>
              <w:pStyle w:val="TableContents"/>
              <w:spacing w:before="0" w:after="283"/>
              <w:jc w:val="left"/>
              <w:rPr/>
            </w:pPr>
            <w:r>
              <w:rPr/>
              <w:t>$</w:t>
            </w:r>
          </w:p>
        </w:tc>
        <w:tc>
          <w:tcPr>
            <w:tcW w:w="1324" w:type="dxa"/>
            <w:tcBorders/>
            <w:shd w:fill="FFFFFF" w:val="clear"/>
            <w:vAlign w:val="center"/>
          </w:tcPr>
          <w:p>
            <w:pPr>
              <w:pStyle w:val="TableContents"/>
              <w:spacing w:before="0" w:after="283"/>
              <w:jc w:val="right"/>
              <w:rPr/>
            </w:pPr>
            <w:r>
              <w:rPr/>
              <w:t>3,525</w:t>
            </w:r>
          </w:p>
        </w:tc>
        <w:tc>
          <w:tcPr>
            <w:tcW w:w="80" w:type="dxa"/>
            <w:tcBorders/>
            <w:shd w:fill="FFFFFF" w:val="clear"/>
            <w:vAlign w:val="center"/>
          </w:tcPr>
          <w:p>
            <w:pPr>
              <w:pStyle w:val="TableContents"/>
              <w:spacing w:before="0" w:after="283"/>
              <w:jc w:val="left"/>
              <w:rPr/>
            </w:pPr>
            <w:r>
              <w:rPr/>
              <w:t> </w:t>
            </w:r>
          </w:p>
        </w:tc>
      </w:tr>
      <w:tr>
        <w:trPr/>
        <w:tc>
          <w:tcPr>
            <w:tcW w:w="2415" w:type="dxa"/>
            <w:tcBorders/>
            <w:shd w:fill="CCEEFF" w:val="clear"/>
            <w:vAlign w:val="center"/>
          </w:tcPr>
          <w:p>
            <w:pPr>
              <w:pStyle w:val="TableContents"/>
              <w:spacing w:before="0" w:after="283"/>
              <w:jc w:val="left"/>
              <w:rPr/>
            </w:pPr>
            <w:r>
              <w:rPr/>
              <w:t>Options vested and expected to vest</w:t>
            </w:r>
          </w:p>
        </w:tc>
        <w:tc>
          <w:tcPr>
            <w:tcW w:w="60" w:type="dxa"/>
            <w:tcBorders/>
            <w:shd w:fill="CCEEFF" w:val="clear"/>
            <w:vAlign w:val="center"/>
          </w:tcPr>
          <w:p>
            <w:pPr>
              <w:pStyle w:val="TableContents"/>
              <w:spacing w:before="0" w:after="283"/>
              <w:rPr/>
            </w:pPr>
            <w:r>
              <w:rPr/>
              <w:t> </w:t>
            </w:r>
          </w:p>
        </w:tc>
        <w:tc>
          <w:tcPr>
            <w:tcW w:w="76"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255" w:type="dxa"/>
            <w:tcBorders>
              <w:bottom w:val="double" w:sz="6" w:space="0" w:color="000000"/>
            </w:tcBorders>
            <w:shd w:fill="CCEEFF" w:val="clear"/>
            <w:tcMar>
              <w:bottom w:w="28" w:type="dxa"/>
            </w:tcMar>
            <w:vAlign w:val="center"/>
          </w:tcPr>
          <w:p>
            <w:pPr>
              <w:pStyle w:val="TableContents"/>
              <w:spacing w:before="0" w:after="283"/>
              <w:jc w:val="right"/>
              <w:rPr/>
            </w:pPr>
            <w:r>
              <w:rPr/>
              <w:t>2,368,925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jc w:val="left"/>
              <w:rPr/>
            </w:pPr>
            <w:r>
              <w:rPr/>
              <w:t>$</w:t>
            </w:r>
          </w:p>
        </w:tc>
        <w:tc>
          <w:tcPr>
            <w:tcW w:w="1366" w:type="dxa"/>
            <w:tcBorders/>
            <w:shd w:fill="CCEEFF" w:val="clear"/>
            <w:vAlign w:val="center"/>
          </w:tcPr>
          <w:p>
            <w:pPr>
              <w:pStyle w:val="TableContents"/>
              <w:spacing w:before="0" w:after="283"/>
              <w:jc w:val="right"/>
              <w:rPr/>
            </w:pPr>
            <w:r>
              <w:rPr/>
              <w:t>5.09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4" w:type="dxa"/>
            <w:tcBorders/>
            <w:shd w:fill="CCEEFF" w:val="clear"/>
            <w:vAlign w:val="center"/>
          </w:tcPr>
          <w:p>
            <w:pPr>
              <w:pStyle w:val="TableContents"/>
              <w:spacing w:before="0" w:after="283"/>
              <w:jc w:val="left"/>
              <w:rPr/>
            </w:pPr>
            <w:r>
              <w:rPr/>
              <w:t> </w:t>
            </w:r>
          </w:p>
        </w:tc>
        <w:tc>
          <w:tcPr>
            <w:tcW w:w="2176" w:type="dxa"/>
            <w:tcBorders/>
            <w:shd w:fill="CCEEFF" w:val="clear"/>
            <w:vAlign w:val="center"/>
          </w:tcPr>
          <w:p>
            <w:pPr>
              <w:pStyle w:val="TableContents"/>
              <w:spacing w:before="0" w:after="283"/>
              <w:jc w:val="right"/>
              <w:rPr/>
            </w:pPr>
            <w:r>
              <w:rPr/>
              <w:t>5.53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1" w:type="dxa"/>
            <w:tcBorders/>
            <w:shd w:fill="CCEEFF" w:val="clear"/>
            <w:vAlign w:val="center"/>
          </w:tcPr>
          <w:p>
            <w:pPr>
              <w:pStyle w:val="TableContents"/>
              <w:spacing w:before="0" w:after="283"/>
              <w:jc w:val="left"/>
              <w:rPr/>
            </w:pPr>
            <w:r>
              <w:rPr/>
              <w:t>$</w:t>
            </w:r>
          </w:p>
        </w:tc>
        <w:tc>
          <w:tcPr>
            <w:tcW w:w="1324" w:type="dxa"/>
            <w:tcBorders/>
            <w:shd w:fill="CCEEFF" w:val="clear"/>
            <w:vAlign w:val="center"/>
          </w:tcPr>
          <w:p>
            <w:pPr>
              <w:pStyle w:val="TableContents"/>
              <w:spacing w:before="0" w:after="283"/>
              <w:jc w:val="right"/>
              <w:rPr/>
            </w:pPr>
            <w:r>
              <w:rPr/>
              <w:t>3,805</w:t>
            </w:r>
          </w:p>
        </w:tc>
        <w:tc>
          <w:tcPr>
            <w:tcW w:w="8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2018, based on the closing price of the Company’s common stock of $5.69 on that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2018 and 2017, the Company granted stock options to certain employees, directors and consultants. The stock options were granted with an exercise price equal to the current market price of the Company’s common stock, as reported by the securities exchange on which the common stock was then listed, at the grant date and have contractual terms ranging from five to 10 years. Vesting terms for options granted in 2018 and 2017 to employees and consultants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Certain option awards provide for accelerated vesting if there is a change in control (as defined in the Plan) and in the event of certain modifications to the option award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fair value of each option award is estimated on the date of grant using the Black-Scholes-Merton option pricing model. Beginning on April 1, 2018, the Company began calculating expected volatility based solely on the historical volatilities of the common stock of the Company. In the past,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table below illustrates the fair value per share determined using the Black-Scholes-Merton option pricing model with the following assumptions used for valuing options granted to employees:</w:t>
      </w:r>
    </w:p>
    <w:p>
      <w:pPr>
        <w:pStyle w:val="TextBody"/>
        <w:jc w:val="both"/>
        <w:rPr>
          <w:caps w:val="false"/>
          <w:smallCaps w:val="false"/>
        </w:rPr>
      </w:pPr>
      <w:r>
        <w:rPr>
          <w:caps w:val="false"/>
          <w:smallCaps w:val="false"/>
        </w:rPr>
        <w:t> </w:t>
      </w:r>
    </w:p>
    <w:tbl>
      <w:tblPr>
        <w:tblW w:w="6920" w:type="dxa"/>
        <w:jc w:val="left"/>
        <w:tblInd w:w="0" w:type="dxa"/>
        <w:tblCellMar>
          <w:top w:w="0" w:type="dxa"/>
          <w:left w:w="0" w:type="dxa"/>
          <w:bottom w:w="0" w:type="dxa"/>
          <w:right w:w="0" w:type="dxa"/>
        </w:tblCellMar>
      </w:tblPr>
      <w:tblGrid>
        <w:gridCol w:w="4475"/>
        <w:gridCol w:w="60"/>
        <w:gridCol w:w="140"/>
        <w:gridCol w:w="800"/>
        <w:gridCol w:w="215"/>
        <w:gridCol w:w="60"/>
        <w:gridCol w:w="140"/>
        <w:gridCol w:w="800"/>
        <w:gridCol w:w="230"/>
      </w:tblGrid>
      <w:tr>
        <w:trPr/>
        <w:tc>
          <w:tcPr>
            <w:tcW w:w="4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2018</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230" w:type="dxa"/>
            <w:tcBorders/>
            <w:shd w:fill="auto" w:val="clear"/>
            <w:vAlign w:val="center"/>
          </w:tcPr>
          <w:p>
            <w:pPr>
              <w:pStyle w:val="TableContents"/>
              <w:spacing w:before="0" w:after="283"/>
              <w:rPr/>
            </w:pPr>
            <w:r>
              <w:rPr/>
              <w:t> </w:t>
            </w:r>
          </w:p>
        </w:tc>
      </w:tr>
      <w:tr>
        <w:trPr/>
        <w:tc>
          <w:tcPr>
            <w:tcW w:w="4475" w:type="dxa"/>
            <w:tcBorders/>
            <w:shd w:fill="CCEEFF" w:val="clear"/>
            <w:vAlign w:val="center"/>
          </w:tcPr>
          <w:p>
            <w:pPr>
              <w:pStyle w:val="TableContents"/>
              <w:spacing w:before="0" w:after="283"/>
              <w:jc w:val="left"/>
              <w:rPr/>
            </w:pPr>
            <w:r>
              <w:rPr/>
              <w:t>Weighted-average fair value of options granted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1.42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2.04</w:t>
            </w:r>
          </w:p>
        </w:tc>
        <w:tc>
          <w:tcPr>
            <w:tcW w:w="230" w:type="dxa"/>
            <w:tcBorders/>
            <w:shd w:fill="CCEEFF" w:val="clear"/>
            <w:vAlign w:val="center"/>
          </w:tcPr>
          <w:p>
            <w:pPr>
              <w:pStyle w:val="TableContents"/>
              <w:spacing w:before="0" w:after="283"/>
              <w:jc w:val="left"/>
              <w:rPr/>
            </w:pPr>
            <w:r>
              <w:rPr/>
              <w:t> </w:t>
            </w:r>
          </w:p>
        </w:tc>
      </w:tr>
      <w:tr>
        <w:trPr/>
        <w:tc>
          <w:tcPr>
            <w:tcW w:w="4475" w:type="dxa"/>
            <w:tcBorders/>
            <w:shd w:fill="FFFFFF" w:val="clear"/>
            <w:vAlign w:val="center"/>
          </w:tcPr>
          <w:p>
            <w:pPr>
              <w:pStyle w:val="TableContents"/>
              <w:spacing w:before="0" w:after="283"/>
              <w:jc w:val="left"/>
              <w:rPr/>
            </w:pPr>
            <w:r>
              <w:rPr/>
              <w:t>Expected terms (in years)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rFonts w:ascii="Times New Roman;Times;Serif" w:hAnsi="Times New Roman;Times;Serif"/>
                <w:sz w:val="17"/>
              </w:rPr>
            </w:pPr>
            <w:r>
              <w:rPr>
                <w:rFonts w:ascii="Times New Roman;Times;Serif" w:hAnsi="Times New Roman;Times;Serif"/>
                <w:sz w:val="17"/>
              </w:rPr>
              <w:t>5.77 - 6.11</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rFonts w:ascii="Times New Roman;Times;Serif" w:hAnsi="Times New Roman;Times;Serif"/>
                <w:sz w:val="17"/>
              </w:rPr>
            </w:pPr>
            <w:r>
              <w:rPr>
                <w:rFonts w:ascii="Times New Roman;Times;Serif" w:hAnsi="Times New Roman;Times;Serif"/>
                <w:sz w:val="17"/>
              </w:rPr>
              <w:t>5.81 - 6.11</w:t>
            </w:r>
          </w:p>
        </w:tc>
        <w:tc>
          <w:tcPr>
            <w:tcW w:w="230" w:type="dxa"/>
            <w:tcBorders/>
            <w:shd w:fill="FFFFFF" w:val="clear"/>
            <w:vAlign w:val="center"/>
          </w:tcPr>
          <w:p>
            <w:pPr>
              <w:pStyle w:val="TableContents"/>
              <w:spacing w:before="0" w:after="283"/>
              <w:jc w:val="left"/>
              <w:rPr/>
            </w:pPr>
            <w:r>
              <w:rPr/>
              <w:t> </w:t>
            </w:r>
          </w:p>
        </w:tc>
      </w:tr>
      <w:tr>
        <w:trPr/>
        <w:tc>
          <w:tcPr>
            <w:tcW w:w="4475" w:type="dxa"/>
            <w:tcBorders/>
            <w:shd w:fill="CCEEFF" w:val="clear"/>
            <w:vAlign w:val="center"/>
          </w:tcPr>
          <w:p>
            <w:pPr>
              <w:pStyle w:val="TableContents"/>
              <w:spacing w:before="0" w:after="283"/>
              <w:jc w:val="left"/>
              <w:rPr/>
            </w:pPr>
            <w:r>
              <w:rPr/>
              <w:t>Expected volatility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rFonts w:ascii="Times New Roman;Times;Serif" w:hAnsi="Times New Roman;Times;Serif"/>
                <w:sz w:val="17"/>
              </w:rPr>
            </w:pPr>
            <w:r>
              <w:rPr>
                <w:rFonts w:ascii="Times New Roman;Times;Serif" w:hAnsi="Times New Roman;Times;Serif"/>
                <w:sz w:val="17"/>
              </w:rPr>
              <w:t>76 - 126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rFonts w:ascii="Times New Roman;Times;Serif" w:hAnsi="Times New Roman;Times;Serif"/>
                <w:sz w:val="17"/>
              </w:rPr>
            </w:pPr>
            <w:r>
              <w:rPr>
                <w:rFonts w:ascii="Times New Roman;Times;Serif" w:hAnsi="Times New Roman;Times;Serif"/>
                <w:sz w:val="17"/>
              </w:rPr>
              <w:t>112 - 117</w:t>
            </w:r>
          </w:p>
        </w:tc>
        <w:tc>
          <w:tcPr>
            <w:tcW w:w="230" w:type="dxa"/>
            <w:tcBorders/>
            <w:shd w:fill="CCEEFF" w:val="clear"/>
            <w:vAlign w:val="center"/>
          </w:tcPr>
          <w:p>
            <w:pPr>
              <w:pStyle w:val="TableContents"/>
              <w:spacing w:before="0" w:after="283"/>
              <w:jc w:val="left"/>
              <w:rPr/>
            </w:pPr>
            <w:r>
              <w:rPr/>
              <w:t>%</w:t>
            </w:r>
          </w:p>
        </w:tc>
      </w:tr>
      <w:tr>
        <w:trPr/>
        <w:tc>
          <w:tcPr>
            <w:tcW w:w="4475" w:type="dxa"/>
            <w:tcBorders/>
            <w:shd w:fill="FFFFFF" w:val="clear"/>
            <w:vAlign w:val="center"/>
          </w:tcPr>
          <w:p>
            <w:pPr>
              <w:pStyle w:val="TableContents"/>
              <w:spacing w:before="0" w:after="283"/>
              <w:jc w:val="left"/>
              <w:rPr/>
            </w:pPr>
            <w:r>
              <w:rPr/>
              <w:t>Risk-free interest rate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rFonts w:ascii="Times New Roman;Times;Serif" w:hAnsi="Times New Roman;Times;Serif"/>
                <w:sz w:val="17"/>
              </w:rPr>
            </w:pPr>
            <w:r>
              <w:rPr>
                <w:rFonts w:ascii="Times New Roman;Times;Serif" w:hAnsi="Times New Roman;Times;Serif"/>
                <w:sz w:val="17"/>
              </w:rPr>
              <w:t>2.05 - 3.00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rFonts w:ascii="Times New Roman;Times;Serif" w:hAnsi="Times New Roman;Times;Serif"/>
                <w:sz w:val="17"/>
              </w:rPr>
            </w:pPr>
            <w:r>
              <w:rPr>
                <w:rFonts w:ascii="Times New Roman;Times;Serif" w:hAnsi="Times New Roman;Times;Serif"/>
                <w:sz w:val="17"/>
              </w:rPr>
              <w:t>1.77 - 2.01</w:t>
            </w:r>
          </w:p>
        </w:tc>
        <w:tc>
          <w:tcPr>
            <w:tcW w:w="230" w:type="dxa"/>
            <w:tcBorders/>
            <w:shd w:fill="FFFFFF" w:val="clear"/>
            <w:vAlign w:val="center"/>
          </w:tcPr>
          <w:p>
            <w:pPr>
              <w:pStyle w:val="TableContents"/>
              <w:spacing w:before="0" w:after="283"/>
              <w:jc w:val="left"/>
              <w:rPr/>
            </w:pPr>
            <w:r>
              <w:rPr/>
              <w:t>%</w:t>
            </w:r>
          </w:p>
        </w:tc>
      </w:tr>
      <w:tr>
        <w:trPr/>
        <w:tc>
          <w:tcPr>
            <w:tcW w:w="4475" w:type="dxa"/>
            <w:tcBorders/>
            <w:shd w:fill="CCEEFF" w:val="clear"/>
            <w:vAlign w:val="center"/>
          </w:tcPr>
          <w:p>
            <w:pPr>
              <w:pStyle w:val="TableContents"/>
              <w:spacing w:before="0" w:after="283"/>
              <w:jc w:val="left"/>
              <w:rPr/>
            </w:pPr>
            <w:r>
              <w:rPr/>
              <w:t>Dividend yield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230" w:type="dxa"/>
            <w:tcBorders/>
            <w:shd w:fill="CCEEFF" w:val="clear"/>
            <w:vAlign w:val="center"/>
          </w:tcPr>
          <w:p>
            <w:pPr>
              <w:pStyle w:val="TableContents"/>
              <w:spacing w:before="0" w:after="283"/>
              <w:jc w:val="left"/>
              <w:rPr/>
            </w:pPr>
            <w:r>
              <w:rPr/>
              <w:t> </w:t>
            </w:r>
          </w:p>
        </w:tc>
      </w:tr>
    </w:tbl>
    <w:p>
      <w:pPr>
        <w:pStyle w:val="TextBody"/>
        <w:ind w:left="1080" w:right="0" w:hanging="1080"/>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following table summarizes information about stock options outstanding and exercisable at December 31, 2018:</w:t>
      </w:r>
    </w:p>
    <w:p>
      <w:pPr>
        <w:pStyle w:val="TextBody"/>
        <w:ind w:left="1080" w:right="0" w:hanging="1080"/>
        <w:rPr>
          <w:caps w:val="false"/>
          <w:smallCaps w:val="false"/>
        </w:rPr>
      </w:pPr>
      <w:r>
        <w:rPr>
          <w:caps w:val="false"/>
          <w:smallCaps w:val="false"/>
        </w:rPr>
        <w:t> </w:t>
      </w:r>
    </w:p>
    <w:tbl>
      <w:tblPr>
        <w:tblW w:w="7574" w:type="dxa"/>
        <w:jc w:val="left"/>
        <w:tblInd w:w="0" w:type="dxa"/>
        <w:tblCellMar>
          <w:top w:w="0" w:type="dxa"/>
          <w:left w:w="0" w:type="dxa"/>
          <w:bottom w:w="0" w:type="dxa"/>
          <w:right w:w="0" w:type="dxa"/>
        </w:tblCellMar>
      </w:tblPr>
      <w:tblGrid>
        <w:gridCol w:w="1475"/>
        <w:gridCol w:w="60"/>
        <w:gridCol w:w="60"/>
        <w:gridCol w:w="67"/>
        <w:gridCol w:w="1108"/>
        <w:gridCol w:w="60"/>
        <w:gridCol w:w="60"/>
        <w:gridCol w:w="150"/>
        <w:gridCol w:w="1114"/>
        <w:gridCol w:w="60"/>
        <w:gridCol w:w="60"/>
        <w:gridCol w:w="187"/>
        <w:gridCol w:w="748"/>
        <w:gridCol w:w="60"/>
        <w:gridCol w:w="60"/>
        <w:gridCol w:w="64"/>
        <w:gridCol w:w="1051"/>
        <w:gridCol w:w="60"/>
        <w:gridCol w:w="60"/>
        <w:gridCol w:w="187"/>
        <w:gridCol w:w="748"/>
        <w:gridCol w:w="75"/>
      </w:tblGrid>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shd w:fill="auto" w:val="clear"/>
            <w:vAlign w:val="center"/>
          </w:tcPr>
          <w:p>
            <w:pPr>
              <w:pStyle w:val="TableContents"/>
              <w:spacing w:before="0" w:after="283"/>
              <w:jc w:val="center"/>
              <w:rPr/>
            </w:pPr>
            <w:r>
              <w:rPr/>
              <w:t>Weighted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shd w:fill="auto" w:val="clear"/>
            <w:vAlign w:val="center"/>
          </w:tcPr>
          <w:p>
            <w:pPr>
              <w:pStyle w:val="TableContents"/>
              <w:spacing w:before="0" w:after="283"/>
              <w:jc w:val="center"/>
              <w:rPr/>
            </w:pPr>
            <w:r>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Weighted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Weighted</w:t>
            </w:r>
          </w:p>
        </w:tc>
        <w:tc>
          <w:tcPr>
            <w:tcW w:w="75"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shd w:fill="auto" w:val="clear"/>
            <w:vAlign w:val="center"/>
          </w:tcPr>
          <w:p>
            <w:pPr>
              <w:pStyle w:val="TableContents"/>
              <w:spacing w:before="0" w:after="283"/>
              <w:jc w:val="center"/>
              <w:rPr/>
            </w:pPr>
            <w:r>
              <w:rPr/>
              <w:t>Remaining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Average</w:t>
            </w:r>
          </w:p>
        </w:tc>
        <w:tc>
          <w:tcPr>
            <w:tcW w:w="75"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jc w:val="left"/>
              <w:rPr/>
            </w:pPr>
            <w:r>
              <w:rPr/>
              <w:t>Range of</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jc w:val="center"/>
              <w:rPr/>
            </w:pPr>
            <w:r>
              <w:rPr/>
              <w:t>Number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shd w:fill="auto" w:val="clear"/>
            <w:vAlign w:val="center"/>
          </w:tcPr>
          <w:p>
            <w:pPr>
              <w:pStyle w:val="TableContents"/>
              <w:spacing w:before="0" w:after="283"/>
              <w:jc w:val="center"/>
              <w:rPr/>
            </w:pPr>
            <w:r>
              <w:rPr/>
              <w:t>Contractual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Exercise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pPr>
            <w:r>
              <w:rPr/>
              <w:t>Number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Exercise</w:t>
            </w:r>
          </w:p>
        </w:tc>
        <w:tc>
          <w:tcPr>
            <w:tcW w:w="75" w:type="dxa"/>
            <w:tcBorders/>
            <w:shd w:fill="auto" w:val="clear"/>
            <w:vAlign w:val="center"/>
          </w:tcPr>
          <w:p>
            <w:pPr>
              <w:pStyle w:val="TableContents"/>
              <w:spacing w:before="0" w:after="283"/>
              <w:rPr/>
            </w:pPr>
            <w:r>
              <w:rPr/>
              <w:t> </w:t>
            </w:r>
          </w:p>
        </w:tc>
      </w:tr>
      <w:tr>
        <w:trPr/>
        <w:tc>
          <w:tcPr>
            <w:tcW w:w="1475" w:type="dxa"/>
            <w:tcBorders>
              <w:bottom w:val="single" w:sz="12" w:space="0" w:color="000000"/>
            </w:tcBorders>
            <w:shd w:fill="auto" w:val="clear"/>
            <w:tcMar>
              <w:bottom w:w="28" w:type="dxa"/>
            </w:tcMar>
            <w:vAlign w:val="center"/>
          </w:tcPr>
          <w:p>
            <w:pPr>
              <w:pStyle w:val="TableContents"/>
              <w:spacing w:before="0" w:after="283"/>
              <w:jc w:val="left"/>
              <w:rPr/>
            </w:pPr>
            <w:r>
              <w:rPr/>
              <w:t>Exercise Prices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center"/>
          </w:tcPr>
          <w:p>
            <w:pPr>
              <w:pStyle w:val="TableContents"/>
              <w:spacing w:before="0" w:after="283"/>
              <w:jc w:val="center"/>
              <w:rPr/>
            </w:pPr>
            <w:r>
              <w:rPr/>
              <w:t>Outstanding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pPr>
            <w:r>
              <w:rPr/>
              <w:t>Life in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pPr>
            <w:r>
              <w:rPr/>
              <w:t>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pPr>
            <w:r>
              <w:rPr/>
              <w:t>Exercisable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pPr>
            <w:r>
              <w:rPr/>
              <w:t>Price</w:t>
            </w:r>
          </w:p>
        </w:tc>
        <w:tc>
          <w:tcPr>
            <w:tcW w:w="75" w:type="dxa"/>
            <w:tcBorders/>
            <w:shd w:fill="auto" w:val="clear"/>
            <w:vAlign w:val="center"/>
          </w:tcPr>
          <w:p>
            <w:pPr>
              <w:pStyle w:val="TableContents"/>
              <w:spacing w:before="0" w:after="283"/>
              <w:rPr/>
            </w:pPr>
            <w:r>
              <w:rPr/>
              <w:t> </w:t>
            </w:r>
          </w:p>
        </w:tc>
      </w:tr>
      <w:tr>
        <w:trPr/>
        <w:tc>
          <w:tcPr>
            <w:tcW w:w="1475" w:type="dxa"/>
            <w:tcBorders/>
            <w:shd w:fill="CCEEFF" w:val="clear"/>
            <w:vAlign w:val="center"/>
          </w:tcPr>
          <w:p>
            <w:pPr>
              <w:pStyle w:val="TableContents"/>
              <w:spacing w:before="0" w:after="283"/>
              <w:jc w:val="left"/>
              <w:rPr>
                <w:rFonts w:ascii="Times New Roman;Times;Serif" w:hAnsi="Times New Roman;Times;Serif"/>
                <w:sz w:val="17"/>
              </w:rPr>
            </w:pPr>
            <w:r>
              <w:rPr>
                <w:rFonts w:ascii="Times New Roman;Times;Serif" w:hAnsi="Times New Roman;Times;Serif"/>
                <w:sz w:val="17"/>
              </w:rPr>
              <w:t>$1.47 - $2.60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jc w:val="left"/>
              <w:rPr/>
            </w:pPr>
            <w:r>
              <w:rPr/>
              <w:t> </w:t>
            </w:r>
          </w:p>
        </w:tc>
        <w:tc>
          <w:tcPr>
            <w:tcW w:w="1108" w:type="dxa"/>
            <w:tcBorders/>
            <w:shd w:fill="CCEEFF" w:val="clear"/>
            <w:vAlign w:val="center"/>
          </w:tcPr>
          <w:p>
            <w:pPr>
              <w:pStyle w:val="TableContents"/>
              <w:spacing w:before="0" w:after="283"/>
              <w:jc w:val="right"/>
              <w:rPr/>
            </w:pPr>
            <w:r>
              <w:rPr/>
              <w:t>837,375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1114" w:type="dxa"/>
            <w:tcBorders/>
            <w:shd w:fill="CCEEFF" w:val="clear"/>
            <w:vAlign w:val="center"/>
          </w:tcPr>
          <w:p>
            <w:pPr>
              <w:pStyle w:val="TableContents"/>
              <w:spacing w:before="0" w:after="283"/>
              <w:jc w:val="right"/>
              <w:rPr/>
            </w:pPr>
            <w:r>
              <w:rPr/>
              <w:t>7.74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748" w:type="dxa"/>
            <w:tcBorders/>
            <w:shd w:fill="CCEEFF" w:val="clear"/>
            <w:vAlign w:val="center"/>
          </w:tcPr>
          <w:p>
            <w:pPr>
              <w:pStyle w:val="TableContents"/>
              <w:spacing w:before="0" w:after="283"/>
              <w:jc w:val="right"/>
              <w:rPr/>
            </w:pPr>
            <w:r>
              <w:rPr/>
              <w:t>2.04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jc w:val="left"/>
              <w:rPr/>
            </w:pPr>
            <w:r>
              <w:rPr/>
              <w:t> </w:t>
            </w:r>
          </w:p>
        </w:tc>
        <w:tc>
          <w:tcPr>
            <w:tcW w:w="1051" w:type="dxa"/>
            <w:tcBorders/>
            <w:shd w:fill="CCEEFF" w:val="clear"/>
            <w:vAlign w:val="center"/>
          </w:tcPr>
          <w:p>
            <w:pPr>
              <w:pStyle w:val="TableContents"/>
              <w:spacing w:before="0" w:after="283"/>
              <w:jc w:val="right"/>
              <w:rPr/>
            </w:pPr>
            <w:r>
              <w:rPr/>
              <w:t>420,774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748" w:type="dxa"/>
            <w:tcBorders/>
            <w:shd w:fill="CCEEFF" w:val="clear"/>
            <w:vAlign w:val="center"/>
          </w:tcPr>
          <w:p>
            <w:pPr>
              <w:pStyle w:val="TableContents"/>
              <w:spacing w:before="0" w:after="283"/>
              <w:jc w:val="right"/>
              <w:rPr/>
            </w:pPr>
            <w:r>
              <w:rPr/>
              <w:t>2.16</w:t>
            </w:r>
          </w:p>
        </w:tc>
        <w:tc>
          <w:tcPr>
            <w:tcW w:w="75" w:type="dxa"/>
            <w:tcBorders/>
            <w:shd w:fill="CCEEFF" w:val="clear"/>
            <w:vAlign w:val="center"/>
          </w:tcPr>
          <w:p>
            <w:pPr>
              <w:pStyle w:val="TableContents"/>
              <w:spacing w:before="0" w:after="283"/>
              <w:jc w:val="left"/>
              <w:rPr/>
            </w:pPr>
            <w:r>
              <w:rPr/>
              <w:t> </w:t>
            </w:r>
          </w:p>
        </w:tc>
      </w:tr>
      <w:tr>
        <w:trPr/>
        <w:tc>
          <w:tcPr>
            <w:tcW w:w="1475" w:type="dxa"/>
            <w:tcBorders/>
            <w:shd w:fill="FFFFFF" w:val="clear"/>
            <w:vAlign w:val="center"/>
          </w:tcPr>
          <w:p>
            <w:pPr>
              <w:pStyle w:val="TableContents"/>
              <w:spacing w:before="0" w:after="283"/>
              <w:jc w:val="left"/>
              <w:rPr>
                <w:rFonts w:ascii="Times New Roman;Times;Serif" w:hAnsi="Times New Roman;Times;Serif"/>
                <w:sz w:val="17"/>
              </w:rPr>
            </w:pPr>
            <w:r>
              <w:rPr>
                <w:rFonts w:ascii="Times New Roman;Times;Serif" w:hAnsi="Times New Roman;Times;Serif"/>
                <w:sz w:val="17"/>
              </w:rPr>
              <w:t>$3.04 - $4.50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jc w:val="left"/>
              <w:rPr/>
            </w:pPr>
            <w:r>
              <w:rPr/>
              <w:t> </w:t>
            </w:r>
          </w:p>
        </w:tc>
        <w:tc>
          <w:tcPr>
            <w:tcW w:w="1108" w:type="dxa"/>
            <w:tcBorders/>
            <w:shd w:fill="FFFFFF" w:val="clear"/>
            <w:vAlign w:val="center"/>
          </w:tcPr>
          <w:p>
            <w:pPr>
              <w:pStyle w:val="TableContents"/>
              <w:spacing w:before="0" w:after="283"/>
              <w:jc w:val="right"/>
              <w:rPr/>
            </w:pPr>
            <w:r>
              <w:rPr/>
              <w:t>536,622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114" w:type="dxa"/>
            <w:tcBorders/>
            <w:shd w:fill="FFFFFF" w:val="clear"/>
            <w:vAlign w:val="center"/>
          </w:tcPr>
          <w:p>
            <w:pPr>
              <w:pStyle w:val="TableContents"/>
              <w:spacing w:before="0" w:after="283"/>
              <w:jc w:val="right"/>
              <w:rPr/>
            </w:pPr>
            <w:r>
              <w:rPr/>
              <w:t>6.97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w:t>
            </w:r>
          </w:p>
        </w:tc>
        <w:tc>
          <w:tcPr>
            <w:tcW w:w="748" w:type="dxa"/>
            <w:tcBorders/>
            <w:shd w:fill="FFFFFF" w:val="clear"/>
            <w:vAlign w:val="center"/>
          </w:tcPr>
          <w:p>
            <w:pPr>
              <w:pStyle w:val="TableContents"/>
              <w:spacing w:before="0" w:after="283"/>
              <w:jc w:val="right"/>
              <w:rPr/>
            </w:pPr>
            <w:r>
              <w:rPr/>
              <w:t>3.96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1051" w:type="dxa"/>
            <w:tcBorders/>
            <w:shd w:fill="FFFFFF" w:val="clear"/>
            <w:vAlign w:val="center"/>
          </w:tcPr>
          <w:p>
            <w:pPr>
              <w:pStyle w:val="TableContents"/>
              <w:spacing w:before="0" w:after="283"/>
              <w:jc w:val="right"/>
              <w:rPr/>
            </w:pPr>
            <w:r>
              <w:rPr/>
              <w:t>415,784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w:t>
            </w:r>
          </w:p>
        </w:tc>
        <w:tc>
          <w:tcPr>
            <w:tcW w:w="748" w:type="dxa"/>
            <w:tcBorders/>
            <w:shd w:fill="FFFFFF" w:val="clear"/>
            <w:vAlign w:val="center"/>
          </w:tcPr>
          <w:p>
            <w:pPr>
              <w:pStyle w:val="TableContents"/>
              <w:spacing w:before="0" w:after="283"/>
              <w:jc w:val="right"/>
              <w:rPr/>
            </w:pPr>
            <w:r>
              <w:rPr/>
              <w:t>3.98</w:t>
            </w:r>
          </w:p>
        </w:tc>
        <w:tc>
          <w:tcPr>
            <w:tcW w:w="75" w:type="dxa"/>
            <w:tcBorders/>
            <w:shd w:fill="FFFFFF" w:val="clear"/>
            <w:vAlign w:val="center"/>
          </w:tcPr>
          <w:p>
            <w:pPr>
              <w:pStyle w:val="TableContents"/>
              <w:spacing w:before="0" w:after="283"/>
              <w:jc w:val="left"/>
              <w:rPr/>
            </w:pPr>
            <w:r>
              <w:rPr/>
              <w:t> </w:t>
            </w:r>
          </w:p>
        </w:tc>
      </w:tr>
      <w:tr>
        <w:trPr/>
        <w:tc>
          <w:tcPr>
            <w:tcW w:w="1475" w:type="dxa"/>
            <w:tcBorders/>
            <w:shd w:fill="CCEEFF" w:val="clear"/>
            <w:vAlign w:val="center"/>
          </w:tcPr>
          <w:p>
            <w:pPr>
              <w:pStyle w:val="TableContents"/>
              <w:spacing w:before="0" w:after="283"/>
              <w:jc w:val="left"/>
              <w:rPr>
                <w:rFonts w:ascii="Times New Roman;Times;Serif" w:hAnsi="Times New Roman;Times;Serif"/>
                <w:sz w:val="17"/>
              </w:rPr>
            </w:pPr>
            <w:r>
              <w:rPr>
                <w:rFonts w:ascii="Times New Roman;Times;Serif" w:hAnsi="Times New Roman;Times;Serif"/>
                <w:sz w:val="17"/>
              </w:rPr>
              <w:t>$5.49 - $6.36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jc w:val="left"/>
              <w:rPr/>
            </w:pPr>
            <w:r>
              <w:rPr/>
              <w:t> </w:t>
            </w:r>
          </w:p>
        </w:tc>
        <w:tc>
          <w:tcPr>
            <w:tcW w:w="1108" w:type="dxa"/>
            <w:tcBorders/>
            <w:shd w:fill="CCEEFF" w:val="clear"/>
            <w:vAlign w:val="center"/>
          </w:tcPr>
          <w:p>
            <w:pPr>
              <w:pStyle w:val="TableContents"/>
              <w:spacing w:before="0" w:after="283"/>
              <w:jc w:val="right"/>
              <w:rPr/>
            </w:pPr>
            <w:r>
              <w:rPr/>
              <w:t>99,350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1114" w:type="dxa"/>
            <w:tcBorders/>
            <w:shd w:fill="CCEEFF" w:val="clear"/>
            <w:vAlign w:val="center"/>
          </w:tcPr>
          <w:p>
            <w:pPr>
              <w:pStyle w:val="TableContents"/>
              <w:spacing w:before="0" w:after="283"/>
              <w:jc w:val="right"/>
              <w:rPr/>
            </w:pPr>
            <w:r>
              <w:rPr/>
              <w:t>4.52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748" w:type="dxa"/>
            <w:tcBorders/>
            <w:shd w:fill="CCEEFF" w:val="clear"/>
            <w:vAlign w:val="center"/>
          </w:tcPr>
          <w:p>
            <w:pPr>
              <w:pStyle w:val="TableContents"/>
              <w:spacing w:before="0" w:after="283"/>
              <w:jc w:val="right"/>
              <w:rPr/>
            </w:pPr>
            <w:r>
              <w:rPr/>
              <w:t>5.97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jc w:val="left"/>
              <w:rPr/>
            </w:pPr>
            <w:r>
              <w:rPr/>
              <w:t> </w:t>
            </w:r>
          </w:p>
        </w:tc>
        <w:tc>
          <w:tcPr>
            <w:tcW w:w="1051" w:type="dxa"/>
            <w:tcBorders/>
            <w:shd w:fill="CCEEFF" w:val="clear"/>
            <w:vAlign w:val="center"/>
          </w:tcPr>
          <w:p>
            <w:pPr>
              <w:pStyle w:val="TableContents"/>
              <w:spacing w:before="0" w:after="283"/>
              <w:jc w:val="right"/>
              <w:rPr/>
            </w:pPr>
            <w:r>
              <w:rPr/>
              <w:t>97,784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748" w:type="dxa"/>
            <w:tcBorders/>
            <w:shd w:fill="CCEEFF" w:val="clear"/>
            <w:vAlign w:val="center"/>
          </w:tcPr>
          <w:p>
            <w:pPr>
              <w:pStyle w:val="TableContents"/>
              <w:spacing w:before="0" w:after="283"/>
              <w:jc w:val="right"/>
              <w:rPr/>
            </w:pPr>
            <w:r>
              <w:rPr/>
              <w:t>5.97</w:t>
            </w:r>
          </w:p>
        </w:tc>
        <w:tc>
          <w:tcPr>
            <w:tcW w:w="75" w:type="dxa"/>
            <w:tcBorders/>
            <w:shd w:fill="CCEEFF" w:val="clear"/>
            <w:vAlign w:val="center"/>
          </w:tcPr>
          <w:p>
            <w:pPr>
              <w:pStyle w:val="TableContents"/>
              <w:spacing w:before="0" w:after="283"/>
              <w:jc w:val="left"/>
              <w:rPr/>
            </w:pPr>
            <w:r>
              <w:rPr/>
              <w:t> </w:t>
            </w:r>
          </w:p>
        </w:tc>
      </w:tr>
      <w:tr>
        <w:trPr/>
        <w:tc>
          <w:tcPr>
            <w:tcW w:w="1475" w:type="dxa"/>
            <w:tcBorders/>
            <w:shd w:fill="FFFFFF" w:val="clear"/>
            <w:vAlign w:val="center"/>
          </w:tcPr>
          <w:p>
            <w:pPr>
              <w:pStyle w:val="TableContents"/>
              <w:spacing w:before="0" w:after="283"/>
              <w:jc w:val="left"/>
              <w:rPr>
                <w:rFonts w:ascii="Times New Roman;Times;Serif" w:hAnsi="Times New Roman;Times;Serif"/>
                <w:sz w:val="17"/>
              </w:rPr>
            </w:pPr>
            <w:r>
              <w:rPr>
                <w:rFonts w:ascii="Times New Roman;Times;Serif" w:hAnsi="Times New Roman;Times;Serif"/>
                <w:sz w:val="17"/>
              </w:rPr>
              <w:t>$6.64 - $8.99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jc w:val="left"/>
              <w:rPr/>
            </w:pPr>
            <w:r>
              <w:rPr/>
              <w:t> </w:t>
            </w:r>
          </w:p>
        </w:tc>
        <w:tc>
          <w:tcPr>
            <w:tcW w:w="1108" w:type="dxa"/>
            <w:tcBorders/>
            <w:shd w:fill="FFFFFF" w:val="clear"/>
            <w:vAlign w:val="center"/>
          </w:tcPr>
          <w:p>
            <w:pPr>
              <w:pStyle w:val="TableContents"/>
              <w:spacing w:before="0" w:after="283"/>
              <w:jc w:val="right"/>
              <w:rPr/>
            </w:pPr>
            <w:r>
              <w:rPr/>
              <w:t>1,003,632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114" w:type="dxa"/>
            <w:tcBorders/>
            <w:shd w:fill="FFFFFF" w:val="clear"/>
            <w:vAlign w:val="center"/>
          </w:tcPr>
          <w:p>
            <w:pPr>
              <w:pStyle w:val="TableContents"/>
              <w:spacing w:before="0" w:after="283"/>
              <w:jc w:val="right"/>
              <w:rPr/>
            </w:pPr>
            <w:r>
              <w:rPr/>
              <w:t>2.98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w:t>
            </w:r>
          </w:p>
        </w:tc>
        <w:tc>
          <w:tcPr>
            <w:tcW w:w="748" w:type="dxa"/>
            <w:tcBorders/>
            <w:shd w:fill="FFFFFF" w:val="clear"/>
            <w:vAlign w:val="center"/>
          </w:tcPr>
          <w:p>
            <w:pPr>
              <w:pStyle w:val="TableContents"/>
              <w:spacing w:before="0" w:after="283"/>
              <w:jc w:val="right"/>
              <w:rPr/>
            </w:pPr>
            <w:r>
              <w:rPr/>
              <w:t>7.98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1051" w:type="dxa"/>
            <w:tcBorders/>
            <w:shd w:fill="FFFFFF" w:val="clear"/>
            <w:vAlign w:val="center"/>
          </w:tcPr>
          <w:p>
            <w:pPr>
              <w:pStyle w:val="TableContents"/>
              <w:spacing w:before="0" w:after="283"/>
              <w:jc w:val="right"/>
              <w:rPr/>
            </w:pPr>
            <w:r>
              <w:rPr/>
              <w:t>398,408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w:t>
            </w:r>
          </w:p>
        </w:tc>
        <w:tc>
          <w:tcPr>
            <w:tcW w:w="748" w:type="dxa"/>
            <w:tcBorders/>
            <w:shd w:fill="FFFFFF" w:val="clear"/>
            <w:vAlign w:val="center"/>
          </w:tcPr>
          <w:p>
            <w:pPr>
              <w:pStyle w:val="TableContents"/>
              <w:spacing w:before="0" w:after="283"/>
              <w:jc w:val="right"/>
              <w:rPr/>
            </w:pPr>
            <w:r>
              <w:rPr/>
              <w:t>8.16</w:t>
            </w:r>
          </w:p>
        </w:tc>
        <w:tc>
          <w:tcPr>
            <w:tcW w:w="75" w:type="dxa"/>
            <w:tcBorders/>
            <w:shd w:fill="FFFFFF" w:val="clear"/>
            <w:vAlign w:val="center"/>
          </w:tcPr>
          <w:p>
            <w:pPr>
              <w:pStyle w:val="TableContents"/>
              <w:spacing w:before="0" w:after="283"/>
              <w:jc w:val="left"/>
              <w:rPr/>
            </w:pPr>
            <w:r>
              <w:rPr/>
              <w:t> </w:t>
            </w:r>
          </w:p>
        </w:tc>
      </w:tr>
      <w:tr>
        <w:trPr/>
        <w:tc>
          <w:tcPr>
            <w:tcW w:w="1475" w:type="dxa"/>
            <w:tcBorders/>
            <w:shd w:fill="CCEEFF" w:val="clear"/>
            <w:vAlign w:val="center"/>
          </w:tcPr>
          <w:p>
            <w:pPr>
              <w:pStyle w:val="TableContents"/>
              <w:spacing w:before="0" w:after="283"/>
              <w:jc w:val="left"/>
              <w:rPr/>
            </w:pPr>
            <w:r>
              <w:rPr/>
              <w:t>$42.80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spacing w:before="0" w:after="283"/>
              <w:jc w:val="right"/>
              <w:rPr/>
            </w:pPr>
            <w:r>
              <w:rPr/>
              <w:t>5,030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1114" w:type="dxa"/>
            <w:tcBorders/>
            <w:shd w:fill="CCEEFF" w:val="clear"/>
            <w:vAlign w:val="center"/>
          </w:tcPr>
          <w:p>
            <w:pPr>
              <w:pStyle w:val="TableContents"/>
              <w:spacing w:before="0" w:after="283"/>
              <w:jc w:val="right"/>
              <w:rPr/>
            </w:pPr>
            <w:r>
              <w:rPr/>
              <w:t>1.62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748" w:type="dxa"/>
            <w:tcBorders/>
            <w:shd w:fill="CCEEFF" w:val="clear"/>
            <w:vAlign w:val="center"/>
          </w:tcPr>
          <w:p>
            <w:pPr>
              <w:pStyle w:val="TableContents"/>
              <w:spacing w:before="0" w:after="283"/>
              <w:jc w:val="right"/>
              <w:rPr/>
            </w:pPr>
            <w:r>
              <w:rPr/>
              <w:t>42.80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1" w:type="dxa"/>
            <w:tcBorders>
              <w:bottom w:val="single" w:sz="12" w:space="0" w:color="000000"/>
            </w:tcBorders>
            <w:shd w:fill="CCEEFF" w:val="clear"/>
            <w:tcMar>
              <w:bottom w:w="28" w:type="dxa"/>
            </w:tcMar>
            <w:vAlign w:val="center"/>
          </w:tcPr>
          <w:p>
            <w:pPr>
              <w:pStyle w:val="TableContents"/>
              <w:spacing w:before="0" w:after="283"/>
              <w:jc w:val="right"/>
              <w:rPr/>
            </w:pPr>
            <w:r>
              <w:rPr/>
              <w:t>5,030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w:t>
            </w:r>
          </w:p>
        </w:tc>
        <w:tc>
          <w:tcPr>
            <w:tcW w:w="748" w:type="dxa"/>
            <w:tcBorders/>
            <w:shd w:fill="CCEEFF" w:val="clear"/>
            <w:vAlign w:val="center"/>
          </w:tcPr>
          <w:p>
            <w:pPr>
              <w:pStyle w:val="TableContents"/>
              <w:spacing w:before="0" w:after="283"/>
              <w:jc w:val="right"/>
              <w:rPr/>
            </w:pPr>
            <w:r>
              <w:rPr/>
              <w:t>42.80</w:t>
            </w:r>
          </w:p>
        </w:tc>
        <w:tc>
          <w:tcPr>
            <w:tcW w:w="75" w:type="dxa"/>
            <w:tcBorders/>
            <w:shd w:fill="CCEEFF" w:val="clear"/>
            <w:vAlign w:val="center"/>
          </w:tcPr>
          <w:p>
            <w:pPr>
              <w:pStyle w:val="TableContents"/>
              <w:spacing w:before="0" w:after="283"/>
              <w:jc w:val="left"/>
              <w:rPr/>
            </w:pPr>
            <w:r>
              <w:rPr/>
              <w:t> </w:t>
            </w:r>
          </w:p>
        </w:tc>
      </w:tr>
      <w:tr>
        <w:trPr/>
        <w:tc>
          <w:tcPr>
            <w:tcW w:w="1475" w:type="dxa"/>
            <w:tcBorders/>
            <w:shd w:fill="FFFFFF" w:val="clear"/>
            <w:vAlign w:val="center"/>
          </w:tcPr>
          <w:p>
            <w:pPr>
              <w:pStyle w:val="TableContents"/>
              <w:spacing w:before="0" w:after="283"/>
              <w:jc w:val="left"/>
              <w:rPr>
                <w:rFonts w:ascii="Times New Roman;Times;Serif" w:hAnsi="Times New Roman;Times;Serif"/>
                <w:sz w:val="17"/>
              </w:rPr>
            </w:pPr>
            <w:r>
              <w:rPr>
                <w:rFonts w:ascii="Times New Roman;Times;Serif" w:hAnsi="Times New Roman;Times;Serif"/>
                <w:sz w:val="17"/>
              </w:rPr>
              <w:t>$1.47 - $42.80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8" w:type="dxa"/>
            <w:tcBorders>
              <w:bottom w:val="double" w:sz="6" w:space="0" w:color="000000"/>
            </w:tcBorders>
            <w:shd w:fill="FFFFFF" w:val="clear"/>
            <w:tcMar>
              <w:bottom w:w="28" w:type="dxa"/>
            </w:tcMar>
            <w:vAlign w:val="center"/>
          </w:tcPr>
          <w:p>
            <w:pPr>
              <w:pStyle w:val="TableContents"/>
              <w:spacing w:before="0" w:after="283"/>
              <w:jc w:val="right"/>
              <w:rPr/>
            </w:pPr>
            <w:r>
              <w:rPr/>
              <w:t>2,482,009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114" w:type="dxa"/>
            <w:tcBorders/>
            <w:shd w:fill="FFFFFF" w:val="clear"/>
            <w:vAlign w:val="center"/>
          </w:tcPr>
          <w:p>
            <w:pPr>
              <w:pStyle w:val="TableContents"/>
              <w:spacing w:before="0" w:after="283"/>
              <w:jc w:val="right"/>
              <w:rPr/>
            </w:pPr>
            <w:r>
              <w:rPr/>
              <w:t>5.51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w:t>
            </w:r>
          </w:p>
        </w:tc>
        <w:tc>
          <w:tcPr>
            <w:tcW w:w="748" w:type="dxa"/>
            <w:tcBorders/>
            <w:shd w:fill="FFFFFF" w:val="clear"/>
            <w:vAlign w:val="center"/>
          </w:tcPr>
          <w:p>
            <w:pPr>
              <w:pStyle w:val="TableContents"/>
              <w:spacing w:before="0" w:after="283"/>
              <w:jc w:val="right"/>
              <w:rPr/>
            </w:pPr>
            <w:r>
              <w:rPr/>
              <w:t>5.10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spacing w:before="0" w:after="283"/>
              <w:jc w:val="right"/>
              <w:rPr/>
            </w:pPr>
            <w:r>
              <w:rPr/>
              <w:t>1,337,780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w:t>
            </w:r>
          </w:p>
        </w:tc>
        <w:tc>
          <w:tcPr>
            <w:tcW w:w="748" w:type="dxa"/>
            <w:tcBorders/>
            <w:shd w:fill="FFFFFF" w:val="clear"/>
            <w:vAlign w:val="center"/>
          </w:tcPr>
          <w:p>
            <w:pPr>
              <w:pStyle w:val="TableContents"/>
              <w:spacing w:before="0" w:after="283"/>
              <w:jc w:val="right"/>
              <w:rPr/>
            </w:pPr>
            <w:r>
              <w:rPr/>
              <w:t>4.94</w:t>
            </w:r>
          </w:p>
        </w:tc>
        <w:tc>
          <w:tcPr>
            <w:tcW w:w="75" w:type="dxa"/>
            <w:tcBorders/>
            <w:shd w:fill="FFFFFF" w:val="clear"/>
            <w:vAlign w:val="center"/>
          </w:tcPr>
          <w:p>
            <w:pPr>
              <w:pStyle w:val="TableContents"/>
              <w:spacing w:before="0" w:after="283"/>
              <w:jc w:val="left"/>
              <w:rPr/>
            </w:pPr>
            <w:r>
              <w:rPr/>
              <w:t> </w:t>
            </w:r>
          </w:p>
        </w:tc>
      </w:tr>
    </w:tbl>
    <w:p>
      <w:pPr>
        <w:pStyle w:val="TextBody"/>
        <w:ind w:left="1080" w:right="0" w:hanging="108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December 31, 2018, there was approximately $1,888 of total unrecognized compensation expense related to unvested stock options granted under the Plan. That expense is expected to be recognized over the weighted-average remaining vesting period of 1.9 years. The stock-based compensation for all stock options was $1,317 and $1,672 during the years ended December 31, 2018 and 2017, respectively.</w:t>
      </w:r>
    </w:p>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Restricted Stock Units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RSU awards are granted subject to certain vesting requirements and other restrictions, including performance and market based vesting criteria. The grant-date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Grants During the Year Ended December 31, 2017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2017, the Company granted an aggregate of 62,892 RSUs to its non-employee directors valued at $200. These RSUs vest in equal quarterly installments over a one-year period subject to the director’s continued service at the vesting date, but the issuance and delivery of these shares are deferred until the director resigns.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summary of the Company’s RSU activity and related information for the year ended December 31, 2017 is as follows:</w:t>
      </w:r>
    </w:p>
    <w:p>
      <w:pPr>
        <w:pStyle w:val="TextBody"/>
        <w:rPr>
          <w:caps w:val="false"/>
          <w:smallCaps w:val="false"/>
        </w:rPr>
      </w:pPr>
      <w:r>
        <w:rPr>
          <w:caps w:val="false"/>
          <w:smallCaps w:val="false"/>
        </w:rPr>
        <w:t> </w:t>
      </w:r>
    </w:p>
    <w:tbl>
      <w:tblPr>
        <w:tblW w:w="9618" w:type="dxa"/>
        <w:jc w:val="left"/>
        <w:tblInd w:w="0" w:type="dxa"/>
        <w:tblCellMar>
          <w:top w:w="0" w:type="dxa"/>
          <w:left w:w="0" w:type="dxa"/>
          <w:bottom w:w="0" w:type="dxa"/>
          <w:right w:w="0" w:type="dxa"/>
        </w:tblCellMar>
      </w:tblPr>
      <w:tblGrid>
        <w:gridCol w:w="3665"/>
        <w:gridCol w:w="60"/>
        <w:gridCol w:w="97"/>
        <w:gridCol w:w="1587"/>
        <w:gridCol w:w="95"/>
        <w:gridCol w:w="60"/>
        <w:gridCol w:w="957"/>
        <w:gridCol w:w="3022"/>
        <w:gridCol w:w="75"/>
      </w:tblGrid>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4" w:type="dxa"/>
            <w:gridSpan w:val="2"/>
            <w:tcBorders>
              <w:bottom w:val="single" w:sz="12" w:space="0" w:color="000000"/>
            </w:tcBorders>
            <w:shd w:fill="auto" w:val="clear"/>
            <w:tcMar>
              <w:bottom w:w="28" w:type="dxa"/>
            </w:tcMar>
            <w:vAlign w:val="center"/>
          </w:tcPr>
          <w:p>
            <w:pPr>
              <w:pStyle w:val="TableContents"/>
              <w:spacing w:before="0" w:after="283"/>
              <w:jc w:val="center"/>
              <w:rPr/>
            </w:pPr>
            <w:r>
              <w:rPr/>
              <w:t>Number of RSUs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79"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 Average Grant Date Fair Value</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283"/>
              <w:rPr/>
            </w:pPr>
            <w:r>
              <w:rPr/>
              <w:t>RSUs unvested - January 1, 2017</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1587" w:type="dxa"/>
            <w:tcBorders/>
            <w:shd w:fill="CCEEFF" w:val="clear"/>
            <w:vAlign w:val="center"/>
          </w:tcPr>
          <w:p>
            <w:pPr>
              <w:pStyle w:val="TableContents"/>
              <w:spacing w:before="0" w:after="283"/>
              <w:jc w:val="right"/>
              <w:rPr/>
            </w:pPr>
            <w:r>
              <w:rPr/>
              <w:t>1,292,876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jc w:val="left"/>
              <w:rPr/>
            </w:pPr>
            <w:r>
              <w:rPr/>
              <w:t>$</w:t>
            </w:r>
          </w:p>
        </w:tc>
        <w:tc>
          <w:tcPr>
            <w:tcW w:w="3022" w:type="dxa"/>
            <w:tcBorders/>
            <w:shd w:fill="CCEEFF" w:val="clear"/>
            <w:vAlign w:val="center"/>
          </w:tcPr>
          <w:p>
            <w:pPr>
              <w:pStyle w:val="TableContents"/>
              <w:spacing w:before="0" w:after="283"/>
              <w:jc w:val="right"/>
              <w:rPr/>
            </w:pPr>
            <w:r>
              <w:rPr/>
              <w:t>2.43</w:t>
            </w:r>
          </w:p>
        </w:tc>
        <w:tc>
          <w:tcPr>
            <w:tcW w:w="75" w:type="dxa"/>
            <w:tcBorders/>
            <w:shd w:fill="CCEEFF" w:val="clear"/>
            <w:vAlign w:val="center"/>
          </w:tcPr>
          <w:p>
            <w:pPr>
              <w:pStyle w:val="TableContents"/>
              <w:spacing w:before="0" w:after="283"/>
              <w:jc w:val="left"/>
              <w:rPr/>
            </w:pPr>
            <w:r>
              <w:rPr/>
              <w:t> </w:t>
            </w:r>
          </w:p>
        </w:tc>
      </w:tr>
      <w:tr>
        <w:trPr/>
        <w:tc>
          <w:tcPr>
            <w:tcW w:w="3665" w:type="dxa"/>
            <w:tcBorders/>
            <w:shd w:fill="FFFFFF" w:val="clear"/>
            <w:vAlign w:val="center"/>
          </w:tcPr>
          <w:p>
            <w:pPr>
              <w:pStyle w:val="TableContents"/>
              <w:spacing w:before="0" w:after="283"/>
              <w:jc w:val="left"/>
              <w:rPr/>
            </w:pPr>
            <w:r>
              <w:rPr/>
              <w:t>RSUs granted</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1587" w:type="dxa"/>
            <w:tcBorders/>
            <w:shd w:fill="FFFFFF" w:val="clear"/>
            <w:vAlign w:val="center"/>
          </w:tcPr>
          <w:p>
            <w:pPr>
              <w:pStyle w:val="TableContents"/>
              <w:spacing w:before="0" w:after="283"/>
              <w:jc w:val="right"/>
              <w:rPr/>
            </w:pPr>
            <w:r>
              <w:rPr/>
              <w:t>62,892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283"/>
              <w:jc w:val="left"/>
              <w:rPr/>
            </w:pPr>
            <w:r>
              <w:rPr/>
              <w:t> </w:t>
            </w:r>
          </w:p>
        </w:tc>
        <w:tc>
          <w:tcPr>
            <w:tcW w:w="3022" w:type="dxa"/>
            <w:tcBorders/>
            <w:shd w:fill="FFFFFF" w:val="clear"/>
            <w:vAlign w:val="center"/>
          </w:tcPr>
          <w:p>
            <w:pPr>
              <w:pStyle w:val="TableContents"/>
              <w:spacing w:before="0" w:after="283"/>
              <w:jc w:val="right"/>
              <w:rPr/>
            </w:pPr>
            <w:r>
              <w:rPr/>
              <w:t>3.18</w:t>
            </w:r>
          </w:p>
        </w:tc>
        <w:tc>
          <w:tcPr>
            <w:tcW w:w="75" w:type="dxa"/>
            <w:tcBorders/>
            <w:shd w:fill="FFFFFF" w:val="clear"/>
            <w:vAlign w:val="center"/>
          </w:tcPr>
          <w:p>
            <w:pPr>
              <w:pStyle w:val="TableContents"/>
              <w:spacing w:before="0" w:after="283"/>
              <w:jc w:val="left"/>
              <w:rPr/>
            </w:pPr>
            <w:r>
              <w:rPr/>
              <w:t> </w:t>
            </w:r>
          </w:p>
        </w:tc>
      </w:tr>
      <w:tr>
        <w:trPr/>
        <w:tc>
          <w:tcPr>
            <w:tcW w:w="3665" w:type="dxa"/>
            <w:tcBorders/>
            <w:shd w:fill="CCEEFF" w:val="clear"/>
            <w:vAlign w:val="center"/>
          </w:tcPr>
          <w:p>
            <w:pPr>
              <w:pStyle w:val="TableContents"/>
              <w:spacing w:before="0" w:after="283"/>
              <w:jc w:val="left"/>
              <w:rPr/>
            </w:pPr>
            <w:r>
              <w:rPr/>
              <w:t>RSUs vested</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1587" w:type="dxa"/>
            <w:tcBorders/>
            <w:shd w:fill="CCEEFF" w:val="clear"/>
            <w:vAlign w:val="center"/>
          </w:tcPr>
          <w:p>
            <w:pPr>
              <w:pStyle w:val="TableContents"/>
              <w:spacing w:before="0" w:after="283"/>
              <w:jc w:val="right"/>
              <w:rPr/>
            </w:pPr>
            <w:r>
              <w:rPr/>
              <w:t>(56,822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jc w:val="left"/>
              <w:rPr/>
            </w:pPr>
            <w:r>
              <w:rPr/>
              <w:t> </w:t>
            </w:r>
          </w:p>
        </w:tc>
        <w:tc>
          <w:tcPr>
            <w:tcW w:w="3022" w:type="dxa"/>
            <w:tcBorders/>
            <w:shd w:fill="CCEEFF" w:val="clear"/>
            <w:vAlign w:val="center"/>
          </w:tcPr>
          <w:p>
            <w:pPr>
              <w:pStyle w:val="TableContents"/>
              <w:spacing w:before="0" w:after="283"/>
              <w:jc w:val="right"/>
              <w:rPr/>
            </w:pPr>
            <w:r>
              <w:rPr/>
              <w:t>3.94</w:t>
            </w:r>
          </w:p>
        </w:tc>
        <w:tc>
          <w:tcPr>
            <w:tcW w:w="75" w:type="dxa"/>
            <w:tcBorders/>
            <w:shd w:fill="CCEEFF" w:val="clear"/>
            <w:vAlign w:val="center"/>
          </w:tcPr>
          <w:p>
            <w:pPr>
              <w:pStyle w:val="TableContents"/>
              <w:spacing w:before="0" w:after="283"/>
              <w:jc w:val="left"/>
              <w:rPr/>
            </w:pPr>
            <w:r>
              <w:rPr/>
              <w:t> </w:t>
            </w:r>
          </w:p>
        </w:tc>
      </w:tr>
      <w:tr>
        <w:trPr/>
        <w:tc>
          <w:tcPr>
            <w:tcW w:w="3665" w:type="dxa"/>
            <w:tcBorders/>
            <w:shd w:fill="FFFFFF" w:val="clear"/>
            <w:vAlign w:val="center"/>
          </w:tcPr>
          <w:p>
            <w:pPr>
              <w:pStyle w:val="TableContents"/>
              <w:spacing w:before="0" w:after="283"/>
              <w:jc w:val="left"/>
              <w:rPr/>
            </w:pPr>
            <w:r>
              <w:rPr/>
              <w:t>RSUs cancelled/forfeit</w:t>
            </w:r>
          </w:p>
        </w:tc>
        <w:tc>
          <w:tcPr>
            <w:tcW w:w="60" w:type="dxa"/>
            <w:tcBorders/>
            <w:shd w:fill="FFFFFF" w:val="clear"/>
            <w:vAlign w:val="center"/>
          </w:tcPr>
          <w:p>
            <w:pPr>
              <w:pStyle w:val="TableContents"/>
              <w:spacing w:before="0" w:after="283"/>
              <w:rPr/>
            </w:pPr>
            <w:r>
              <w:rPr/>
              <w:t> </w:t>
            </w:r>
          </w:p>
        </w:tc>
        <w:tc>
          <w:tcPr>
            <w:tcW w:w="9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283"/>
              <w:jc w:val="left"/>
              <w:rPr/>
            </w:pPr>
            <w:r>
              <w:rPr/>
              <w:t> </w:t>
            </w:r>
          </w:p>
        </w:tc>
        <w:tc>
          <w:tcPr>
            <w:tcW w:w="3022"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665" w:type="dxa"/>
            <w:tcBorders/>
            <w:shd w:fill="CCEEFF" w:val="clear"/>
            <w:vAlign w:val="center"/>
          </w:tcPr>
          <w:p>
            <w:pPr>
              <w:pStyle w:val="TableContents"/>
              <w:spacing w:before="0" w:after="283"/>
              <w:rPr/>
            </w:pPr>
            <w:r>
              <w:rPr/>
              <w:t>RSUs unvested at December 31, 2017</w:t>
            </w:r>
          </w:p>
        </w:tc>
        <w:tc>
          <w:tcPr>
            <w:tcW w:w="60" w:type="dxa"/>
            <w:tcBorders/>
            <w:shd w:fill="CCEEFF" w:val="clear"/>
            <w:vAlign w:val="center"/>
          </w:tcPr>
          <w:p>
            <w:pPr>
              <w:pStyle w:val="TableContents"/>
              <w:spacing w:before="0" w:after="283"/>
              <w:rPr/>
            </w:pPr>
            <w:r>
              <w:rPr/>
              <w:t> </w:t>
            </w:r>
          </w:p>
        </w:tc>
        <w:tc>
          <w:tcPr>
            <w:tcW w:w="97"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587" w:type="dxa"/>
            <w:tcBorders>
              <w:bottom w:val="double" w:sz="6" w:space="0" w:color="000000"/>
            </w:tcBorders>
            <w:shd w:fill="CCEEFF" w:val="clear"/>
            <w:tcMar>
              <w:bottom w:w="28" w:type="dxa"/>
            </w:tcMar>
            <w:vAlign w:val="center"/>
          </w:tcPr>
          <w:p>
            <w:pPr>
              <w:pStyle w:val="TableContents"/>
              <w:spacing w:before="0" w:after="283"/>
              <w:jc w:val="right"/>
              <w:rPr/>
            </w:pPr>
            <w:r>
              <w:rPr/>
              <w:t>1,298,946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jc w:val="left"/>
              <w:rPr/>
            </w:pPr>
            <w:r>
              <w:rPr/>
              <w:t>$</w:t>
            </w:r>
          </w:p>
        </w:tc>
        <w:tc>
          <w:tcPr>
            <w:tcW w:w="3022" w:type="dxa"/>
            <w:tcBorders/>
            <w:shd w:fill="CCEEFF" w:val="clear"/>
            <w:vAlign w:val="center"/>
          </w:tcPr>
          <w:p>
            <w:pPr>
              <w:pStyle w:val="TableContents"/>
              <w:spacing w:before="0" w:after="283"/>
              <w:jc w:val="right"/>
              <w:rPr/>
            </w:pPr>
            <w:r>
              <w:rPr/>
              <w:t>2.42</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Grants During the Year Ended December 31,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the Company granted an aggregate of 136,360 RSUs to its non-employee directors valued at $300. These RSUs vest in equal quarterly installments over a one-year period subject to the director’s continued service at the vesting date, but the issuance and delivery of these shares are deferred until the director resigns.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summary of the Company’s RSU activity and related information for the year ended December 31, 2018 is as follows:</w:t>
      </w:r>
    </w:p>
    <w:p>
      <w:pPr>
        <w:pStyle w:val="TextBody"/>
        <w:rPr>
          <w:caps w:val="false"/>
          <w:smallCaps w:val="false"/>
        </w:rPr>
      </w:pPr>
      <w:r>
        <w:rPr>
          <w:caps w:val="false"/>
          <w:smallCaps w:val="false"/>
        </w:rPr>
        <w:t> </w:t>
      </w:r>
    </w:p>
    <w:tbl>
      <w:tblPr>
        <w:tblW w:w="9618" w:type="dxa"/>
        <w:jc w:val="left"/>
        <w:tblInd w:w="0" w:type="dxa"/>
        <w:tblCellMar>
          <w:top w:w="0" w:type="dxa"/>
          <w:left w:w="0" w:type="dxa"/>
          <w:bottom w:w="0" w:type="dxa"/>
          <w:right w:w="0" w:type="dxa"/>
        </w:tblCellMar>
      </w:tblPr>
      <w:tblGrid>
        <w:gridCol w:w="3665"/>
        <w:gridCol w:w="60"/>
        <w:gridCol w:w="97"/>
        <w:gridCol w:w="1587"/>
        <w:gridCol w:w="95"/>
        <w:gridCol w:w="60"/>
        <w:gridCol w:w="957"/>
        <w:gridCol w:w="3022"/>
        <w:gridCol w:w="75"/>
      </w:tblGrid>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4" w:type="dxa"/>
            <w:gridSpan w:val="2"/>
            <w:tcBorders>
              <w:bottom w:val="single" w:sz="12" w:space="0" w:color="000000"/>
            </w:tcBorders>
            <w:shd w:fill="auto" w:val="clear"/>
            <w:tcMar>
              <w:bottom w:w="28" w:type="dxa"/>
            </w:tcMar>
            <w:vAlign w:val="center"/>
          </w:tcPr>
          <w:p>
            <w:pPr>
              <w:pStyle w:val="TableContents"/>
              <w:spacing w:before="0" w:after="283"/>
              <w:jc w:val="center"/>
              <w:rPr/>
            </w:pPr>
            <w:r>
              <w:rPr/>
              <w:t>Number of RSUs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79"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 Average Grant Date Fair Value</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283"/>
              <w:rPr/>
            </w:pPr>
            <w:r>
              <w:rPr/>
              <w:t>RSUs unvested - January 1, 2018</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1587" w:type="dxa"/>
            <w:tcBorders/>
            <w:shd w:fill="CCEEFF" w:val="clear"/>
            <w:vAlign w:val="center"/>
          </w:tcPr>
          <w:p>
            <w:pPr>
              <w:pStyle w:val="TableContents"/>
              <w:spacing w:before="0" w:after="283"/>
              <w:jc w:val="right"/>
              <w:rPr/>
            </w:pPr>
            <w:r>
              <w:rPr/>
              <w:t>1,298,946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jc w:val="left"/>
              <w:rPr/>
            </w:pPr>
            <w:r>
              <w:rPr/>
              <w:t>$</w:t>
            </w:r>
          </w:p>
        </w:tc>
        <w:tc>
          <w:tcPr>
            <w:tcW w:w="3022" w:type="dxa"/>
            <w:tcBorders/>
            <w:shd w:fill="CCEEFF" w:val="clear"/>
            <w:vAlign w:val="center"/>
          </w:tcPr>
          <w:p>
            <w:pPr>
              <w:pStyle w:val="TableContents"/>
              <w:spacing w:before="0" w:after="283"/>
              <w:jc w:val="right"/>
              <w:rPr/>
            </w:pPr>
            <w:r>
              <w:rPr/>
              <w:t>2.42</w:t>
            </w:r>
          </w:p>
        </w:tc>
        <w:tc>
          <w:tcPr>
            <w:tcW w:w="75" w:type="dxa"/>
            <w:tcBorders/>
            <w:shd w:fill="CCEEFF" w:val="clear"/>
            <w:vAlign w:val="center"/>
          </w:tcPr>
          <w:p>
            <w:pPr>
              <w:pStyle w:val="TableContents"/>
              <w:spacing w:before="0" w:after="283"/>
              <w:jc w:val="left"/>
              <w:rPr/>
            </w:pPr>
            <w:r>
              <w:rPr/>
              <w:t> </w:t>
            </w:r>
          </w:p>
        </w:tc>
      </w:tr>
      <w:tr>
        <w:trPr/>
        <w:tc>
          <w:tcPr>
            <w:tcW w:w="3665" w:type="dxa"/>
            <w:tcBorders/>
            <w:shd w:fill="FFFFFF" w:val="clear"/>
            <w:vAlign w:val="center"/>
          </w:tcPr>
          <w:p>
            <w:pPr>
              <w:pStyle w:val="TableContents"/>
              <w:spacing w:before="0" w:after="283"/>
              <w:jc w:val="left"/>
              <w:rPr/>
            </w:pPr>
            <w:r>
              <w:rPr/>
              <w:t>RSUs granted</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1587" w:type="dxa"/>
            <w:tcBorders/>
            <w:shd w:fill="FFFFFF" w:val="clear"/>
            <w:vAlign w:val="center"/>
          </w:tcPr>
          <w:p>
            <w:pPr>
              <w:pStyle w:val="TableContents"/>
              <w:spacing w:before="0" w:after="283"/>
              <w:jc w:val="right"/>
              <w:rPr/>
            </w:pPr>
            <w:r>
              <w:rPr/>
              <w:t>136,360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283"/>
              <w:jc w:val="left"/>
              <w:rPr/>
            </w:pPr>
            <w:r>
              <w:rPr/>
              <w:t> </w:t>
            </w:r>
          </w:p>
        </w:tc>
        <w:tc>
          <w:tcPr>
            <w:tcW w:w="3022" w:type="dxa"/>
            <w:tcBorders/>
            <w:shd w:fill="FFFFFF" w:val="clear"/>
            <w:vAlign w:val="center"/>
          </w:tcPr>
          <w:p>
            <w:pPr>
              <w:pStyle w:val="TableContents"/>
              <w:spacing w:before="0" w:after="283"/>
              <w:jc w:val="right"/>
              <w:rPr/>
            </w:pPr>
            <w:r>
              <w:rPr/>
              <w:t>2.20</w:t>
            </w:r>
          </w:p>
        </w:tc>
        <w:tc>
          <w:tcPr>
            <w:tcW w:w="75" w:type="dxa"/>
            <w:tcBorders/>
            <w:shd w:fill="FFFFFF" w:val="clear"/>
            <w:vAlign w:val="center"/>
          </w:tcPr>
          <w:p>
            <w:pPr>
              <w:pStyle w:val="TableContents"/>
              <w:spacing w:before="0" w:after="283"/>
              <w:jc w:val="left"/>
              <w:rPr/>
            </w:pPr>
            <w:r>
              <w:rPr/>
              <w:t> </w:t>
            </w:r>
          </w:p>
        </w:tc>
      </w:tr>
      <w:tr>
        <w:trPr/>
        <w:tc>
          <w:tcPr>
            <w:tcW w:w="3665" w:type="dxa"/>
            <w:tcBorders/>
            <w:shd w:fill="CCEEFF" w:val="clear"/>
            <w:vAlign w:val="center"/>
          </w:tcPr>
          <w:p>
            <w:pPr>
              <w:pStyle w:val="TableContents"/>
              <w:spacing w:before="0" w:after="283"/>
              <w:jc w:val="left"/>
              <w:rPr/>
            </w:pPr>
            <w:r>
              <w:rPr/>
              <w:t>RSUs vested</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1587" w:type="dxa"/>
            <w:tcBorders/>
            <w:shd w:fill="CCEEFF" w:val="clear"/>
            <w:vAlign w:val="center"/>
          </w:tcPr>
          <w:p>
            <w:pPr>
              <w:pStyle w:val="TableContents"/>
              <w:spacing w:before="0" w:after="283"/>
              <w:jc w:val="right"/>
              <w:rPr/>
            </w:pPr>
            <w:r>
              <w:rPr/>
              <w:t>(159,626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jc w:val="left"/>
              <w:rPr/>
            </w:pPr>
            <w:r>
              <w:rPr/>
              <w:t> </w:t>
            </w:r>
          </w:p>
        </w:tc>
        <w:tc>
          <w:tcPr>
            <w:tcW w:w="3022" w:type="dxa"/>
            <w:tcBorders/>
            <w:shd w:fill="CCEEFF" w:val="clear"/>
            <w:vAlign w:val="center"/>
          </w:tcPr>
          <w:p>
            <w:pPr>
              <w:pStyle w:val="TableContents"/>
              <w:spacing w:before="0" w:after="283"/>
              <w:jc w:val="right"/>
              <w:rPr/>
            </w:pPr>
            <w:r>
              <w:rPr/>
              <w:t>3.94</w:t>
            </w:r>
          </w:p>
        </w:tc>
        <w:tc>
          <w:tcPr>
            <w:tcW w:w="75" w:type="dxa"/>
            <w:tcBorders/>
            <w:shd w:fill="CCEEFF" w:val="clear"/>
            <w:vAlign w:val="center"/>
          </w:tcPr>
          <w:p>
            <w:pPr>
              <w:pStyle w:val="TableContents"/>
              <w:spacing w:before="0" w:after="283"/>
              <w:jc w:val="left"/>
              <w:rPr/>
            </w:pPr>
            <w:r>
              <w:rPr/>
              <w:t> </w:t>
            </w:r>
          </w:p>
        </w:tc>
      </w:tr>
      <w:tr>
        <w:trPr/>
        <w:tc>
          <w:tcPr>
            <w:tcW w:w="3665" w:type="dxa"/>
            <w:tcBorders/>
            <w:shd w:fill="FFFFFF" w:val="clear"/>
            <w:vAlign w:val="center"/>
          </w:tcPr>
          <w:p>
            <w:pPr>
              <w:pStyle w:val="TableContents"/>
              <w:spacing w:before="0" w:after="283"/>
              <w:jc w:val="left"/>
              <w:rPr/>
            </w:pPr>
            <w:r>
              <w:rPr/>
              <w:t>RSUs cancelled/forfeit</w:t>
            </w:r>
          </w:p>
        </w:tc>
        <w:tc>
          <w:tcPr>
            <w:tcW w:w="60" w:type="dxa"/>
            <w:tcBorders/>
            <w:shd w:fill="FFFFFF" w:val="clear"/>
            <w:vAlign w:val="center"/>
          </w:tcPr>
          <w:p>
            <w:pPr>
              <w:pStyle w:val="TableContents"/>
              <w:spacing w:before="0" w:after="283"/>
              <w:rPr/>
            </w:pPr>
            <w:r>
              <w:rPr/>
              <w:t> </w:t>
            </w:r>
          </w:p>
        </w:tc>
        <w:tc>
          <w:tcPr>
            <w:tcW w:w="9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57" w:type="dxa"/>
            <w:tcBorders/>
            <w:shd w:fill="FFFFFF" w:val="clear"/>
            <w:vAlign w:val="center"/>
          </w:tcPr>
          <w:p>
            <w:pPr>
              <w:pStyle w:val="TableContents"/>
              <w:spacing w:before="0" w:after="283"/>
              <w:jc w:val="left"/>
              <w:rPr/>
            </w:pPr>
            <w:r>
              <w:rPr/>
              <w:t> </w:t>
            </w:r>
          </w:p>
        </w:tc>
        <w:tc>
          <w:tcPr>
            <w:tcW w:w="3022"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665" w:type="dxa"/>
            <w:tcBorders/>
            <w:shd w:fill="CCEEFF" w:val="clear"/>
            <w:vAlign w:val="center"/>
          </w:tcPr>
          <w:p>
            <w:pPr>
              <w:pStyle w:val="TableContents"/>
              <w:spacing w:before="0" w:after="283"/>
              <w:rPr/>
            </w:pPr>
            <w:r>
              <w:rPr/>
              <w:t>RSUs unvested at December 31, 2018</w:t>
            </w:r>
          </w:p>
        </w:tc>
        <w:tc>
          <w:tcPr>
            <w:tcW w:w="60" w:type="dxa"/>
            <w:tcBorders/>
            <w:shd w:fill="CCEEFF" w:val="clear"/>
            <w:vAlign w:val="center"/>
          </w:tcPr>
          <w:p>
            <w:pPr>
              <w:pStyle w:val="TableContents"/>
              <w:spacing w:before="0" w:after="283"/>
              <w:rPr/>
            </w:pPr>
            <w:r>
              <w:rPr/>
              <w:t> </w:t>
            </w:r>
          </w:p>
        </w:tc>
        <w:tc>
          <w:tcPr>
            <w:tcW w:w="97"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587" w:type="dxa"/>
            <w:tcBorders>
              <w:bottom w:val="double" w:sz="6" w:space="0" w:color="000000"/>
            </w:tcBorders>
            <w:shd w:fill="CCEEFF" w:val="clear"/>
            <w:tcMar>
              <w:bottom w:w="28" w:type="dxa"/>
            </w:tcMar>
            <w:vAlign w:val="center"/>
          </w:tcPr>
          <w:p>
            <w:pPr>
              <w:pStyle w:val="TableContents"/>
              <w:spacing w:before="0" w:after="283"/>
              <w:jc w:val="right"/>
              <w:rPr/>
            </w:pPr>
            <w:r>
              <w:rPr/>
              <w:t>1,275,680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57" w:type="dxa"/>
            <w:tcBorders/>
            <w:shd w:fill="CCEEFF" w:val="clear"/>
            <w:vAlign w:val="center"/>
          </w:tcPr>
          <w:p>
            <w:pPr>
              <w:pStyle w:val="TableContents"/>
              <w:spacing w:before="0" w:after="283"/>
              <w:jc w:val="left"/>
              <w:rPr/>
            </w:pPr>
            <w:r>
              <w:rPr/>
              <w:t>$</w:t>
            </w:r>
          </w:p>
        </w:tc>
        <w:tc>
          <w:tcPr>
            <w:tcW w:w="3022" w:type="dxa"/>
            <w:tcBorders/>
            <w:shd w:fill="CCEEFF" w:val="clear"/>
            <w:vAlign w:val="center"/>
          </w:tcPr>
          <w:p>
            <w:pPr>
              <w:pStyle w:val="TableContents"/>
              <w:spacing w:before="0" w:after="283"/>
              <w:jc w:val="right"/>
              <w:rPr/>
            </w:pPr>
            <w:r>
              <w:rPr/>
              <w:t>2.16</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December 31, 2018, the total unrecognized compensation expense related to unvested RSUs was approximately $441 which is expected to be recognized over a weighted-average period of 0.1 years, based on estimated vesting schedules. The stock-based compensation for RSUs was $1,149 and $1,211 during the years ended December 31, 2018 and 2017, respectively.</w:t>
      </w:r>
    </w:p>
    <w:p>
      <w:pPr>
        <w:pStyle w:val="TextBody"/>
        <w:ind w:left="1080" w:right="0" w:hanging="1080"/>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Subsidiary Stock-Based Transactions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the year ended December 31, 2018 the Company recognized $21 in stock-based compensation related to equity instruments granted by Surface and Melt to consultants, the Company’s employees and directors, including its CEO, Mark Baum, CFO, Andrew Boll, and a director, Richard Lindstrom,.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recorded stock-based compensation (including issuance of common stock for services and accrual for stock-based compensation) related to equity instruments granted to employees, directors and consultants as follows:</w:t>
      </w:r>
    </w:p>
    <w:p>
      <w:pPr>
        <w:pStyle w:val="TextBody"/>
        <w:jc w:val="both"/>
        <w:rPr>
          <w:caps w:val="false"/>
          <w:smallCaps w:val="false"/>
        </w:rPr>
      </w:pPr>
      <w:r>
        <w:rPr>
          <w:caps w:val="false"/>
          <w:smallCaps w:val="false"/>
        </w:rPr>
        <w:t> </w:t>
      </w:r>
    </w:p>
    <w:tbl>
      <w:tblPr>
        <w:tblW w:w="7800" w:type="dxa"/>
        <w:jc w:val="left"/>
        <w:tblInd w:w="0" w:type="dxa"/>
        <w:tblCellMar>
          <w:top w:w="0" w:type="dxa"/>
          <w:left w:w="0" w:type="dxa"/>
          <w:bottom w:w="0" w:type="dxa"/>
          <w:right w:w="0" w:type="dxa"/>
        </w:tblCellMar>
      </w:tblPr>
      <w:tblGrid>
        <w:gridCol w:w="3755"/>
        <w:gridCol w:w="60"/>
        <w:gridCol w:w="379"/>
        <w:gridCol w:w="1516"/>
        <w:gridCol w:w="60"/>
        <w:gridCol w:w="60"/>
        <w:gridCol w:w="379"/>
        <w:gridCol w:w="1516"/>
        <w:gridCol w:w="75"/>
      </w:tblGrid>
      <w:tr>
        <w:trPr/>
        <w:tc>
          <w:tcPr>
            <w:tcW w:w="37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For the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For the</w:t>
            </w:r>
          </w:p>
        </w:tc>
        <w:tc>
          <w:tcPr>
            <w:tcW w:w="75"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Year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Year Ended</w:t>
            </w:r>
          </w:p>
        </w:tc>
        <w:tc>
          <w:tcPr>
            <w:tcW w:w="75"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75" w:type="dxa"/>
            <w:tcBorders/>
            <w:shd w:fill="auto" w:val="clear"/>
            <w:vAlign w:val="center"/>
          </w:tcPr>
          <w:p>
            <w:pPr>
              <w:pStyle w:val="TableContents"/>
              <w:spacing w:before="0" w:after="283"/>
              <w:rPr/>
            </w:pPr>
            <w:r>
              <w:rPr/>
              <w:t> </w:t>
            </w:r>
          </w:p>
        </w:tc>
      </w:tr>
      <w:tr>
        <w:trPr/>
        <w:tc>
          <w:tcPr>
            <w:tcW w:w="3755" w:type="dxa"/>
            <w:tcBorders/>
            <w:shd w:fill="CCEEFF" w:val="clear"/>
            <w:vAlign w:val="center"/>
          </w:tcPr>
          <w:p>
            <w:pPr>
              <w:pStyle w:val="TableContents"/>
              <w:spacing w:before="0" w:after="283"/>
              <w:jc w:val="left"/>
              <w:rPr/>
            </w:pPr>
            <w:r>
              <w:rPr/>
              <w:t>Employees - selling and marketing</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w:t>
            </w:r>
          </w:p>
        </w:tc>
        <w:tc>
          <w:tcPr>
            <w:tcW w:w="1516" w:type="dxa"/>
            <w:tcBorders/>
            <w:shd w:fill="CCEEFF" w:val="clear"/>
            <w:vAlign w:val="center"/>
          </w:tcPr>
          <w:p>
            <w:pPr>
              <w:pStyle w:val="TableContents"/>
              <w:spacing w:before="0" w:after="283"/>
              <w:jc w:val="right"/>
              <w:rPr/>
            </w:pPr>
            <w:r>
              <w:rPr/>
              <w:t>82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w:t>
            </w:r>
          </w:p>
        </w:tc>
        <w:tc>
          <w:tcPr>
            <w:tcW w:w="1516" w:type="dxa"/>
            <w:tcBorders/>
            <w:shd w:fill="CCEEFF" w:val="clear"/>
            <w:vAlign w:val="center"/>
          </w:tcPr>
          <w:p>
            <w:pPr>
              <w:pStyle w:val="TableContents"/>
              <w:spacing w:before="0" w:after="283"/>
              <w:jc w:val="right"/>
              <w:rPr/>
            </w:pPr>
            <w:r>
              <w:rPr/>
              <w:t>449</w:t>
            </w:r>
          </w:p>
        </w:tc>
        <w:tc>
          <w:tcPr>
            <w:tcW w:w="75" w:type="dxa"/>
            <w:tcBorders/>
            <w:shd w:fill="CCEEFF" w:val="clear"/>
            <w:vAlign w:val="center"/>
          </w:tcPr>
          <w:p>
            <w:pPr>
              <w:pStyle w:val="TableContents"/>
              <w:spacing w:before="0" w:after="283"/>
              <w:jc w:val="left"/>
              <w:rPr/>
            </w:pPr>
            <w:r>
              <w:rPr/>
              <w:t> </w:t>
            </w:r>
          </w:p>
        </w:tc>
      </w:tr>
      <w:tr>
        <w:trPr/>
        <w:tc>
          <w:tcPr>
            <w:tcW w:w="3755" w:type="dxa"/>
            <w:tcBorders/>
            <w:shd w:fill="FFFFFF" w:val="clear"/>
            <w:vAlign w:val="center"/>
          </w:tcPr>
          <w:p>
            <w:pPr>
              <w:pStyle w:val="TableContents"/>
              <w:spacing w:before="0" w:after="283"/>
              <w:jc w:val="left"/>
              <w:rPr/>
            </w:pPr>
            <w:r>
              <w:rPr/>
              <w:t>Employees - general and administrative</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pPr>
            <w:r>
              <w:rPr/>
              <w:t> </w:t>
            </w:r>
          </w:p>
        </w:tc>
        <w:tc>
          <w:tcPr>
            <w:tcW w:w="1516" w:type="dxa"/>
            <w:tcBorders/>
            <w:shd w:fill="FFFFFF" w:val="clear"/>
            <w:vAlign w:val="center"/>
          </w:tcPr>
          <w:p>
            <w:pPr>
              <w:pStyle w:val="TableContents"/>
              <w:spacing w:before="0" w:after="283"/>
              <w:jc w:val="right"/>
              <w:rPr/>
            </w:pPr>
            <w:r>
              <w:rPr/>
              <w:t>2,169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pPr>
            <w:r>
              <w:rPr/>
              <w:t> </w:t>
            </w:r>
          </w:p>
        </w:tc>
        <w:tc>
          <w:tcPr>
            <w:tcW w:w="1516" w:type="dxa"/>
            <w:tcBorders/>
            <w:shd w:fill="FFFFFF" w:val="clear"/>
            <w:vAlign w:val="center"/>
          </w:tcPr>
          <w:p>
            <w:pPr>
              <w:pStyle w:val="TableContents"/>
              <w:spacing w:before="0" w:after="283"/>
              <w:jc w:val="right"/>
              <w:rPr/>
            </w:pPr>
            <w:r>
              <w:rPr/>
              <w:t>2,229</w:t>
            </w:r>
          </w:p>
        </w:tc>
        <w:tc>
          <w:tcPr>
            <w:tcW w:w="75" w:type="dxa"/>
            <w:tcBorders/>
            <w:shd w:fill="FFFFFF" w:val="clear"/>
            <w:vAlign w:val="center"/>
          </w:tcPr>
          <w:p>
            <w:pPr>
              <w:pStyle w:val="TableContents"/>
              <w:spacing w:before="0" w:after="283"/>
              <w:jc w:val="left"/>
              <w:rPr/>
            </w:pPr>
            <w:r>
              <w:rPr/>
              <w:t> </w:t>
            </w:r>
          </w:p>
        </w:tc>
      </w:tr>
      <w:tr>
        <w:trPr/>
        <w:tc>
          <w:tcPr>
            <w:tcW w:w="3755" w:type="dxa"/>
            <w:tcBorders/>
            <w:shd w:fill="CCEEFF" w:val="clear"/>
            <w:vAlign w:val="center"/>
          </w:tcPr>
          <w:p>
            <w:pPr>
              <w:pStyle w:val="TableContents"/>
              <w:spacing w:before="0" w:after="283"/>
              <w:jc w:val="left"/>
              <w:rPr/>
            </w:pPr>
            <w:r>
              <w:rPr/>
              <w:t>Directors - general and administrative</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 </w:t>
            </w:r>
          </w:p>
        </w:tc>
        <w:tc>
          <w:tcPr>
            <w:tcW w:w="1516" w:type="dxa"/>
            <w:tcBorders/>
            <w:shd w:fill="CCEEFF" w:val="clear"/>
            <w:vAlign w:val="center"/>
          </w:tcPr>
          <w:p>
            <w:pPr>
              <w:pStyle w:val="TableContents"/>
              <w:spacing w:before="0" w:after="283"/>
              <w:jc w:val="right"/>
              <w:rPr/>
            </w:pPr>
            <w:r>
              <w:rPr/>
              <w:t>235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 </w:t>
            </w:r>
          </w:p>
        </w:tc>
        <w:tc>
          <w:tcPr>
            <w:tcW w:w="1516" w:type="dxa"/>
            <w:tcBorders/>
            <w:shd w:fill="CCEEFF" w:val="clear"/>
            <w:vAlign w:val="center"/>
          </w:tcPr>
          <w:p>
            <w:pPr>
              <w:pStyle w:val="TableContents"/>
              <w:spacing w:before="0" w:after="283"/>
              <w:jc w:val="right"/>
              <w:rPr/>
            </w:pPr>
            <w:r>
              <w:rPr/>
              <w:t>205</w:t>
            </w:r>
          </w:p>
        </w:tc>
        <w:tc>
          <w:tcPr>
            <w:tcW w:w="75" w:type="dxa"/>
            <w:tcBorders/>
            <w:shd w:fill="CCEEFF" w:val="clear"/>
            <w:vAlign w:val="center"/>
          </w:tcPr>
          <w:p>
            <w:pPr>
              <w:pStyle w:val="TableContents"/>
              <w:spacing w:before="0" w:after="283"/>
              <w:jc w:val="left"/>
              <w:rPr/>
            </w:pPr>
            <w:r>
              <w:rPr/>
              <w:t> </w:t>
            </w:r>
          </w:p>
        </w:tc>
      </w:tr>
      <w:tr>
        <w:trPr/>
        <w:tc>
          <w:tcPr>
            <w:tcW w:w="3755" w:type="dxa"/>
            <w:tcBorders/>
            <w:shd w:fill="FFFFFF" w:val="clear"/>
            <w:vAlign w:val="center"/>
          </w:tcPr>
          <w:p>
            <w:pPr>
              <w:pStyle w:val="TableContents"/>
              <w:spacing w:before="0" w:after="283"/>
              <w:jc w:val="left"/>
              <w:rPr/>
            </w:pPr>
            <w:r>
              <w:rPr/>
              <w:t>Consultants - selling and marketing</w:t>
            </w:r>
          </w:p>
        </w:tc>
        <w:tc>
          <w:tcPr>
            <w:tcW w:w="60" w:type="dxa"/>
            <w:tcBorders/>
            <w:shd w:fill="FFFFFF" w:val="clear"/>
            <w:vAlign w:val="center"/>
          </w:tcPr>
          <w:p>
            <w:pPr>
              <w:pStyle w:val="TableContents"/>
              <w:spacing w:before="0" w:after="283"/>
              <w:rPr/>
            </w:pPr>
            <w:r>
              <w:rPr/>
              <w:t> </w:t>
            </w:r>
          </w:p>
        </w:tc>
        <w:tc>
          <w:tcPr>
            <w:tcW w:w="37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16" w:type="dxa"/>
            <w:tcBorders>
              <w:bottom w:val="single" w:sz="12" w:space="0" w:color="000000"/>
            </w:tcBorders>
            <w:shd w:fill="FFFFFF" w:val="clear"/>
            <w:tcMar>
              <w:bottom w:w="28" w:type="dxa"/>
            </w:tcMar>
            <w:vAlign w:val="center"/>
          </w:tcPr>
          <w:p>
            <w:pPr>
              <w:pStyle w:val="TableContents"/>
              <w:spacing w:before="0" w:after="283"/>
              <w:jc w:val="right"/>
              <w:rPr/>
            </w:pPr>
            <w:r>
              <w:rPr/>
              <w:t>150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7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16" w:type="dxa"/>
            <w:tcBorders>
              <w:bottom w:val="single" w:sz="12" w:space="0" w:color="000000"/>
            </w:tcBorders>
            <w:shd w:fill="FFFFFF" w:val="clear"/>
            <w:tcMar>
              <w:bottom w:w="28" w:type="dxa"/>
            </w:tcMar>
            <w:vAlign w:val="center"/>
          </w:tcPr>
          <w:p>
            <w:pPr>
              <w:pStyle w:val="TableContents"/>
              <w:spacing w:before="0" w:after="283"/>
              <w:jc w:val="right"/>
              <w:rPr/>
            </w:pPr>
            <w:r>
              <w:rPr/>
              <w:t>60</w:t>
            </w:r>
          </w:p>
        </w:tc>
        <w:tc>
          <w:tcPr>
            <w:tcW w:w="75" w:type="dxa"/>
            <w:tcBorders/>
            <w:shd w:fill="FFFFFF" w:val="clear"/>
            <w:vAlign w:val="center"/>
          </w:tcPr>
          <w:p>
            <w:pPr>
              <w:pStyle w:val="TableContents"/>
              <w:spacing w:before="0" w:after="283"/>
              <w:jc w:val="left"/>
              <w:rPr/>
            </w:pPr>
            <w:r>
              <w:rPr/>
              <w:t> </w:t>
            </w:r>
          </w:p>
        </w:tc>
      </w:tr>
      <w:tr>
        <w:trPr/>
        <w:tc>
          <w:tcPr>
            <w:tcW w:w="3755" w:type="dxa"/>
            <w:tcBorders/>
            <w:shd w:fill="CCEEFF" w:val="clear"/>
            <w:vAlign w:val="center"/>
          </w:tcPr>
          <w:p>
            <w:pPr>
              <w:pStyle w:val="TableContents"/>
              <w:spacing w:before="0" w:after="283"/>
              <w:rPr/>
            </w:pPr>
            <w:r>
              <w:rPr/>
              <w:t>Total</w:t>
            </w:r>
          </w:p>
        </w:tc>
        <w:tc>
          <w:tcPr>
            <w:tcW w:w="60" w:type="dxa"/>
            <w:tcBorders/>
            <w:shd w:fill="CCEEFF" w:val="clear"/>
            <w:vAlign w:val="center"/>
          </w:tcPr>
          <w:p>
            <w:pPr>
              <w:pStyle w:val="TableContents"/>
              <w:spacing w:before="0" w:after="283"/>
              <w:rPr/>
            </w:pPr>
            <w:r>
              <w:rPr/>
              <w:t> </w:t>
            </w:r>
          </w:p>
        </w:tc>
        <w:tc>
          <w:tcPr>
            <w:tcW w:w="379"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16" w:type="dxa"/>
            <w:tcBorders>
              <w:bottom w:val="double" w:sz="6" w:space="0" w:color="000000"/>
            </w:tcBorders>
            <w:shd w:fill="CCEEFF" w:val="clear"/>
            <w:tcMar>
              <w:bottom w:w="28" w:type="dxa"/>
            </w:tcMar>
            <w:vAlign w:val="center"/>
          </w:tcPr>
          <w:p>
            <w:pPr>
              <w:pStyle w:val="TableContents"/>
              <w:spacing w:before="0" w:after="283"/>
              <w:jc w:val="right"/>
              <w:rPr/>
            </w:pPr>
            <w:r>
              <w:rPr/>
              <w:t>2,636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9"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16" w:type="dxa"/>
            <w:tcBorders>
              <w:bottom w:val="double" w:sz="6" w:space="0" w:color="000000"/>
            </w:tcBorders>
            <w:shd w:fill="CCEEFF" w:val="clear"/>
            <w:tcMar>
              <w:bottom w:w="28" w:type="dxa"/>
            </w:tcMar>
            <w:vAlign w:val="center"/>
          </w:tcPr>
          <w:p>
            <w:pPr>
              <w:pStyle w:val="TableContents"/>
              <w:spacing w:before="0" w:after="283"/>
              <w:jc w:val="right"/>
              <w:rPr/>
            </w:pPr>
            <w:r>
              <w:rPr/>
              <w:t>2,943</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From time to time, the Company issues warrants to purchase shares of the Company’s common stock to investors, lenders (see Note 13), underwriters and other non-employees for services rendered or to be rendered in the future.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summary of warrant activity during the year ended December 31, 2018 is as follows: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596"/>
        <w:gridCol w:w="60"/>
        <w:gridCol w:w="166"/>
        <w:gridCol w:w="2937"/>
        <w:gridCol w:w="95"/>
        <w:gridCol w:w="60"/>
        <w:gridCol w:w="292"/>
        <w:gridCol w:w="923"/>
        <w:gridCol w:w="76"/>
      </w:tblGrid>
      <w:tr>
        <w:trPr/>
        <w:tc>
          <w:tcPr>
            <w:tcW w:w="559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03" w:type="dxa"/>
            <w:gridSpan w:val="2"/>
            <w:tcBorders>
              <w:bottom w:val="single" w:sz="12" w:space="0" w:color="000000"/>
            </w:tcBorders>
            <w:shd w:fill="auto" w:val="clear"/>
            <w:tcMar>
              <w:bottom w:w="28" w:type="dxa"/>
            </w:tcMar>
            <w:vAlign w:val="center"/>
          </w:tcPr>
          <w:p>
            <w:pPr>
              <w:pStyle w:val="TableContents"/>
              <w:spacing w:before="0" w:after="283"/>
              <w:jc w:val="center"/>
              <w:rPr/>
            </w:pPr>
            <w:r>
              <w:rPr/>
              <w:t>Number of Shares Subject to Warrants Outstanding</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center"/>
          </w:tcPr>
          <w:p>
            <w:pPr>
              <w:pStyle w:val="TableContents"/>
              <w:jc w:val="center"/>
              <w:rPr/>
            </w:pPr>
            <w:r>
              <w:rPr/>
              <w:t>Weighted Avg.</w:t>
            </w:r>
          </w:p>
          <w:p>
            <w:pPr>
              <w:pStyle w:val="TableContents"/>
              <w:spacing w:before="0" w:after="283"/>
              <w:jc w:val="center"/>
              <w:rPr/>
            </w:pPr>
            <w:r>
              <w:rPr/>
              <w:t>Exercise Price</w:t>
            </w:r>
          </w:p>
        </w:tc>
        <w:tc>
          <w:tcPr>
            <w:tcW w:w="76" w:type="dxa"/>
            <w:tcBorders/>
            <w:shd w:fill="auto" w:val="clear"/>
            <w:vAlign w:val="center"/>
          </w:tcPr>
          <w:p>
            <w:pPr>
              <w:pStyle w:val="TableContents"/>
              <w:spacing w:before="0" w:after="283"/>
              <w:rPr/>
            </w:pPr>
            <w:r>
              <w:rPr/>
              <w:t> </w:t>
            </w:r>
          </w:p>
        </w:tc>
      </w:tr>
      <w:tr>
        <w:trPr/>
        <w:tc>
          <w:tcPr>
            <w:tcW w:w="559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03"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15" w:type="dxa"/>
            <w:gridSpan w:val="2"/>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r>
      <w:tr>
        <w:trPr/>
        <w:tc>
          <w:tcPr>
            <w:tcW w:w="5596" w:type="dxa"/>
            <w:tcBorders/>
            <w:shd w:fill="CCEEFF" w:val="clear"/>
            <w:vAlign w:val="center"/>
          </w:tcPr>
          <w:p>
            <w:pPr>
              <w:pStyle w:val="TableContents"/>
              <w:spacing w:before="0" w:after="283"/>
              <w:rPr/>
            </w:pPr>
            <w:r>
              <w:rPr/>
              <w:t>Warrants outstanding - January 1, 2018</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2937" w:type="dxa"/>
            <w:tcBorders/>
            <w:shd w:fill="CCEEFF" w:val="clear"/>
            <w:vAlign w:val="center"/>
          </w:tcPr>
          <w:p>
            <w:pPr>
              <w:pStyle w:val="TableContents"/>
              <w:spacing w:before="0" w:after="283"/>
              <w:jc w:val="right"/>
              <w:rPr/>
            </w:pPr>
            <w:r>
              <w:rPr/>
              <w:t>6,264,215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2" w:type="dxa"/>
            <w:tcBorders/>
            <w:shd w:fill="CCEEFF" w:val="clear"/>
            <w:vAlign w:val="center"/>
          </w:tcPr>
          <w:p>
            <w:pPr>
              <w:pStyle w:val="TableContents"/>
              <w:spacing w:before="0" w:after="283"/>
              <w:jc w:val="left"/>
              <w:rPr/>
            </w:pPr>
            <w:r>
              <w:rPr/>
              <w:t>$</w:t>
            </w:r>
          </w:p>
        </w:tc>
        <w:tc>
          <w:tcPr>
            <w:tcW w:w="923" w:type="dxa"/>
            <w:tcBorders/>
            <w:shd w:fill="CCEEFF" w:val="clear"/>
            <w:vAlign w:val="center"/>
          </w:tcPr>
          <w:p>
            <w:pPr>
              <w:pStyle w:val="TableContents"/>
              <w:spacing w:before="0" w:after="283"/>
              <w:jc w:val="right"/>
              <w:rPr/>
            </w:pPr>
            <w:r>
              <w:rPr/>
              <w:t>1.91</w:t>
            </w:r>
          </w:p>
        </w:tc>
        <w:tc>
          <w:tcPr>
            <w:tcW w:w="76" w:type="dxa"/>
            <w:tcBorders/>
            <w:shd w:fill="CCEEFF" w:val="clear"/>
            <w:vAlign w:val="center"/>
          </w:tcPr>
          <w:p>
            <w:pPr>
              <w:pStyle w:val="TableContents"/>
              <w:spacing w:before="0" w:after="283"/>
              <w:jc w:val="left"/>
              <w:rPr/>
            </w:pPr>
            <w:r>
              <w:rPr/>
              <w:t> </w:t>
            </w:r>
          </w:p>
        </w:tc>
      </w:tr>
      <w:tr>
        <w:trPr/>
        <w:tc>
          <w:tcPr>
            <w:tcW w:w="5596" w:type="dxa"/>
            <w:tcBorders/>
            <w:shd w:fill="FFFFFF" w:val="clear"/>
            <w:vAlign w:val="center"/>
          </w:tcPr>
          <w:p>
            <w:pPr>
              <w:pStyle w:val="TableContents"/>
              <w:spacing w:before="0" w:after="283"/>
              <w:rPr/>
            </w:pPr>
            <w:r>
              <w:rPr/>
              <w:t>Granted</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2937"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2" w:type="dxa"/>
            <w:tcBorders/>
            <w:shd w:fill="FFFFFF" w:val="clear"/>
            <w:vAlign w:val="center"/>
          </w:tcPr>
          <w:p>
            <w:pPr>
              <w:pStyle w:val="TableContents"/>
              <w:spacing w:before="0" w:after="283"/>
              <w:jc w:val="left"/>
              <w:rPr/>
            </w:pPr>
            <w:r>
              <w:rPr/>
              <w:t> </w:t>
            </w:r>
          </w:p>
        </w:tc>
        <w:tc>
          <w:tcPr>
            <w:tcW w:w="923" w:type="dxa"/>
            <w:tcBorders/>
            <w:shd w:fill="FFFFFF" w:val="clear"/>
            <w:vAlign w:val="center"/>
          </w:tcPr>
          <w:p>
            <w:pPr>
              <w:pStyle w:val="TableContents"/>
              <w:spacing w:before="0" w:after="283"/>
              <w:jc w:val="right"/>
              <w:rPr/>
            </w:pPr>
            <w:r>
              <w:rPr/>
              <w:t> </w:t>
            </w:r>
          </w:p>
        </w:tc>
        <w:tc>
          <w:tcPr>
            <w:tcW w:w="76" w:type="dxa"/>
            <w:tcBorders/>
            <w:shd w:fill="FFFFFF" w:val="clear"/>
            <w:vAlign w:val="center"/>
          </w:tcPr>
          <w:p>
            <w:pPr>
              <w:pStyle w:val="TableContents"/>
              <w:spacing w:before="0" w:after="283"/>
              <w:jc w:val="left"/>
              <w:rPr/>
            </w:pPr>
            <w:r>
              <w:rPr/>
              <w:t> </w:t>
            </w:r>
          </w:p>
        </w:tc>
      </w:tr>
      <w:tr>
        <w:trPr/>
        <w:tc>
          <w:tcPr>
            <w:tcW w:w="5596" w:type="dxa"/>
            <w:tcBorders/>
            <w:shd w:fill="CCEEFF" w:val="clear"/>
            <w:vAlign w:val="center"/>
          </w:tcPr>
          <w:p>
            <w:pPr>
              <w:pStyle w:val="TableContents"/>
              <w:spacing w:before="0" w:after="283"/>
              <w:rPr/>
            </w:pPr>
            <w:r>
              <w:rPr/>
              <w:t>Exercised</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2937" w:type="dxa"/>
            <w:tcBorders/>
            <w:shd w:fill="CCEEFF" w:val="clear"/>
            <w:vAlign w:val="center"/>
          </w:tcPr>
          <w:p>
            <w:pPr>
              <w:pStyle w:val="TableContents"/>
              <w:spacing w:before="0" w:after="283"/>
              <w:jc w:val="right"/>
              <w:rPr/>
            </w:pPr>
            <w:r>
              <w:rPr/>
              <w:t>(3,941,554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92" w:type="dxa"/>
            <w:tcBorders/>
            <w:shd w:fill="CCEEFF" w:val="clear"/>
            <w:vAlign w:val="center"/>
          </w:tcPr>
          <w:p>
            <w:pPr>
              <w:pStyle w:val="TableContents"/>
              <w:spacing w:before="0" w:after="283"/>
              <w:jc w:val="left"/>
              <w:rPr/>
            </w:pPr>
            <w:r>
              <w:rPr/>
              <w:t> </w:t>
            </w:r>
          </w:p>
        </w:tc>
        <w:tc>
          <w:tcPr>
            <w:tcW w:w="923" w:type="dxa"/>
            <w:tcBorders/>
            <w:shd w:fill="CCEEFF" w:val="clear"/>
            <w:vAlign w:val="center"/>
          </w:tcPr>
          <w:p>
            <w:pPr>
              <w:pStyle w:val="TableContents"/>
              <w:spacing w:before="0" w:after="283"/>
              <w:jc w:val="right"/>
              <w:rPr/>
            </w:pPr>
            <w:r>
              <w:rPr/>
              <w:t>1.79</w:t>
            </w:r>
          </w:p>
        </w:tc>
        <w:tc>
          <w:tcPr>
            <w:tcW w:w="76" w:type="dxa"/>
            <w:tcBorders/>
            <w:shd w:fill="CCEEFF" w:val="clear"/>
            <w:vAlign w:val="center"/>
          </w:tcPr>
          <w:p>
            <w:pPr>
              <w:pStyle w:val="TableContents"/>
              <w:spacing w:before="0" w:after="283"/>
              <w:jc w:val="left"/>
              <w:rPr/>
            </w:pPr>
            <w:r>
              <w:rPr/>
              <w:t> </w:t>
            </w:r>
          </w:p>
        </w:tc>
      </w:tr>
      <w:tr>
        <w:trPr/>
        <w:tc>
          <w:tcPr>
            <w:tcW w:w="5596" w:type="dxa"/>
            <w:tcBorders/>
            <w:shd w:fill="FFFFFF" w:val="clear"/>
            <w:vAlign w:val="center"/>
          </w:tcPr>
          <w:p>
            <w:pPr>
              <w:pStyle w:val="TableContents"/>
              <w:spacing w:before="0" w:after="283"/>
              <w:rPr/>
            </w:pPr>
            <w:r>
              <w:rPr/>
              <w:t>Expired</w:t>
            </w:r>
          </w:p>
        </w:tc>
        <w:tc>
          <w:tcPr>
            <w:tcW w:w="60" w:type="dxa"/>
            <w:tcBorders/>
            <w:shd w:fill="FFFFFF" w:val="clear"/>
            <w:vAlign w:val="center"/>
          </w:tcPr>
          <w:p>
            <w:pPr>
              <w:pStyle w:val="TableContents"/>
              <w:spacing w:before="0" w:after="283"/>
              <w:rPr/>
            </w:pPr>
            <w:r>
              <w:rPr/>
              <w:t> </w:t>
            </w:r>
          </w:p>
        </w:tc>
        <w:tc>
          <w:tcPr>
            <w:tcW w:w="16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2937" w:type="dxa"/>
            <w:tcBorders>
              <w:bottom w:val="single" w:sz="12" w:space="0" w:color="000000"/>
            </w:tcBorders>
            <w:shd w:fill="FFFFFF" w:val="clear"/>
            <w:tcMar>
              <w:bottom w:w="28" w:type="dxa"/>
            </w:tcMar>
            <w:vAlign w:val="center"/>
          </w:tcPr>
          <w:p>
            <w:pPr>
              <w:pStyle w:val="TableContents"/>
              <w:spacing w:before="0" w:after="283"/>
              <w:jc w:val="right"/>
              <w:rPr/>
            </w:pPr>
            <w:r>
              <w:rPr/>
              <w:t>(115,688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92" w:type="dxa"/>
            <w:tcBorders/>
            <w:shd w:fill="FFFFFF" w:val="clear"/>
            <w:vAlign w:val="center"/>
          </w:tcPr>
          <w:p>
            <w:pPr>
              <w:pStyle w:val="TableContents"/>
              <w:spacing w:before="0" w:after="283"/>
              <w:jc w:val="left"/>
              <w:rPr/>
            </w:pPr>
            <w:r>
              <w:rPr/>
              <w:t> </w:t>
            </w:r>
          </w:p>
        </w:tc>
        <w:tc>
          <w:tcPr>
            <w:tcW w:w="923" w:type="dxa"/>
            <w:tcBorders/>
            <w:shd w:fill="FFFFFF" w:val="clear"/>
            <w:vAlign w:val="center"/>
          </w:tcPr>
          <w:p>
            <w:pPr>
              <w:pStyle w:val="TableContents"/>
              <w:spacing w:before="0" w:after="283"/>
              <w:jc w:val="right"/>
              <w:rPr/>
            </w:pPr>
            <w:r>
              <w:rPr/>
              <w:t>6.94</w:t>
            </w:r>
          </w:p>
        </w:tc>
        <w:tc>
          <w:tcPr>
            <w:tcW w:w="76" w:type="dxa"/>
            <w:tcBorders/>
            <w:shd w:fill="FFFFFF" w:val="clear"/>
            <w:vAlign w:val="center"/>
          </w:tcPr>
          <w:p>
            <w:pPr>
              <w:pStyle w:val="TableContents"/>
              <w:spacing w:before="0" w:after="283"/>
              <w:jc w:val="left"/>
              <w:rPr/>
            </w:pPr>
            <w:r>
              <w:rPr/>
              <w:t> </w:t>
            </w:r>
          </w:p>
        </w:tc>
      </w:tr>
      <w:tr>
        <w:trPr/>
        <w:tc>
          <w:tcPr>
            <w:tcW w:w="5596" w:type="dxa"/>
            <w:tcBorders/>
            <w:shd w:fill="CCEEFF" w:val="clear"/>
            <w:vAlign w:val="center"/>
          </w:tcPr>
          <w:p>
            <w:pPr>
              <w:pStyle w:val="TableContents"/>
              <w:spacing w:before="0" w:after="283"/>
              <w:jc w:val="left"/>
              <w:rPr/>
            </w:pPr>
            <w:r>
              <w:rPr/>
              <w:t>Warrants outstanding and exercisable - December 31, 2018</w:t>
            </w:r>
          </w:p>
        </w:tc>
        <w:tc>
          <w:tcPr>
            <w:tcW w:w="60" w:type="dxa"/>
            <w:tcBorders/>
            <w:shd w:fill="CCEEFF" w:val="clear"/>
            <w:vAlign w:val="center"/>
          </w:tcPr>
          <w:p>
            <w:pPr>
              <w:pStyle w:val="TableContents"/>
              <w:spacing w:before="0" w:after="283"/>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2937" w:type="dxa"/>
            <w:tcBorders>
              <w:bottom w:val="double" w:sz="6" w:space="0" w:color="000000"/>
            </w:tcBorders>
            <w:shd w:fill="CCEEFF" w:val="clear"/>
            <w:tcMar>
              <w:bottom w:w="28" w:type="dxa"/>
            </w:tcMar>
            <w:vAlign w:val="center"/>
          </w:tcPr>
          <w:p>
            <w:pPr>
              <w:pStyle w:val="TableContents"/>
              <w:spacing w:before="0" w:after="283"/>
              <w:jc w:val="right"/>
              <w:rPr/>
            </w:pPr>
            <w:r>
              <w:rPr/>
              <w:t>2,206,973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2" w:type="dxa"/>
            <w:tcBorders/>
            <w:shd w:fill="CCEEFF" w:val="clear"/>
            <w:vAlign w:val="center"/>
          </w:tcPr>
          <w:p>
            <w:pPr>
              <w:pStyle w:val="TableContents"/>
              <w:spacing w:before="0" w:after="283"/>
              <w:jc w:val="left"/>
              <w:rPr/>
            </w:pPr>
            <w:r>
              <w:rPr/>
              <w:t>$</w:t>
            </w:r>
          </w:p>
        </w:tc>
        <w:tc>
          <w:tcPr>
            <w:tcW w:w="923" w:type="dxa"/>
            <w:tcBorders/>
            <w:shd w:fill="CCEEFF" w:val="clear"/>
            <w:vAlign w:val="center"/>
          </w:tcPr>
          <w:p>
            <w:pPr>
              <w:pStyle w:val="TableContents"/>
              <w:spacing w:before="0" w:after="283"/>
              <w:jc w:val="right"/>
              <w:rPr/>
            </w:pPr>
            <w:r>
              <w:rPr/>
              <w:t>1.91</w:t>
            </w:r>
          </w:p>
        </w:tc>
        <w:tc>
          <w:tcPr>
            <w:tcW w:w="76" w:type="dxa"/>
            <w:tcBorders/>
            <w:shd w:fill="CCEEFF" w:val="clear"/>
            <w:vAlign w:val="center"/>
          </w:tcPr>
          <w:p>
            <w:pPr>
              <w:pStyle w:val="TableContents"/>
              <w:spacing w:before="0" w:after="283"/>
              <w:jc w:val="left"/>
              <w:rPr/>
            </w:pPr>
            <w:r>
              <w:rPr/>
              <w:t> </w:t>
            </w:r>
          </w:p>
        </w:tc>
      </w:tr>
      <w:tr>
        <w:trPr/>
        <w:tc>
          <w:tcPr>
            <w:tcW w:w="5596" w:type="dxa"/>
            <w:tcBorders/>
            <w:shd w:fill="FFFFFF" w:val="clear"/>
            <w:vAlign w:val="center"/>
          </w:tcPr>
          <w:p>
            <w:pPr>
              <w:pStyle w:val="TableContents"/>
              <w:spacing w:before="0" w:after="283"/>
              <w:jc w:val="left"/>
              <w:rPr/>
            </w:pPr>
            <w:r>
              <w:rPr/>
              <w:t>Weighted average remaining contractual life of the outstanding warrants in years - December 31, 2018</w:t>
            </w:r>
          </w:p>
        </w:tc>
        <w:tc>
          <w:tcPr>
            <w:tcW w:w="60" w:type="dxa"/>
            <w:tcBorders/>
            <w:shd w:fill="FFFFFF" w:val="clear"/>
            <w:vAlign w:val="center"/>
          </w:tcPr>
          <w:p>
            <w:pPr>
              <w:pStyle w:val="TableContents"/>
              <w:spacing w:before="0" w:after="283"/>
              <w:rPr/>
            </w:pPr>
            <w:r>
              <w:rPr/>
              <w:t> </w:t>
            </w:r>
          </w:p>
        </w:tc>
        <w:tc>
          <w:tcPr>
            <w:tcW w:w="166"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937" w:type="dxa"/>
            <w:tcBorders>
              <w:bottom w:val="double" w:sz="6" w:space="0" w:color="000000"/>
            </w:tcBorders>
            <w:shd w:fill="FFFFFF" w:val="clear"/>
            <w:tcMar>
              <w:bottom w:w="28" w:type="dxa"/>
            </w:tcMar>
            <w:vAlign w:val="center"/>
          </w:tcPr>
          <w:p>
            <w:pPr>
              <w:pStyle w:val="TableContents"/>
              <w:spacing w:before="0" w:after="283"/>
              <w:jc w:val="right"/>
              <w:rPr/>
            </w:pPr>
            <w:r>
              <w:rPr/>
              <w:t>2.60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2" w:type="dxa"/>
            <w:tcBorders/>
            <w:shd w:fill="FFFFFF" w:val="clear"/>
            <w:vAlign w:val="center"/>
          </w:tcPr>
          <w:p>
            <w:pPr>
              <w:pStyle w:val="TableContents"/>
              <w:spacing w:before="0" w:after="283"/>
              <w:jc w:val="left"/>
              <w:rPr/>
            </w:pPr>
            <w:r>
              <w:rPr/>
              <w:t> </w:t>
            </w:r>
          </w:p>
        </w:tc>
        <w:tc>
          <w:tcPr>
            <w:tcW w:w="923" w:type="dxa"/>
            <w:tcBorders/>
            <w:shd w:fill="FFFFFF" w:val="clear"/>
            <w:vAlign w:val="center"/>
          </w:tcPr>
          <w:p>
            <w:pPr>
              <w:pStyle w:val="TableContents"/>
              <w:spacing w:before="0" w:after="283"/>
              <w:jc w:val="right"/>
              <w:rPr/>
            </w:pPr>
            <w:r>
              <w:rPr/>
              <w:t> </w:t>
            </w:r>
          </w:p>
        </w:tc>
        <w:tc>
          <w:tcPr>
            <w:tcW w:w="76"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table below illustrates the fair value per share determined by the Black-Scholes-Merton option pricing model with the following assumptions used for valuing warrants granted during the year ended December 31, 2017 related to loan agreements:</w:t>
      </w:r>
    </w:p>
    <w:p>
      <w:pPr>
        <w:pStyle w:val="TextBody"/>
        <w:jc w:val="both"/>
        <w:rPr>
          <w:caps w:val="false"/>
          <w:smallCaps w:val="false"/>
        </w:rPr>
      </w:pPr>
      <w:r>
        <w:rPr>
          <w:caps w:val="false"/>
          <w:smallCaps w:val="false"/>
        </w:rPr>
        <w:t> </w:t>
      </w:r>
    </w:p>
    <w:tbl>
      <w:tblPr>
        <w:tblW w:w="5585" w:type="dxa"/>
        <w:jc w:val="left"/>
        <w:tblInd w:w="0" w:type="dxa"/>
        <w:tblCellMar>
          <w:top w:w="0" w:type="dxa"/>
          <w:left w:w="0" w:type="dxa"/>
          <w:bottom w:w="0" w:type="dxa"/>
          <w:right w:w="0" w:type="dxa"/>
        </w:tblCellMar>
      </w:tblPr>
      <w:tblGrid>
        <w:gridCol w:w="4595"/>
        <w:gridCol w:w="60"/>
        <w:gridCol w:w="140"/>
        <w:gridCol w:w="560"/>
        <w:gridCol w:w="230"/>
      </w:tblGrid>
      <w:tr>
        <w:trPr/>
        <w:tc>
          <w:tcPr>
            <w:tcW w:w="45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2017</w:t>
            </w:r>
          </w:p>
        </w:tc>
        <w:tc>
          <w:tcPr>
            <w:tcW w:w="230" w:type="dxa"/>
            <w:tcBorders/>
            <w:shd w:fill="auto" w:val="clear"/>
            <w:vAlign w:val="center"/>
          </w:tcPr>
          <w:p>
            <w:pPr>
              <w:pStyle w:val="TableContents"/>
              <w:spacing w:before="0" w:after="283"/>
              <w:rPr/>
            </w:pPr>
            <w:r>
              <w:rPr/>
              <w:t> </w:t>
            </w:r>
          </w:p>
        </w:tc>
      </w:tr>
      <w:tr>
        <w:trPr/>
        <w:tc>
          <w:tcPr>
            <w:tcW w:w="4595" w:type="dxa"/>
            <w:tcBorders/>
            <w:shd w:fill="CCEEFF" w:val="clear"/>
            <w:vAlign w:val="center"/>
          </w:tcPr>
          <w:p>
            <w:pPr>
              <w:pStyle w:val="TableContents"/>
              <w:spacing w:before="0" w:after="283"/>
              <w:jc w:val="left"/>
              <w:rPr/>
            </w:pPr>
            <w:r>
              <w:rPr/>
              <w:t>Weighted-average fair value of warrants granted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1.70</w:t>
            </w:r>
          </w:p>
        </w:tc>
        <w:tc>
          <w:tcPr>
            <w:tcW w:w="230" w:type="dxa"/>
            <w:tcBorders/>
            <w:shd w:fill="CCEEFF" w:val="clear"/>
            <w:vAlign w:val="center"/>
          </w:tcPr>
          <w:p>
            <w:pPr>
              <w:pStyle w:val="TableContents"/>
              <w:spacing w:before="0" w:after="283"/>
              <w:jc w:val="left"/>
              <w:rPr/>
            </w:pPr>
            <w:r>
              <w:rPr/>
              <w:t> </w:t>
            </w:r>
          </w:p>
        </w:tc>
      </w:tr>
      <w:tr>
        <w:trPr/>
        <w:tc>
          <w:tcPr>
            <w:tcW w:w="4595" w:type="dxa"/>
            <w:tcBorders/>
            <w:shd w:fill="FFFFFF" w:val="clear"/>
            <w:vAlign w:val="center"/>
          </w:tcPr>
          <w:p>
            <w:pPr>
              <w:pStyle w:val="TableContents"/>
              <w:spacing w:before="0" w:after="283"/>
              <w:jc w:val="left"/>
              <w:rPr/>
            </w:pPr>
            <w:r>
              <w:rPr/>
              <w:t>Expected terms (in years)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7.00</w:t>
            </w:r>
          </w:p>
        </w:tc>
        <w:tc>
          <w:tcPr>
            <w:tcW w:w="230" w:type="dxa"/>
            <w:tcBorders/>
            <w:shd w:fill="FFFFFF" w:val="clear"/>
            <w:vAlign w:val="center"/>
          </w:tcPr>
          <w:p>
            <w:pPr>
              <w:pStyle w:val="TableContents"/>
              <w:spacing w:before="0" w:after="283"/>
              <w:jc w:val="left"/>
              <w:rPr/>
            </w:pPr>
            <w:r>
              <w:rPr/>
              <w:t> </w:t>
            </w:r>
          </w:p>
        </w:tc>
      </w:tr>
      <w:tr>
        <w:trPr/>
        <w:tc>
          <w:tcPr>
            <w:tcW w:w="4595" w:type="dxa"/>
            <w:tcBorders/>
            <w:shd w:fill="CCEEFF" w:val="clear"/>
            <w:vAlign w:val="center"/>
          </w:tcPr>
          <w:p>
            <w:pPr>
              <w:pStyle w:val="TableContents"/>
              <w:spacing w:before="0" w:after="283"/>
              <w:jc w:val="left"/>
              <w:rPr/>
            </w:pPr>
            <w:r>
              <w:rPr/>
              <w:t>Expected volatility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113.5</w:t>
            </w:r>
          </w:p>
        </w:tc>
        <w:tc>
          <w:tcPr>
            <w:tcW w:w="230" w:type="dxa"/>
            <w:tcBorders/>
            <w:shd w:fill="CCEEFF" w:val="clear"/>
            <w:vAlign w:val="center"/>
          </w:tcPr>
          <w:p>
            <w:pPr>
              <w:pStyle w:val="TableContents"/>
              <w:spacing w:before="0" w:after="283"/>
              <w:jc w:val="left"/>
              <w:rPr/>
            </w:pPr>
            <w:r>
              <w:rPr/>
              <w:t>%</w:t>
            </w:r>
          </w:p>
        </w:tc>
      </w:tr>
      <w:tr>
        <w:trPr/>
        <w:tc>
          <w:tcPr>
            <w:tcW w:w="4595" w:type="dxa"/>
            <w:tcBorders/>
            <w:shd w:fill="FFFFFF" w:val="clear"/>
            <w:vAlign w:val="center"/>
          </w:tcPr>
          <w:p>
            <w:pPr>
              <w:pStyle w:val="TableContents"/>
              <w:spacing w:before="0" w:after="283"/>
              <w:jc w:val="left"/>
              <w:rPr/>
            </w:pPr>
            <w:r>
              <w:rPr/>
              <w:t>Risk-free interest rate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1.77</w:t>
            </w:r>
          </w:p>
        </w:tc>
        <w:tc>
          <w:tcPr>
            <w:tcW w:w="230" w:type="dxa"/>
            <w:tcBorders/>
            <w:shd w:fill="FFFFFF" w:val="clear"/>
            <w:vAlign w:val="center"/>
          </w:tcPr>
          <w:p>
            <w:pPr>
              <w:pStyle w:val="TableContents"/>
              <w:spacing w:before="0" w:after="283"/>
              <w:jc w:val="left"/>
              <w:rPr/>
            </w:pPr>
            <w:r>
              <w:rPr/>
              <w:t>%</w:t>
            </w:r>
          </w:p>
        </w:tc>
      </w:tr>
      <w:tr>
        <w:trPr/>
        <w:tc>
          <w:tcPr>
            <w:tcW w:w="4595" w:type="dxa"/>
            <w:tcBorders/>
            <w:shd w:fill="CCEEFF" w:val="clear"/>
            <w:vAlign w:val="center"/>
          </w:tcPr>
          <w:p>
            <w:pPr>
              <w:pStyle w:val="TableContents"/>
              <w:spacing w:before="0" w:after="283"/>
              <w:jc w:val="left"/>
              <w:rPr/>
            </w:pPr>
            <w:r>
              <w:rPr/>
              <w:t>Dividend yield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w:t>
            </w:r>
          </w:p>
        </w:tc>
        <w:tc>
          <w:tcPr>
            <w:tcW w:w="23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 warrants outstanding as of December 31, 2018 are included in the following table:</w:t>
      </w:r>
    </w:p>
    <w:p>
      <w:pPr>
        <w:pStyle w:val="TextBody"/>
        <w:rPr>
          <w:caps w:val="false"/>
          <w:smallCaps w:val="false"/>
        </w:rPr>
      </w:pPr>
      <w:r>
        <w:rPr>
          <w:caps w:val="false"/>
          <w:smallCaps w:val="false"/>
        </w:rPr>
        <w:t> </w:t>
      </w:r>
    </w:p>
    <w:tbl>
      <w:tblPr>
        <w:tblW w:w="9770" w:type="dxa"/>
        <w:jc w:val="left"/>
        <w:tblInd w:w="0" w:type="dxa"/>
        <w:tblCellMar>
          <w:top w:w="0" w:type="dxa"/>
          <w:left w:w="0" w:type="dxa"/>
          <w:bottom w:w="0" w:type="dxa"/>
          <w:right w:w="0" w:type="dxa"/>
        </w:tblCellMar>
      </w:tblPr>
      <w:tblGrid>
        <w:gridCol w:w="4355"/>
        <w:gridCol w:w="60"/>
        <w:gridCol w:w="1100"/>
        <w:gridCol w:w="60"/>
        <w:gridCol w:w="60"/>
        <w:gridCol w:w="980"/>
        <w:gridCol w:w="60"/>
        <w:gridCol w:w="60"/>
        <w:gridCol w:w="140"/>
        <w:gridCol w:w="650"/>
        <w:gridCol w:w="60"/>
        <w:gridCol w:w="60"/>
        <w:gridCol w:w="60"/>
        <w:gridCol w:w="980"/>
        <w:gridCol w:w="60"/>
        <w:gridCol w:w="60"/>
        <w:gridCol w:w="60"/>
        <w:gridCol w:w="830"/>
        <w:gridCol w:w="75"/>
      </w:tblGrid>
      <w:tr>
        <w:trPr/>
        <w:tc>
          <w:tcPr>
            <w:tcW w:w="43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110" w:type="dxa"/>
            <w:gridSpan w:val="8"/>
            <w:tcBorders>
              <w:bottom w:val="single" w:sz="12" w:space="0" w:color="000000"/>
            </w:tcBorders>
            <w:shd w:fill="auto" w:val="clear"/>
            <w:tcMar>
              <w:bottom w:w="28" w:type="dxa"/>
            </w:tcMar>
            <w:vAlign w:val="center"/>
          </w:tcPr>
          <w:p>
            <w:pPr>
              <w:pStyle w:val="TableContents"/>
              <w:spacing w:before="0" w:after="283"/>
              <w:jc w:val="center"/>
              <w:rPr/>
            </w:pPr>
            <w:r>
              <w:rPr/>
              <w:t>Warrants Outstanding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990" w:type="dxa"/>
            <w:gridSpan w:val="5"/>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Exercisable</w:t>
            </w:r>
          </w:p>
        </w:tc>
        <w:tc>
          <w:tcPr>
            <w:tcW w:w="75" w:type="dxa"/>
            <w:tcBorders/>
            <w:shd w:fill="auto" w:val="clear"/>
            <w:vAlign w:val="center"/>
          </w:tcPr>
          <w:p>
            <w:pPr>
              <w:pStyle w:val="TableContents"/>
              <w:spacing w:before="0" w:after="283"/>
              <w:jc w:val="center"/>
              <w:rPr/>
            </w:pPr>
            <w:r>
              <w:rPr/>
              <w:t> </w:t>
            </w:r>
          </w:p>
        </w:tc>
      </w:tr>
      <w:tr>
        <w:trPr/>
        <w:tc>
          <w:tcPr>
            <w:tcW w:w="43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8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 xml:space="preserve">Warrants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0" w:type="dxa"/>
            <w:tcBorders/>
            <w:shd w:fill="auto" w:val="clear"/>
            <w:vAlign w:val="center"/>
          </w:tcPr>
          <w:p>
            <w:pPr>
              <w:pStyle w:val="TableContents"/>
              <w:spacing w:before="0" w:after="283"/>
              <w:jc w:val="center"/>
              <w:rPr/>
            </w:pPr>
            <w:r>
              <w:rPr/>
              <w:t> </w:t>
            </w:r>
          </w:p>
        </w:tc>
        <w:tc>
          <w:tcPr>
            <w:tcW w:w="65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 xml:space="preserve">Exercise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8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Warrants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3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Expiration</w:t>
            </w:r>
          </w:p>
        </w:tc>
        <w:tc>
          <w:tcPr>
            <w:tcW w:w="75" w:type="dxa"/>
            <w:tcBorders/>
            <w:shd w:fill="auto" w:val="clear"/>
            <w:vAlign w:val="center"/>
          </w:tcPr>
          <w:p>
            <w:pPr>
              <w:pStyle w:val="TableContents"/>
              <w:spacing w:before="0" w:after="283"/>
              <w:jc w:val="center"/>
              <w:rPr/>
            </w:pPr>
            <w:r>
              <w:rPr/>
              <w:t> </w:t>
            </w:r>
          </w:p>
        </w:tc>
      </w:tr>
      <w:tr>
        <w:trPr/>
        <w:tc>
          <w:tcPr>
            <w:tcW w:w="4355" w:type="dxa"/>
            <w:tcBorders>
              <w:bottom w:val="single" w:sz="12" w:space="0" w:color="000000"/>
            </w:tcBorders>
            <w:shd w:fill="auto" w:val="clear"/>
            <w:tcMar>
              <w:bottom w:w="28" w:type="dxa"/>
            </w:tcMar>
            <w:vAlign w:val="center"/>
          </w:tcPr>
          <w:p>
            <w:pPr>
              <w:pStyle w:val="TableContents"/>
              <w:spacing w:before="0" w:after="283"/>
              <w:jc w:val="left"/>
              <w:rPr/>
            </w:pPr>
            <w:r>
              <w:rPr/>
              <w:t>Warrant Series</w:t>
            </w:r>
          </w:p>
        </w:tc>
        <w:tc>
          <w:tcPr>
            <w:tcW w:w="60" w:type="dxa"/>
            <w:tcBorders/>
            <w:shd w:fill="auto" w:val="clear"/>
            <w:vAlign w:val="center"/>
          </w:tcPr>
          <w:p>
            <w:pPr>
              <w:pStyle w:val="TableContents"/>
              <w:spacing w:before="0" w:after="283"/>
              <w:jc w:val="center"/>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center"/>
              <w:rPr/>
            </w:pPr>
            <w:r>
              <w:rPr/>
              <w:t>Issue Date</w:t>
            </w:r>
          </w:p>
        </w:tc>
        <w:tc>
          <w:tcPr>
            <w:tcW w:w="60" w:type="dxa"/>
            <w:tcBorders/>
            <w:shd w:fill="auto" w:val="clear"/>
            <w:vAlign w:val="center"/>
          </w:tcPr>
          <w:p>
            <w:pPr>
              <w:pStyle w:val="TableContents"/>
              <w:spacing w:before="0" w:after="283"/>
              <w:jc w:val="center"/>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Outstanding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65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Price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Exercisable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3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Date</w:t>
            </w:r>
          </w:p>
        </w:tc>
        <w:tc>
          <w:tcPr>
            <w:tcW w:w="75" w:type="dxa"/>
            <w:tcBorders/>
            <w:shd w:fill="auto" w:val="clear"/>
            <w:vAlign w:val="center"/>
          </w:tcPr>
          <w:p>
            <w:pPr>
              <w:pStyle w:val="TableContents"/>
              <w:spacing w:before="0" w:after="283"/>
              <w:jc w:val="center"/>
              <w:rPr/>
            </w:pPr>
            <w:r>
              <w:rPr/>
              <w:t> </w:t>
            </w:r>
          </w:p>
        </w:tc>
      </w:tr>
      <w:tr>
        <w:trPr/>
        <w:tc>
          <w:tcPr>
            <w:tcW w:w="4355" w:type="dxa"/>
            <w:tcBorders/>
            <w:shd w:fill="CCEEFF" w:val="clear"/>
            <w:vAlign w:val="center"/>
          </w:tcPr>
          <w:p>
            <w:pPr>
              <w:pStyle w:val="TableContents"/>
              <w:spacing w:before="0" w:after="283"/>
              <w:jc w:val="left"/>
              <w:rPr/>
            </w:pPr>
            <w:r>
              <w:rPr/>
              <w:t>Lender warrants</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center"/>
              <w:rPr/>
            </w:pPr>
            <w:r>
              <w:rPr/>
              <w:t>5/11/2015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50" w:type="dxa"/>
            <w:tcBorders/>
            <w:shd w:fill="CCEEFF" w:val="clear"/>
            <w:vAlign w:val="center"/>
          </w:tcPr>
          <w:p>
            <w:pPr>
              <w:pStyle w:val="TableContents"/>
              <w:spacing w:before="0" w:after="283"/>
              <w:jc w:val="right"/>
              <w:rPr/>
            </w:pPr>
            <w:r>
              <w:rPr/>
              <w:t>1.79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5/11/2025</w:t>
            </w:r>
          </w:p>
        </w:tc>
        <w:tc>
          <w:tcPr>
            <w:tcW w:w="75" w:type="dxa"/>
            <w:tcBorders/>
            <w:shd w:fill="CCEEFF" w:val="clear"/>
            <w:vAlign w:val="center"/>
          </w:tcPr>
          <w:p>
            <w:pPr>
              <w:pStyle w:val="TableContents"/>
              <w:spacing w:before="0" w:after="283"/>
              <w:jc w:val="left"/>
              <w:rPr/>
            </w:pPr>
            <w:r>
              <w:rPr/>
              <w:t> </w:t>
            </w:r>
          </w:p>
        </w:tc>
      </w:tr>
      <w:tr>
        <w:trPr/>
        <w:tc>
          <w:tcPr>
            <w:tcW w:w="4355" w:type="dxa"/>
            <w:tcBorders/>
            <w:shd w:fill="FFFFFF" w:val="clear"/>
            <w:vAlign w:val="center"/>
          </w:tcPr>
          <w:p>
            <w:pPr>
              <w:pStyle w:val="TableContents"/>
              <w:spacing w:before="0" w:after="283"/>
              <w:jc w:val="left"/>
              <w:rPr/>
            </w:pPr>
            <w:r>
              <w:rPr/>
              <w:t>Settlement warrants</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283"/>
              <w:jc w:val="center"/>
              <w:rPr/>
            </w:pPr>
            <w:r>
              <w:rPr/>
              <w:t>8/16/2016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40,000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50" w:type="dxa"/>
            <w:tcBorders/>
            <w:shd w:fill="FFFFFF" w:val="clear"/>
            <w:vAlign w:val="center"/>
          </w:tcPr>
          <w:p>
            <w:pPr>
              <w:pStyle w:val="TableContents"/>
              <w:spacing w:before="0" w:after="283"/>
              <w:jc w:val="right"/>
              <w:rPr/>
            </w:pPr>
            <w:r>
              <w:rPr/>
              <w:t>3.75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40,000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8/16/2021</w:t>
            </w:r>
          </w:p>
        </w:tc>
        <w:tc>
          <w:tcPr>
            <w:tcW w:w="75" w:type="dxa"/>
            <w:tcBorders/>
            <w:shd w:fill="FFFFFF" w:val="clear"/>
            <w:vAlign w:val="center"/>
          </w:tcPr>
          <w:p>
            <w:pPr>
              <w:pStyle w:val="TableContents"/>
              <w:spacing w:before="0" w:after="283"/>
              <w:jc w:val="left"/>
              <w:rPr/>
            </w:pPr>
            <w:r>
              <w:rPr/>
              <w:t> </w:t>
            </w:r>
          </w:p>
        </w:tc>
      </w:tr>
      <w:tr>
        <w:trPr/>
        <w:tc>
          <w:tcPr>
            <w:tcW w:w="4355" w:type="dxa"/>
            <w:tcBorders/>
            <w:shd w:fill="CCEEFF" w:val="clear"/>
            <w:vAlign w:val="center"/>
          </w:tcPr>
          <w:p>
            <w:pPr>
              <w:pStyle w:val="TableContents"/>
              <w:spacing w:before="0" w:after="283"/>
              <w:jc w:val="left"/>
              <w:rPr/>
            </w:pPr>
            <w:r>
              <w:rPr/>
              <w:t>PIPE Investor and Placement Agent Warrants</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center"/>
              <w:rPr/>
            </w:pPr>
            <w:r>
              <w:rPr/>
              <w:t>12/27/2016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1,426,587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50" w:type="dxa"/>
            <w:tcBorders/>
            <w:shd w:fill="CCEEFF" w:val="clear"/>
            <w:vAlign w:val="center"/>
          </w:tcPr>
          <w:p>
            <w:pPr>
              <w:pStyle w:val="TableContents"/>
              <w:spacing w:before="0" w:after="283"/>
              <w:jc w:val="right"/>
              <w:rPr/>
            </w:pPr>
            <w:r>
              <w:rPr/>
              <w:t>1.79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1,426,587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12/27/2019</w:t>
            </w:r>
          </w:p>
        </w:tc>
        <w:tc>
          <w:tcPr>
            <w:tcW w:w="75" w:type="dxa"/>
            <w:tcBorders/>
            <w:shd w:fill="CCEEFF" w:val="clear"/>
            <w:vAlign w:val="center"/>
          </w:tcPr>
          <w:p>
            <w:pPr>
              <w:pStyle w:val="TableContents"/>
              <w:spacing w:before="0" w:after="283"/>
              <w:jc w:val="left"/>
              <w:rPr/>
            </w:pPr>
            <w:r>
              <w:rPr/>
              <w:t> </w:t>
            </w:r>
          </w:p>
        </w:tc>
      </w:tr>
      <w:tr>
        <w:trPr/>
        <w:tc>
          <w:tcPr>
            <w:tcW w:w="4355" w:type="dxa"/>
            <w:tcBorders/>
            <w:shd w:fill="FFFFFF" w:val="clear"/>
            <w:vAlign w:val="center"/>
          </w:tcPr>
          <w:p>
            <w:pPr>
              <w:pStyle w:val="TableContents"/>
              <w:spacing w:before="0" w:after="283"/>
              <w:jc w:val="left"/>
              <w:rPr/>
            </w:pPr>
            <w:r>
              <w:rPr/>
              <w:t>Lender warrants (see Note 13)</w:t>
            </w:r>
          </w:p>
        </w:tc>
        <w:tc>
          <w:tcPr>
            <w:tcW w:w="60"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283"/>
              <w:jc w:val="center"/>
              <w:rPr/>
            </w:pPr>
            <w:r>
              <w:rPr/>
              <w:t>7/19/2017</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615,386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50" w:type="dxa"/>
            <w:tcBorders/>
            <w:shd w:fill="FFFFFF" w:val="clear"/>
            <w:vAlign w:val="center"/>
          </w:tcPr>
          <w:p>
            <w:pPr>
              <w:pStyle w:val="TableContents"/>
              <w:spacing w:before="0" w:after="283"/>
              <w:jc w:val="right"/>
              <w:rPr/>
            </w:pPr>
            <w:r>
              <w:rPr/>
              <w:t>2.08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615,386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7/19/2024</w:t>
            </w:r>
          </w:p>
        </w:tc>
        <w:tc>
          <w:tcPr>
            <w:tcW w:w="75" w:type="dxa"/>
            <w:tcBorders/>
            <w:shd w:fill="FFFFFF" w:val="clear"/>
            <w:vAlign w:val="center"/>
          </w:tcPr>
          <w:p>
            <w:pPr>
              <w:pStyle w:val="TableContents"/>
              <w:spacing w:before="0" w:after="283"/>
              <w:jc w:val="left"/>
              <w:rPr/>
            </w:pPr>
            <w:r>
              <w:rPr/>
              <w:t> </w:t>
            </w:r>
          </w:p>
        </w:tc>
      </w:tr>
      <w:tr>
        <w:trPr/>
        <w:tc>
          <w:tcPr>
            <w:tcW w:w="43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spacing w:before="0" w:after="283"/>
              <w:jc w:val="right"/>
              <w:rPr/>
            </w:pPr>
            <w:r>
              <w:rPr/>
              <w:t>2,206,973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50" w:type="dxa"/>
            <w:tcBorders/>
            <w:shd w:fill="CCEEFF" w:val="clear"/>
            <w:vAlign w:val="center"/>
          </w:tcPr>
          <w:p>
            <w:pPr>
              <w:pStyle w:val="TableContents"/>
              <w:spacing w:before="0" w:after="283"/>
              <w:jc w:val="right"/>
              <w:rPr/>
            </w:pPr>
            <w:r>
              <w:rPr/>
              <w:t>1.91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spacing w:before="0" w:after="283"/>
              <w:jc w:val="right"/>
              <w:rPr/>
            </w:pPr>
            <w:r>
              <w:rPr/>
              <w:t>2,206,973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center"/>
              <w:rPr/>
            </w:pPr>
            <w:r>
              <w:rPr/>
              <w:t> </w:t>
            </w:r>
          </w:p>
        </w:tc>
        <w:tc>
          <w:tcPr>
            <w:tcW w:w="75" w:type="dxa"/>
            <w:tcBorders/>
            <w:shd w:fill="CCEEFF" w:val="clear"/>
            <w:vAlign w:val="center"/>
          </w:tcPr>
          <w:p>
            <w:pPr>
              <w:pStyle w:val="TableContents"/>
              <w:spacing w:before="0" w:after="283"/>
              <w:jc w:val="left"/>
              <w:rPr/>
            </w:pPr>
            <w:r>
              <w:rPr/>
              <w:t> </w:t>
            </w:r>
          </w:p>
        </w:tc>
      </w:tr>
    </w:tbl>
    <w:p>
      <w:pPr>
        <w:pStyle w:val="TextBody"/>
        <w:ind w:left="1080" w:right="0" w:hanging="108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16. INCOME TAXES</w:t>
      </w:r>
    </w:p>
    <w:p>
      <w:pPr>
        <w:pStyle w:val="TextBody"/>
        <w:ind w:left="1080" w:right="0" w:hanging="108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is subject to taxation in the United States, California, New Jersey, Texas and Pennsylvania. The provision for income taxes for the years ended December 31, 2018 and 2017 are summarized below:</w:t>
      </w:r>
    </w:p>
    <w:p>
      <w:pPr>
        <w:pStyle w:val="TextBody"/>
        <w:jc w:val="both"/>
        <w:rPr>
          <w:caps w:val="false"/>
          <w:smallCaps w:val="false"/>
        </w:rPr>
      </w:pPr>
      <w:r>
        <w:rPr>
          <w:caps w:val="false"/>
          <w:smallCaps w:val="false"/>
        </w:rPr>
        <w:t> </w:t>
      </w:r>
    </w:p>
    <w:tbl>
      <w:tblPr>
        <w:tblW w:w="7273" w:type="dxa"/>
        <w:jc w:val="left"/>
        <w:tblInd w:w="0" w:type="dxa"/>
        <w:tblCellMar>
          <w:top w:w="0" w:type="dxa"/>
          <w:left w:w="0" w:type="dxa"/>
          <w:bottom w:w="0" w:type="dxa"/>
          <w:right w:w="0" w:type="dxa"/>
        </w:tblCellMar>
      </w:tblPr>
      <w:tblGrid>
        <w:gridCol w:w="2960"/>
        <w:gridCol w:w="60"/>
        <w:gridCol w:w="340"/>
        <w:gridCol w:w="1554"/>
        <w:gridCol w:w="95"/>
        <w:gridCol w:w="60"/>
        <w:gridCol w:w="340"/>
        <w:gridCol w:w="1554"/>
        <w:gridCol w:w="310"/>
      </w:tblGrid>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31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283"/>
              <w:rPr/>
            </w:pPr>
            <w:r>
              <w:rPr/>
              <w:t>Current:</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 </w:t>
            </w:r>
          </w:p>
        </w:tc>
        <w:tc>
          <w:tcPr>
            <w:tcW w:w="155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 </w:t>
            </w:r>
          </w:p>
        </w:tc>
        <w:tc>
          <w:tcPr>
            <w:tcW w:w="1554" w:type="dxa"/>
            <w:tcBorders/>
            <w:shd w:fill="CCEEFF" w:val="clear"/>
            <w:vAlign w:val="center"/>
          </w:tcPr>
          <w:p>
            <w:pPr>
              <w:pStyle w:val="TableContents"/>
              <w:spacing w:before="0" w:after="283"/>
              <w:jc w:val="right"/>
              <w:rPr/>
            </w:pPr>
            <w:r>
              <w:rPr/>
              <w:t> </w:t>
            </w:r>
          </w:p>
        </w:tc>
        <w:tc>
          <w:tcPr>
            <w:tcW w:w="310" w:type="dxa"/>
            <w:tcBorders/>
            <w:shd w:fill="CCEEFF" w:val="clear"/>
            <w:vAlign w:val="center"/>
          </w:tcPr>
          <w:p>
            <w:pPr>
              <w:pStyle w:val="TableContents"/>
              <w:spacing w:before="0" w:after="283"/>
              <w:ind w:left="0" w:right="0" w:firstLine="200"/>
              <w:jc w:val="left"/>
              <w:rPr/>
            </w:pPr>
            <w:r>
              <w:rPr/>
              <w:t> </w:t>
            </w:r>
          </w:p>
        </w:tc>
      </w:tr>
      <w:tr>
        <w:trPr/>
        <w:tc>
          <w:tcPr>
            <w:tcW w:w="2960" w:type="dxa"/>
            <w:tcBorders/>
            <w:shd w:fill="FFFFFF" w:val="clear"/>
            <w:vAlign w:val="center"/>
          </w:tcPr>
          <w:p>
            <w:pPr>
              <w:pStyle w:val="TableContents"/>
              <w:spacing w:before="0" w:after="283"/>
              <w:rPr/>
            </w:pPr>
            <w:r>
              <w:rPr/>
              <w:t>Federal</w:t>
            </w:r>
          </w:p>
        </w:tc>
        <w:tc>
          <w:tcPr>
            <w:tcW w:w="60" w:type="dxa"/>
            <w:tcBorders/>
            <w:shd w:fill="FFFFFF" w:val="clear"/>
            <w:vAlign w:val="center"/>
          </w:tcPr>
          <w:p>
            <w:pPr>
              <w:pStyle w:val="TableContents"/>
              <w:spacing w:before="0" w:after="283"/>
              <w:rPr/>
            </w:pPr>
            <w:r>
              <w:rPr/>
              <w:t> </w:t>
            </w:r>
          </w:p>
        </w:tc>
        <w:tc>
          <w:tcPr>
            <w:tcW w:w="340" w:type="dxa"/>
            <w:tcBorders/>
            <w:shd w:fill="FFFFFF" w:val="clear"/>
            <w:vAlign w:val="center"/>
          </w:tcPr>
          <w:p>
            <w:pPr>
              <w:pStyle w:val="TableContents"/>
              <w:spacing w:before="0" w:after="283"/>
              <w:jc w:val="left"/>
              <w:rPr/>
            </w:pPr>
            <w:r>
              <w:rPr/>
              <w:t>$</w:t>
            </w:r>
          </w:p>
        </w:tc>
        <w:tc>
          <w:tcPr>
            <w:tcW w:w="1554"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40" w:type="dxa"/>
            <w:tcBorders/>
            <w:shd w:fill="FFFFFF" w:val="clear"/>
            <w:vAlign w:val="center"/>
          </w:tcPr>
          <w:p>
            <w:pPr>
              <w:pStyle w:val="TableContents"/>
              <w:spacing w:before="0" w:after="283"/>
              <w:jc w:val="left"/>
              <w:rPr/>
            </w:pPr>
            <w:r>
              <w:rPr/>
              <w:t>$</w:t>
            </w:r>
          </w:p>
        </w:tc>
        <w:tc>
          <w:tcPr>
            <w:tcW w:w="1554" w:type="dxa"/>
            <w:tcBorders/>
            <w:shd w:fill="FFFFFF" w:val="clear"/>
            <w:vAlign w:val="center"/>
          </w:tcPr>
          <w:p>
            <w:pPr>
              <w:pStyle w:val="TableContents"/>
              <w:spacing w:before="0" w:after="283"/>
              <w:jc w:val="right"/>
              <w:rPr/>
            </w:pPr>
            <w:r>
              <w:rPr/>
              <w:t>-</w:t>
            </w:r>
          </w:p>
        </w:tc>
        <w:tc>
          <w:tcPr>
            <w:tcW w:w="310" w:type="dxa"/>
            <w:tcBorders/>
            <w:shd w:fill="FFFFFF" w:val="clear"/>
            <w:vAlign w:val="center"/>
          </w:tcPr>
          <w:p>
            <w:pPr>
              <w:pStyle w:val="TableContents"/>
              <w:spacing w:before="0" w:after="283"/>
              <w:ind w:left="0" w:right="0" w:firstLine="200"/>
              <w:jc w:val="left"/>
              <w:rPr/>
            </w:pPr>
            <w:r>
              <w:rPr/>
              <w:t> </w:t>
            </w:r>
          </w:p>
        </w:tc>
      </w:tr>
      <w:tr>
        <w:trPr/>
        <w:tc>
          <w:tcPr>
            <w:tcW w:w="2960" w:type="dxa"/>
            <w:tcBorders/>
            <w:shd w:fill="CCEEFF" w:val="clear"/>
            <w:vAlign w:val="center"/>
          </w:tcPr>
          <w:p>
            <w:pPr>
              <w:pStyle w:val="TableContents"/>
              <w:spacing w:before="0" w:after="283"/>
              <w:rPr/>
            </w:pPr>
            <w:r>
              <w:rPr/>
              <w:t>State</w:t>
            </w:r>
          </w:p>
        </w:tc>
        <w:tc>
          <w:tcPr>
            <w:tcW w:w="60" w:type="dxa"/>
            <w:tcBorders/>
            <w:shd w:fill="CCEEFF" w:val="clear"/>
            <w:vAlign w:val="center"/>
          </w:tcPr>
          <w:p>
            <w:pPr>
              <w:pStyle w:val="TableContents"/>
              <w:spacing w:before="0" w:after="283"/>
              <w:rPr/>
            </w:pPr>
            <w:r>
              <w:rPr/>
              <w:t> </w:t>
            </w:r>
          </w:p>
        </w:tc>
        <w:tc>
          <w:tcPr>
            <w:tcW w:w="3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spacing w:before="0" w:after="283"/>
              <w:jc w:val="right"/>
              <w:rPr/>
            </w:pPr>
            <w:r>
              <w:rPr/>
              <w:t>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spacing w:before="0" w:after="283"/>
              <w:jc w:val="right"/>
              <w:rPr/>
            </w:pPr>
            <w:r>
              <w:rPr/>
              <w:t>5</w:t>
            </w:r>
          </w:p>
        </w:tc>
        <w:tc>
          <w:tcPr>
            <w:tcW w:w="310" w:type="dxa"/>
            <w:tcBorders/>
            <w:shd w:fill="CCEEFF" w:val="clear"/>
            <w:vAlign w:val="center"/>
          </w:tcPr>
          <w:p>
            <w:pPr>
              <w:pStyle w:val="TableContents"/>
              <w:spacing w:before="0" w:after="283"/>
              <w:jc w:val="left"/>
              <w:rPr/>
            </w:pPr>
            <w:r>
              <w:rPr/>
              <w:t> </w:t>
            </w:r>
          </w:p>
        </w:tc>
      </w:tr>
      <w:tr>
        <w:trPr/>
        <w:tc>
          <w:tcPr>
            <w:tcW w:w="2960" w:type="dxa"/>
            <w:tcBorders/>
            <w:shd w:fill="FFFFFF" w:val="clear"/>
            <w:vAlign w:val="center"/>
          </w:tcPr>
          <w:p>
            <w:pPr>
              <w:pStyle w:val="TableContents"/>
              <w:spacing w:before="0" w:after="283"/>
              <w:jc w:val="left"/>
              <w:rPr/>
            </w:pPr>
            <w:r>
              <w:rPr/>
              <w:t>Total current</w:t>
            </w:r>
          </w:p>
        </w:tc>
        <w:tc>
          <w:tcPr>
            <w:tcW w:w="60" w:type="dxa"/>
            <w:tcBorders/>
            <w:shd w:fill="FFFFFF" w:val="clear"/>
            <w:vAlign w:val="center"/>
          </w:tcPr>
          <w:p>
            <w:pPr>
              <w:pStyle w:val="TableContents"/>
              <w:spacing w:before="0" w:after="283"/>
              <w:rPr/>
            </w:pPr>
            <w:r>
              <w:rPr/>
              <w:t> </w:t>
            </w:r>
          </w:p>
        </w:tc>
        <w:tc>
          <w:tcPr>
            <w:tcW w:w="3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554" w:type="dxa"/>
            <w:tcBorders>
              <w:bottom w:val="single" w:sz="12" w:space="0" w:color="000000"/>
            </w:tcBorders>
            <w:shd w:fill="FFFFFF" w:val="clear"/>
            <w:tcMar>
              <w:bottom w:w="28" w:type="dxa"/>
            </w:tcMar>
            <w:vAlign w:val="center"/>
          </w:tcPr>
          <w:p>
            <w:pPr>
              <w:pStyle w:val="TableContents"/>
              <w:spacing w:before="0" w:after="283"/>
              <w:jc w:val="right"/>
              <w:rPr/>
            </w:pPr>
            <w:r>
              <w:rPr/>
              <w:t>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554" w:type="dxa"/>
            <w:tcBorders>
              <w:bottom w:val="single" w:sz="12" w:space="0" w:color="000000"/>
            </w:tcBorders>
            <w:shd w:fill="FFFFFF" w:val="clear"/>
            <w:tcMar>
              <w:bottom w:w="28" w:type="dxa"/>
            </w:tcMar>
            <w:vAlign w:val="center"/>
          </w:tcPr>
          <w:p>
            <w:pPr>
              <w:pStyle w:val="TableContents"/>
              <w:spacing w:before="0" w:after="283"/>
              <w:jc w:val="right"/>
              <w:rPr/>
            </w:pPr>
            <w:r>
              <w:rPr/>
              <w:t>5</w:t>
            </w:r>
          </w:p>
        </w:tc>
        <w:tc>
          <w:tcPr>
            <w:tcW w:w="310" w:type="dxa"/>
            <w:tcBorders/>
            <w:shd w:fill="FFFFFF" w:val="clear"/>
            <w:vAlign w:val="center"/>
          </w:tcPr>
          <w:p>
            <w:pPr>
              <w:pStyle w:val="TableContents"/>
              <w:spacing w:before="0" w:after="283"/>
              <w:jc w:val="left"/>
              <w:rPr/>
            </w:pPr>
            <w:r>
              <w:rPr/>
              <w:t> </w:t>
            </w:r>
          </w:p>
        </w:tc>
      </w:tr>
      <w:tr>
        <w:trPr/>
        <w:tc>
          <w:tcPr>
            <w:tcW w:w="29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 </w:t>
            </w:r>
          </w:p>
        </w:tc>
        <w:tc>
          <w:tcPr>
            <w:tcW w:w="155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 </w:t>
            </w:r>
          </w:p>
        </w:tc>
        <w:tc>
          <w:tcPr>
            <w:tcW w:w="1554" w:type="dxa"/>
            <w:tcBorders/>
            <w:shd w:fill="CCEEFF" w:val="clear"/>
            <w:vAlign w:val="center"/>
          </w:tcPr>
          <w:p>
            <w:pPr>
              <w:pStyle w:val="TableContents"/>
              <w:spacing w:before="0" w:after="283"/>
              <w:jc w:val="right"/>
              <w:rPr/>
            </w:pPr>
            <w:r>
              <w:rPr/>
              <w:t> </w:t>
            </w:r>
          </w:p>
        </w:tc>
        <w:tc>
          <w:tcPr>
            <w:tcW w:w="310" w:type="dxa"/>
            <w:tcBorders/>
            <w:shd w:fill="CCEEFF" w:val="clear"/>
            <w:vAlign w:val="center"/>
          </w:tcPr>
          <w:p>
            <w:pPr>
              <w:pStyle w:val="TableContents"/>
              <w:spacing w:before="0" w:after="283"/>
              <w:jc w:val="left"/>
              <w:rPr/>
            </w:pPr>
            <w:r>
              <w:rPr/>
              <w:t> </w:t>
            </w:r>
          </w:p>
        </w:tc>
      </w:tr>
      <w:tr>
        <w:trPr/>
        <w:tc>
          <w:tcPr>
            <w:tcW w:w="2960" w:type="dxa"/>
            <w:tcBorders/>
            <w:shd w:fill="FFFFFF" w:val="clear"/>
            <w:vAlign w:val="center"/>
          </w:tcPr>
          <w:p>
            <w:pPr>
              <w:pStyle w:val="TableContents"/>
              <w:spacing w:before="0" w:after="283"/>
              <w:rPr/>
            </w:pPr>
            <w:r>
              <w:rPr/>
              <w:t>Deferred:</w:t>
            </w:r>
          </w:p>
        </w:tc>
        <w:tc>
          <w:tcPr>
            <w:tcW w:w="60" w:type="dxa"/>
            <w:tcBorders/>
            <w:shd w:fill="FFFFFF" w:val="clear"/>
            <w:vAlign w:val="center"/>
          </w:tcPr>
          <w:p>
            <w:pPr>
              <w:pStyle w:val="TableContents"/>
              <w:spacing w:before="0" w:after="283"/>
              <w:rPr/>
            </w:pPr>
            <w:r>
              <w:rPr/>
              <w:t> </w:t>
            </w:r>
          </w:p>
        </w:tc>
        <w:tc>
          <w:tcPr>
            <w:tcW w:w="340" w:type="dxa"/>
            <w:tcBorders/>
            <w:shd w:fill="FFFFFF" w:val="clear"/>
            <w:vAlign w:val="center"/>
          </w:tcPr>
          <w:p>
            <w:pPr>
              <w:pStyle w:val="TableContents"/>
              <w:spacing w:before="0" w:after="283"/>
              <w:jc w:val="left"/>
              <w:rPr/>
            </w:pPr>
            <w:r>
              <w:rPr/>
              <w:t> </w:t>
            </w:r>
          </w:p>
        </w:tc>
        <w:tc>
          <w:tcPr>
            <w:tcW w:w="155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40" w:type="dxa"/>
            <w:tcBorders/>
            <w:shd w:fill="FFFFFF" w:val="clear"/>
            <w:vAlign w:val="center"/>
          </w:tcPr>
          <w:p>
            <w:pPr>
              <w:pStyle w:val="TableContents"/>
              <w:spacing w:before="0" w:after="283"/>
              <w:jc w:val="left"/>
              <w:rPr/>
            </w:pPr>
            <w:r>
              <w:rPr/>
              <w:t> </w:t>
            </w:r>
          </w:p>
        </w:tc>
        <w:tc>
          <w:tcPr>
            <w:tcW w:w="1554" w:type="dxa"/>
            <w:tcBorders/>
            <w:shd w:fill="FFFFFF" w:val="clear"/>
            <w:vAlign w:val="center"/>
          </w:tcPr>
          <w:p>
            <w:pPr>
              <w:pStyle w:val="TableContents"/>
              <w:spacing w:before="0" w:after="283"/>
              <w:jc w:val="right"/>
              <w:rPr/>
            </w:pPr>
            <w:r>
              <w:rPr/>
              <w:t> </w:t>
            </w:r>
          </w:p>
        </w:tc>
        <w:tc>
          <w:tcPr>
            <w:tcW w:w="310" w:type="dxa"/>
            <w:tcBorders/>
            <w:shd w:fill="FFFFFF" w:val="clear"/>
            <w:vAlign w:val="center"/>
          </w:tcPr>
          <w:p>
            <w:pPr>
              <w:pStyle w:val="TableContents"/>
              <w:spacing w:before="0" w:after="283"/>
              <w:ind w:left="0" w:right="0" w:firstLine="200"/>
              <w:jc w:val="left"/>
              <w:rPr/>
            </w:pPr>
            <w:r>
              <w:rPr/>
              <w:t> </w:t>
            </w:r>
          </w:p>
        </w:tc>
      </w:tr>
      <w:tr>
        <w:trPr/>
        <w:tc>
          <w:tcPr>
            <w:tcW w:w="2960" w:type="dxa"/>
            <w:tcBorders/>
            <w:shd w:fill="CCEEFF" w:val="clear"/>
            <w:vAlign w:val="center"/>
          </w:tcPr>
          <w:p>
            <w:pPr>
              <w:pStyle w:val="TableContents"/>
              <w:spacing w:before="0" w:after="283"/>
              <w:rPr/>
            </w:pPr>
            <w:r>
              <w:rPr/>
              <w:t>Federal</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w:t>
            </w:r>
          </w:p>
        </w:tc>
        <w:tc>
          <w:tcPr>
            <w:tcW w:w="1554" w:type="dxa"/>
            <w:tcBorders/>
            <w:shd w:fill="CCEEFF" w:val="clear"/>
            <w:vAlign w:val="center"/>
          </w:tcPr>
          <w:p>
            <w:pPr>
              <w:pStyle w:val="TableContents"/>
              <w:spacing w:before="0" w:after="283"/>
              <w:jc w:val="right"/>
              <w:rPr/>
            </w:pPr>
            <w:r>
              <w:rPr/>
              <w:t>3,294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w:t>
            </w:r>
          </w:p>
        </w:tc>
        <w:tc>
          <w:tcPr>
            <w:tcW w:w="1554" w:type="dxa"/>
            <w:tcBorders/>
            <w:shd w:fill="CCEEFF" w:val="clear"/>
            <w:vAlign w:val="center"/>
          </w:tcPr>
          <w:p>
            <w:pPr>
              <w:pStyle w:val="TableContents"/>
              <w:spacing w:before="0" w:after="283"/>
              <w:jc w:val="right"/>
              <w:rPr/>
            </w:pPr>
            <w:r>
              <w:rPr/>
              <w:t>6,474</w:t>
            </w:r>
          </w:p>
        </w:tc>
        <w:tc>
          <w:tcPr>
            <w:tcW w:w="310" w:type="dxa"/>
            <w:tcBorders/>
            <w:shd w:fill="CCEEFF" w:val="clear"/>
            <w:vAlign w:val="center"/>
          </w:tcPr>
          <w:p>
            <w:pPr>
              <w:pStyle w:val="TableContents"/>
              <w:spacing w:before="0" w:after="283"/>
              <w:ind w:left="0" w:right="0" w:firstLine="200"/>
              <w:jc w:val="left"/>
              <w:rPr/>
            </w:pPr>
            <w:r>
              <w:rPr/>
              <w:t> </w:t>
            </w:r>
          </w:p>
        </w:tc>
      </w:tr>
      <w:tr>
        <w:trPr/>
        <w:tc>
          <w:tcPr>
            <w:tcW w:w="2960" w:type="dxa"/>
            <w:tcBorders/>
            <w:shd w:fill="FFFFFF" w:val="clear"/>
            <w:vAlign w:val="center"/>
          </w:tcPr>
          <w:p>
            <w:pPr>
              <w:pStyle w:val="TableContents"/>
              <w:spacing w:before="0" w:after="283"/>
              <w:rPr/>
            </w:pPr>
            <w:r>
              <w:rPr/>
              <w:t>State</w:t>
            </w:r>
          </w:p>
        </w:tc>
        <w:tc>
          <w:tcPr>
            <w:tcW w:w="60" w:type="dxa"/>
            <w:tcBorders/>
            <w:shd w:fill="FFFFFF" w:val="clear"/>
            <w:vAlign w:val="center"/>
          </w:tcPr>
          <w:p>
            <w:pPr>
              <w:pStyle w:val="TableContents"/>
              <w:spacing w:before="0" w:after="283"/>
              <w:rPr/>
            </w:pPr>
            <w:r>
              <w:rPr/>
              <w:t> </w:t>
            </w:r>
          </w:p>
        </w:tc>
        <w:tc>
          <w:tcPr>
            <w:tcW w:w="340" w:type="dxa"/>
            <w:tcBorders/>
            <w:shd w:fill="FFFFFF" w:val="clear"/>
            <w:vAlign w:val="center"/>
          </w:tcPr>
          <w:p>
            <w:pPr>
              <w:pStyle w:val="TableContents"/>
              <w:spacing w:before="0" w:after="283"/>
              <w:jc w:val="left"/>
              <w:rPr/>
            </w:pPr>
            <w:r>
              <w:rPr/>
              <w:t> </w:t>
            </w:r>
          </w:p>
        </w:tc>
        <w:tc>
          <w:tcPr>
            <w:tcW w:w="1554" w:type="dxa"/>
            <w:tcBorders/>
            <w:shd w:fill="FFFFFF" w:val="clear"/>
            <w:vAlign w:val="center"/>
          </w:tcPr>
          <w:p>
            <w:pPr>
              <w:pStyle w:val="TableContents"/>
              <w:spacing w:before="0" w:after="283"/>
              <w:jc w:val="right"/>
              <w:rPr/>
            </w:pPr>
            <w:r>
              <w:rPr/>
              <w:t>440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40" w:type="dxa"/>
            <w:tcBorders/>
            <w:shd w:fill="FFFFFF" w:val="clear"/>
            <w:vAlign w:val="center"/>
          </w:tcPr>
          <w:p>
            <w:pPr>
              <w:pStyle w:val="TableContents"/>
              <w:spacing w:before="0" w:after="283"/>
              <w:jc w:val="left"/>
              <w:rPr/>
            </w:pPr>
            <w:r>
              <w:rPr/>
              <w:t> </w:t>
            </w:r>
          </w:p>
        </w:tc>
        <w:tc>
          <w:tcPr>
            <w:tcW w:w="1554" w:type="dxa"/>
            <w:tcBorders/>
            <w:shd w:fill="FFFFFF" w:val="clear"/>
            <w:vAlign w:val="center"/>
          </w:tcPr>
          <w:p>
            <w:pPr>
              <w:pStyle w:val="TableContents"/>
              <w:spacing w:before="0" w:after="283"/>
              <w:jc w:val="right"/>
              <w:rPr/>
            </w:pPr>
            <w:r>
              <w:rPr/>
              <w:t>(283</w:t>
            </w:r>
          </w:p>
        </w:tc>
        <w:tc>
          <w:tcPr>
            <w:tcW w:w="310" w:type="dxa"/>
            <w:tcBorders/>
            <w:shd w:fill="FFFFFF" w:val="clear"/>
            <w:vAlign w:val="center"/>
          </w:tcPr>
          <w:p>
            <w:pPr>
              <w:pStyle w:val="TableContents"/>
              <w:spacing w:before="0" w:after="283"/>
              <w:ind w:left="0" w:right="0" w:firstLine="200"/>
              <w:jc w:val="left"/>
              <w:rPr/>
            </w:pPr>
            <w:r>
              <w:rPr/>
              <w:t>)</w:t>
            </w:r>
          </w:p>
        </w:tc>
      </w:tr>
      <w:tr>
        <w:trPr/>
        <w:tc>
          <w:tcPr>
            <w:tcW w:w="2960" w:type="dxa"/>
            <w:tcBorders/>
            <w:shd w:fill="CCEEFF" w:val="clear"/>
            <w:vAlign w:val="center"/>
          </w:tcPr>
          <w:p>
            <w:pPr>
              <w:pStyle w:val="TableContents"/>
              <w:spacing w:before="0" w:after="283"/>
              <w:jc w:val="left"/>
              <w:rPr/>
            </w:pPr>
            <w:r>
              <w:rPr/>
              <w:t>Change in valuation allowance</w:t>
            </w:r>
          </w:p>
        </w:tc>
        <w:tc>
          <w:tcPr>
            <w:tcW w:w="60" w:type="dxa"/>
            <w:tcBorders/>
            <w:shd w:fill="CCEEFF" w:val="clear"/>
            <w:vAlign w:val="center"/>
          </w:tcPr>
          <w:p>
            <w:pPr>
              <w:pStyle w:val="TableContents"/>
              <w:spacing w:before="0" w:after="283"/>
              <w:rPr/>
            </w:pPr>
            <w:r>
              <w:rPr/>
              <w:t> </w:t>
            </w:r>
          </w:p>
        </w:tc>
        <w:tc>
          <w:tcPr>
            <w:tcW w:w="3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spacing w:before="0" w:after="283"/>
              <w:jc w:val="right"/>
              <w:rPr/>
            </w:pPr>
            <w:r>
              <w:rPr/>
              <w:t>(3,734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54" w:type="dxa"/>
            <w:tcBorders>
              <w:bottom w:val="single" w:sz="12" w:space="0" w:color="000000"/>
            </w:tcBorders>
            <w:shd w:fill="CCEEFF" w:val="clear"/>
            <w:tcMar>
              <w:bottom w:w="28" w:type="dxa"/>
            </w:tcMar>
            <w:vAlign w:val="center"/>
          </w:tcPr>
          <w:p>
            <w:pPr>
              <w:pStyle w:val="TableContents"/>
              <w:spacing w:before="0" w:after="283"/>
              <w:jc w:val="right"/>
              <w:rPr/>
            </w:pPr>
            <w:r>
              <w:rPr/>
              <w:t>(7,126</w:t>
            </w:r>
          </w:p>
        </w:tc>
        <w:tc>
          <w:tcPr>
            <w:tcW w:w="310" w:type="dxa"/>
            <w:tcBorders/>
            <w:shd w:fill="CCEEFF" w:val="clear"/>
            <w:vAlign w:val="center"/>
          </w:tcPr>
          <w:p>
            <w:pPr>
              <w:pStyle w:val="TableContents"/>
              <w:spacing w:before="0" w:after="283"/>
              <w:jc w:val="left"/>
              <w:rPr/>
            </w:pPr>
            <w:r>
              <w:rPr/>
              <w:t>)</w:t>
            </w:r>
          </w:p>
        </w:tc>
      </w:tr>
      <w:tr>
        <w:trPr/>
        <w:tc>
          <w:tcPr>
            <w:tcW w:w="2960" w:type="dxa"/>
            <w:tcBorders/>
            <w:shd w:fill="FFFFFF" w:val="clear"/>
            <w:vAlign w:val="center"/>
          </w:tcPr>
          <w:p>
            <w:pPr>
              <w:pStyle w:val="TableContents"/>
              <w:spacing w:before="0" w:after="283"/>
              <w:jc w:val="left"/>
              <w:rPr/>
            </w:pPr>
            <w:r>
              <w:rPr/>
              <w:t>Total deferred</w:t>
            </w:r>
          </w:p>
        </w:tc>
        <w:tc>
          <w:tcPr>
            <w:tcW w:w="60" w:type="dxa"/>
            <w:tcBorders/>
            <w:shd w:fill="FFFFFF" w:val="clear"/>
            <w:vAlign w:val="center"/>
          </w:tcPr>
          <w:p>
            <w:pPr>
              <w:pStyle w:val="TableContents"/>
              <w:spacing w:before="0" w:after="283"/>
              <w:rPr/>
            </w:pPr>
            <w:r>
              <w:rPr/>
              <w:t> </w:t>
            </w:r>
          </w:p>
        </w:tc>
        <w:tc>
          <w:tcPr>
            <w:tcW w:w="3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54"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554" w:type="dxa"/>
            <w:tcBorders>
              <w:bottom w:val="single" w:sz="12" w:space="0" w:color="000000"/>
            </w:tcBorders>
            <w:shd w:fill="FFFFFF" w:val="clear"/>
            <w:tcMar>
              <w:bottom w:w="28" w:type="dxa"/>
            </w:tcMar>
            <w:vAlign w:val="center"/>
          </w:tcPr>
          <w:p>
            <w:pPr>
              <w:pStyle w:val="TableContents"/>
              <w:spacing w:before="0" w:after="283"/>
              <w:jc w:val="right"/>
              <w:rPr/>
            </w:pPr>
            <w:r>
              <w:rPr/>
              <w:t>(935</w:t>
            </w:r>
          </w:p>
        </w:tc>
        <w:tc>
          <w:tcPr>
            <w:tcW w:w="310" w:type="dxa"/>
            <w:tcBorders/>
            <w:shd w:fill="FFFFFF" w:val="clear"/>
            <w:vAlign w:val="center"/>
          </w:tcPr>
          <w:p>
            <w:pPr>
              <w:pStyle w:val="TableContents"/>
              <w:spacing w:before="0" w:after="283"/>
              <w:jc w:val="left"/>
              <w:rPr/>
            </w:pPr>
            <w:r>
              <w:rPr/>
              <w:t>)</w:t>
            </w:r>
          </w:p>
        </w:tc>
      </w:tr>
      <w:tr>
        <w:trPr/>
        <w:tc>
          <w:tcPr>
            <w:tcW w:w="2960" w:type="dxa"/>
            <w:tcBorders/>
            <w:shd w:fill="CCEEFF" w:val="clear"/>
            <w:vAlign w:val="center"/>
          </w:tcPr>
          <w:p>
            <w:pPr>
              <w:pStyle w:val="TableContents"/>
              <w:spacing w:before="0" w:after="283"/>
              <w:jc w:val="left"/>
              <w:rPr/>
            </w:pPr>
            <w:r>
              <w:rPr/>
              <w:t>Income tax provision (benefit)</w:t>
            </w:r>
          </w:p>
        </w:tc>
        <w:tc>
          <w:tcPr>
            <w:tcW w:w="60" w:type="dxa"/>
            <w:tcBorders/>
            <w:shd w:fill="CCEEFF" w:val="clear"/>
            <w:vAlign w:val="center"/>
          </w:tcPr>
          <w:p>
            <w:pPr>
              <w:pStyle w:val="TableContents"/>
              <w:spacing w:before="0" w:after="283"/>
              <w:rPr/>
            </w:pPr>
            <w:r>
              <w:rPr/>
              <w:t> </w:t>
            </w:r>
          </w:p>
        </w:tc>
        <w:tc>
          <w:tcPr>
            <w:tcW w:w="3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54" w:type="dxa"/>
            <w:tcBorders>
              <w:bottom w:val="double" w:sz="6" w:space="0" w:color="000000"/>
            </w:tcBorders>
            <w:shd w:fill="CCEEFF" w:val="clear"/>
            <w:tcMar>
              <w:bottom w:w="28" w:type="dxa"/>
            </w:tcMar>
            <w:vAlign w:val="center"/>
          </w:tcPr>
          <w:p>
            <w:pPr>
              <w:pStyle w:val="TableContents"/>
              <w:spacing w:before="0" w:after="283"/>
              <w:jc w:val="right"/>
              <w:rPr/>
            </w:pPr>
            <w:r>
              <w:rPr/>
              <w:t>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554" w:type="dxa"/>
            <w:tcBorders>
              <w:bottom w:val="double" w:sz="6" w:space="0" w:color="000000"/>
            </w:tcBorders>
            <w:shd w:fill="CCEEFF" w:val="clear"/>
            <w:tcMar>
              <w:bottom w:w="28" w:type="dxa"/>
            </w:tcMar>
            <w:vAlign w:val="center"/>
          </w:tcPr>
          <w:p>
            <w:pPr>
              <w:pStyle w:val="TableContents"/>
              <w:spacing w:before="0" w:after="283"/>
              <w:jc w:val="right"/>
              <w:rPr/>
            </w:pPr>
            <w:r>
              <w:rPr/>
              <w:t>(931</w:t>
            </w:r>
          </w:p>
        </w:tc>
        <w:tc>
          <w:tcPr>
            <w:tcW w:w="310" w:type="dxa"/>
            <w:tcBorders/>
            <w:shd w:fill="CCEEFF" w:val="cle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Income tax expense for the years ended December 31, 2018 and 2017, are recorded in the general and administrative expenses line item in the accompanying consolidated statements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reconciliation of income taxes computed by applying the statutory U.S. income tax rate to the Company’s loss before income taxes to the income tax provision is as follows:</w:t>
      </w:r>
    </w:p>
    <w:p>
      <w:pPr>
        <w:pStyle w:val="TextBody"/>
        <w:jc w:val="both"/>
        <w:rPr>
          <w:caps w:val="false"/>
          <w:smallCaps w:val="false"/>
        </w:rPr>
      </w:pPr>
      <w:r>
        <w:rPr>
          <w:caps w:val="false"/>
          <w:smallCaps w:val="false"/>
        </w:rPr>
        <w:t> </w:t>
      </w:r>
    </w:p>
    <w:tbl>
      <w:tblPr>
        <w:tblW w:w="8033" w:type="dxa"/>
        <w:jc w:val="left"/>
        <w:tblInd w:w="0" w:type="dxa"/>
        <w:tblCellMar>
          <w:top w:w="0" w:type="dxa"/>
          <w:left w:w="0" w:type="dxa"/>
          <w:bottom w:w="0" w:type="dxa"/>
          <w:right w:w="0" w:type="dxa"/>
        </w:tblCellMar>
      </w:tblPr>
      <w:tblGrid>
        <w:gridCol w:w="3530"/>
        <w:gridCol w:w="60"/>
        <w:gridCol w:w="161"/>
        <w:gridCol w:w="1733"/>
        <w:gridCol w:w="290"/>
        <w:gridCol w:w="60"/>
        <w:gridCol w:w="161"/>
        <w:gridCol w:w="1733"/>
        <w:gridCol w:w="305"/>
      </w:tblGrid>
      <w:tr>
        <w:trPr/>
        <w:tc>
          <w:tcPr>
            <w:tcW w:w="35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305" w:type="dxa"/>
            <w:tcBorders/>
            <w:shd w:fill="auto"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283"/>
              <w:jc w:val="left"/>
              <w:rPr/>
            </w:pPr>
            <w:r>
              <w:rPr/>
              <w:t>U.S. federal statutory tax rate</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21.00</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35.00</w:t>
            </w:r>
          </w:p>
        </w:tc>
        <w:tc>
          <w:tcPr>
            <w:tcW w:w="305" w:type="dxa"/>
            <w:tcBorders/>
            <w:shd w:fill="CCEEFF" w:val="clear"/>
            <w:vAlign w:val="center"/>
          </w:tcPr>
          <w:p>
            <w:pPr>
              <w:pStyle w:val="TableContents"/>
              <w:spacing w:before="0" w:after="283"/>
              <w:jc w:val="left"/>
              <w:rPr/>
            </w:pPr>
            <w:r>
              <w:rPr/>
              <w:t>%</w:t>
            </w:r>
          </w:p>
        </w:tc>
      </w:tr>
      <w:tr>
        <w:trPr/>
        <w:tc>
          <w:tcPr>
            <w:tcW w:w="3530" w:type="dxa"/>
            <w:tcBorders/>
            <w:shd w:fill="FFFFFF" w:val="clear"/>
            <w:vAlign w:val="center"/>
          </w:tcPr>
          <w:p>
            <w:pPr>
              <w:pStyle w:val="TableContents"/>
              <w:spacing w:before="0" w:after="283"/>
              <w:jc w:val="left"/>
              <w:rPr/>
            </w:pPr>
            <w:r>
              <w:rPr/>
              <w:t>Benefit of lower tax brackets</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0.00</w:t>
            </w:r>
          </w:p>
        </w:tc>
        <w:tc>
          <w:tcPr>
            <w:tcW w:w="290"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(1.00</w:t>
            </w:r>
          </w:p>
        </w:tc>
        <w:tc>
          <w:tcPr>
            <w:tcW w:w="305" w:type="dxa"/>
            <w:tcBorders/>
            <w:shd w:fill="FFFFFF" w:val="clear"/>
            <w:vAlign w:val="center"/>
          </w:tcPr>
          <w:p>
            <w:pPr>
              <w:pStyle w:val="TableContents"/>
              <w:spacing w:before="0" w:after="283"/>
              <w:jc w:val="left"/>
              <w:rPr/>
            </w:pPr>
            <w:r>
              <w:rPr/>
              <w:t>)%</w:t>
            </w:r>
          </w:p>
        </w:tc>
      </w:tr>
      <w:tr>
        <w:trPr/>
        <w:tc>
          <w:tcPr>
            <w:tcW w:w="3530" w:type="dxa"/>
            <w:tcBorders/>
            <w:shd w:fill="CCEEFF" w:val="clear"/>
            <w:vAlign w:val="center"/>
          </w:tcPr>
          <w:p>
            <w:pPr>
              <w:pStyle w:val="TableContents"/>
              <w:spacing w:before="0" w:after="283"/>
              <w:jc w:val="left"/>
              <w:rPr/>
            </w:pPr>
            <w:r>
              <w:rPr/>
              <w:t>State tax benefit, net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0.04</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1.60</w:t>
            </w:r>
          </w:p>
        </w:tc>
        <w:tc>
          <w:tcPr>
            <w:tcW w:w="305" w:type="dxa"/>
            <w:tcBorders/>
            <w:shd w:fill="CCEEFF" w:val="clear"/>
            <w:vAlign w:val="center"/>
          </w:tcPr>
          <w:p>
            <w:pPr>
              <w:pStyle w:val="TableContents"/>
              <w:spacing w:before="0" w:after="283"/>
              <w:jc w:val="left"/>
              <w:rPr/>
            </w:pPr>
            <w:r>
              <w:rPr/>
              <w:t>%</w:t>
            </w:r>
          </w:p>
        </w:tc>
      </w:tr>
      <w:tr>
        <w:trPr/>
        <w:tc>
          <w:tcPr>
            <w:tcW w:w="3530" w:type="dxa"/>
            <w:tcBorders/>
            <w:shd w:fill="FFFFFF" w:val="clear"/>
            <w:vAlign w:val="center"/>
          </w:tcPr>
          <w:p>
            <w:pPr>
              <w:pStyle w:val="TableContents"/>
              <w:spacing w:before="0" w:after="283"/>
              <w:jc w:val="left"/>
              <w:rPr/>
            </w:pPr>
            <w:r>
              <w:rPr/>
              <w:t>Research and development credits</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(0.14</w:t>
            </w:r>
          </w:p>
        </w:tc>
        <w:tc>
          <w:tcPr>
            <w:tcW w:w="290"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0.00</w:t>
            </w:r>
          </w:p>
        </w:tc>
        <w:tc>
          <w:tcPr>
            <w:tcW w:w="305" w:type="dxa"/>
            <w:tcBorders/>
            <w:shd w:fill="FFFFFF" w:val="clear"/>
            <w:vAlign w:val="center"/>
          </w:tcPr>
          <w:p>
            <w:pPr>
              <w:pStyle w:val="TableContents"/>
              <w:spacing w:before="0" w:after="283"/>
              <w:jc w:val="left"/>
              <w:rPr/>
            </w:pPr>
            <w:r>
              <w:rPr/>
              <w:t>%</w:t>
            </w:r>
          </w:p>
        </w:tc>
      </w:tr>
      <w:tr>
        <w:trPr/>
        <w:tc>
          <w:tcPr>
            <w:tcW w:w="3530" w:type="dxa"/>
            <w:tcBorders/>
            <w:shd w:fill="CCEEFF" w:val="clear"/>
            <w:vAlign w:val="center"/>
          </w:tcPr>
          <w:p>
            <w:pPr>
              <w:pStyle w:val="TableContents"/>
              <w:spacing w:before="0" w:after="283"/>
              <w:jc w:val="left"/>
              <w:rPr/>
            </w:pPr>
            <w:r>
              <w:rPr/>
              <w:t>Employee stock-based compensation</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0.46</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(0.84</w:t>
            </w:r>
          </w:p>
        </w:tc>
        <w:tc>
          <w:tcPr>
            <w:tcW w:w="305" w:type="dxa"/>
            <w:tcBorders/>
            <w:shd w:fill="CCEEFF" w:val="clear"/>
            <w:vAlign w:val="center"/>
          </w:tcPr>
          <w:p>
            <w:pPr>
              <w:pStyle w:val="TableContents"/>
              <w:spacing w:before="0" w:after="283"/>
              <w:jc w:val="left"/>
              <w:rPr/>
            </w:pPr>
            <w:r>
              <w:rPr/>
              <w:t>)%</w:t>
            </w:r>
          </w:p>
        </w:tc>
      </w:tr>
      <w:tr>
        <w:trPr/>
        <w:tc>
          <w:tcPr>
            <w:tcW w:w="3530" w:type="dxa"/>
            <w:tcBorders/>
            <w:shd w:fill="FFFFFF" w:val="clear"/>
            <w:vAlign w:val="center"/>
          </w:tcPr>
          <w:p>
            <w:pPr>
              <w:pStyle w:val="TableContents"/>
              <w:spacing w:before="0" w:after="283"/>
              <w:jc w:val="left"/>
              <w:rPr/>
            </w:pPr>
            <w:r>
              <w:rPr/>
              <w:t>Loss on debt conversion</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0.00</w:t>
            </w:r>
          </w:p>
        </w:tc>
        <w:tc>
          <w:tcPr>
            <w:tcW w:w="290"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(2.39</w:t>
            </w:r>
          </w:p>
        </w:tc>
        <w:tc>
          <w:tcPr>
            <w:tcW w:w="305" w:type="dxa"/>
            <w:tcBorders/>
            <w:shd w:fill="FFFFFF" w:val="clear"/>
            <w:vAlign w:val="center"/>
          </w:tcPr>
          <w:p>
            <w:pPr>
              <w:pStyle w:val="TableContents"/>
              <w:spacing w:before="0" w:after="283"/>
              <w:jc w:val="left"/>
              <w:rPr/>
            </w:pPr>
            <w:r>
              <w:rPr/>
              <w:t>)%</w:t>
            </w:r>
          </w:p>
        </w:tc>
      </w:tr>
      <w:tr>
        <w:trPr/>
        <w:tc>
          <w:tcPr>
            <w:tcW w:w="3530" w:type="dxa"/>
            <w:tcBorders/>
            <w:shd w:fill="CCEEFF" w:val="clear"/>
            <w:vAlign w:val="center"/>
          </w:tcPr>
          <w:p>
            <w:pPr>
              <w:pStyle w:val="TableContents"/>
              <w:spacing w:before="0" w:after="283"/>
              <w:jc w:val="left"/>
              <w:rPr/>
            </w:pPr>
            <w:r>
              <w:rPr/>
              <w:t>Change in Rate</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0.00</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733" w:type="dxa"/>
            <w:tcBorders/>
            <w:shd w:fill="CCEEFF" w:val="clear"/>
            <w:vAlign w:val="center"/>
          </w:tcPr>
          <w:p>
            <w:pPr>
              <w:pStyle w:val="TableContents"/>
              <w:spacing w:before="0" w:after="283"/>
              <w:jc w:val="right"/>
              <w:rPr/>
            </w:pPr>
            <w:r>
              <w:rPr/>
              <w:t>(62.97</w:t>
            </w:r>
          </w:p>
        </w:tc>
        <w:tc>
          <w:tcPr>
            <w:tcW w:w="305" w:type="dxa"/>
            <w:tcBorders/>
            <w:shd w:fill="CCEEFF" w:val="clear"/>
            <w:vAlign w:val="center"/>
          </w:tcPr>
          <w:p>
            <w:pPr>
              <w:pStyle w:val="TableContents"/>
              <w:spacing w:before="0" w:after="283"/>
              <w:jc w:val="left"/>
              <w:rPr/>
            </w:pPr>
            <w:r>
              <w:rPr/>
              <w:t>)%</w:t>
            </w:r>
          </w:p>
        </w:tc>
      </w:tr>
      <w:tr>
        <w:trPr/>
        <w:tc>
          <w:tcPr>
            <w:tcW w:w="3530" w:type="dxa"/>
            <w:tcBorders/>
            <w:shd w:fill="FFFFFF" w:val="clear"/>
            <w:vAlign w:val="center"/>
          </w:tcPr>
          <w:p>
            <w:pPr>
              <w:pStyle w:val="TableContents"/>
              <w:spacing w:before="0" w:after="283"/>
              <w:rPr/>
            </w:pPr>
            <w:r>
              <w:rPr/>
              <w:t>Other</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0.13</w:t>
            </w:r>
          </w:p>
        </w:tc>
        <w:tc>
          <w:tcPr>
            <w:tcW w:w="290"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jc w:val="left"/>
              <w:rPr/>
            </w:pPr>
            <w:r>
              <w:rPr/>
              <w:t> </w:t>
            </w:r>
          </w:p>
        </w:tc>
        <w:tc>
          <w:tcPr>
            <w:tcW w:w="1733" w:type="dxa"/>
            <w:tcBorders/>
            <w:shd w:fill="FFFFFF" w:val="clear"/>
            <w:vAlign w:val="center"/>
          </w:tcPr>
          <w:p>
            <w:pPr>
              <w:pStyle w:val="TableContents"/>
              <w:spacing w:before="0" w:after="283"/>
              <w:jc w:val="right"/>
              <w:rPr/>
            </w:pPr>
            <w:r>
              <w:rPr/>
              <w:t>3.04</w:t>
            </w:r>
          </w:p>
        </w:tc>
        <w:tc>
          <w:tcPr>
            <w:tcW w:w="305" w:type="dxa"/>
            <w:tcBorders/>
            <w:shd w:fill="FFFFFF" w:val="clear"/>
            <w:vAlign w:val="center"/>
          </w:tcPr>
          <w:p>
            <w:pPr>
              <w:pStyle w:val="TableContents"/>
              <w:spacing w:before="0" w:after="283"/>
              <w:jc w:val="left"/>
              <w:rPr/>
            </w:pPr>
            <w:r>
              <w:rPr/>
              <w:t>%</w:t>
            </w:r>
          </w:p>
        </w:tc>
      </w:tr>
      <w:tr>
        <w:trPr/>
        <w:tc>
          <w:tcPr>
            <w:tcW w:w="3530" w:type="dxa"/>
            <w:tcBorders/>
            <w:shd w:fill="CCEEFF" w:val="clear"/>
            <w:vAlign w:val="center"/>
          </w:tcPr>
          <w:p>
            <w:pPr>
              <w:pStyle w:val="TableContents"/>
              <w:spacing w:before="0" w:after="283"/>
              <w:jc w:val="left"/>
              <w:rPr/>
            </w:pPr>
            <w:r>
              <w:rPr/>
              <w:t>Valuation allowance</w:t>
            </w:r>
          </w:p>
        </w:tc>
        <w:tc>
          <w:tcPr>
            <w:tcW w:w="60" w:type="dxa"/>
            <w:tcBorders/>
            <w:shd w:fill="CCEEFF" w:val="clear"/>
            <w:vAlign w:val="center"/>
          </w:tcPr>
          <w:p>
            <w:pPr>
              <w:pStyle w:val="TableContents"/>
              <w:spacing w:before="0" w:after="283"/>
              <w:rPr/>
            </w:pPr>
            <w:r>
              <w:rPr/>
              <w:t> </w:t>
            </w:r>
          </w:p>
        </w:tc>
        <w:tc>
          <w:tcPr>
            <w:tcW w:w="16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33" w:type="dxa"/>
            <w:tcBorders>
              <w:bottom w:val="single" w:sz="12" w:space="0" w:color="000000"/>
            </w:tcBorders>
            <w:shd w:fill="CCEEFF" w:val="clear"/>
            <w:tcMar>
              <w:bottom w:w="28" w:type="dxa"/>
            </w:tcMar>
            <w:vAlign w:val="center"/>
          </w:tcPr>
          <w:p>
            <w:pPr>
              <w:pStyle w:val="TableContents"/>
              <w:spacing w:before="0" w:after="283"/>
              <w:jc w:val="right"/>
              <w:rPr/>
            </w:pPr>
            <w:r>
              <w:rPr/>
              <w:t>(21.93</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33" w:type="dxa"/>
            <w:tcBorders>
              <w:bottom w:val="single" w:sz="12" w:space="0" w:color="000000"/>
            </w:tcBorders>
            <w:shd w:fill="CCEEFF" w:val="clear"/>
            <w:tcMar>
              <w:bottom w:w="28" w:type="dxa"/>
            </w:tcMar>
            <w:vAlign w:val="center"/>
          </w:tcPr>
          <w:p>
            <w:pPr>
              <w:pStyle w:val="TableContents"/>
              <w:spacing w:before="0" w:after="283"/>
              <w:jc w:val="right"/>
              <w:rPr/>
            </w:pPr>
            <w:r>
              <w:rPr/>
              <w:t>34.82</w:t>
            </w:r>
          </w:p>
        </w:tc>
        <w:tc>
          <w:tcPr>
            <w:tcW w:w="305" w:type="dxa"/>
            <w:tcBorders/>
            <w:shd w:fill="CCEEFF" w:val="clear"/>
            <w:vAlign w:val="center"/>
          </w:tcPr>
          <w:p>
            <w:pPr>
              <w:pStyle w:val="TableContents"/>
              <w:spacing w:before="0" w:after="283"/>
              <w:jc w:val="left"/>
              <w:rPr/>
            </w:pPr>
            <w:r>
              <w:rPr/>
              <w:t>%</w:t>
            </w:r>
          </w:p>
        </w:tc>
      </w:tr>
      <w:tr>
        <w:trPr/>
        <w:tc>
          <w:tcPr>
            <w:tcW w:w="3530" w:type="dxa"/>
            <w:tcBorders/>
            <w:shd w:fill="FFFFFF" w:val="clear"/>
            <w:vAlign w:val="center"/>
          </w:tcPr>
          <w:p>
            <w:pPr>
              <w:pStyle w:val="TableContents"/>
              <w:spacing w:before="0" w:after="283"/>
              <w:jc w:val="left"/>
              <w:rPr/>
            </w:pPr>
            <w:r>
              <w:rPr/>
              <w:t>Effective income tax rate</w:t>
            </w:r>
          </w:p>
        </w:tc>
        <w:tc>
          <w:tcPr>
            <w:tcW w:w="60" w:type="dxa"/>
            <w:tcBorders/>
            <w:shd w:fill="FFFFFF" w:val="clear"/>
            <w:vAlign w:val="center"/>
          </w:tcPr>
          <w:p>
            <w:pPr>
              <w:pStyle w:val="TableContents"/>
              <w:spacing w:before="0" w:after="283"/>
              <w:rPr/>
            </w:pPr>
            <w:r>
              <w:rPr/>
              <w:t> </w:t>
            </w:r>
          </w:p>
        </w:tc>
        <w:tc>
          <w:tcPr>
            <w:tcW w:w="161"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733" w:type="dxa"/>
            <w:tcBorders>
              <w:bottom w:val="double" w:sz="6" w:space="0" w:color="000000"/>
            </w:tcBorders>
            <w:shd w:fill="FFFFFF" w:val="clear"/>
            <w:tcMar>
              <w:bottom w:w="28" w:type="dxa"/>
            </w:tcMar>
            <w:vAlign w:val="center"/>
          </w:tcPr>
          <w:p>
            <w:pPr>
              <w:pStyle w:val="TableContents"/>
              <w:spacing w:before="0" w:after="283"/>
              <w:jc w:val="right"/>
              <w:rPr/>
            </w:pPr>
            <w:r>
              <w:rPr/>
              <w:t>(0.44</w:t>
            </w:r>
          </w:p>
        </w:tc>
        <w:tc>
          <w:tcPr>
            <w:tcW w:w="290"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61"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733" w:type="dxa"/>
            <w:tcBorders>
              <w:bottom w:val="double" w:sz="6" w:space="0" w:color="000000"/>
            </w:tcBorders>
            <w:shd w:fill="FFFFFF" w:val="clear"/>
            <w:tcMar>
              <w:bottom w:w="28" w:type="dxa"/>
            </w:tcMar>
            <w:vAlign w:val="center"/>
          </w:tcPr>
          <w:p>
            <w:pPr>
              <w:pStyle w:val="TableContents"/>
              <w:spacing w:before="0" w:after="283"/>
              <w:jc w:val="right"/>
              <w:rPr/>
            </w:pPr>
            <w:r>
              <w:rPr/>
              <w:t>7.27</w:t>
            </w:r>
          </w:p>
        </w:tc>
        <w:tc>
          <w:tcPr>
            <w:tcW w:w="305" w:type="dxa"/>
            <w:tcBorders/>
            <w:shd w:fill="FFFFFF" w:val="cle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pStyle w:val="TextBody"/>
        <w:jc w:val="both"/>
        <w:rPr>
          <w:caps w:val="false"/>
          <w:smallCaps w:val="false"/>
        </w:rPr>
      </w:pPr>
      <w:r>
        <w:rPr>
          <w:caps w:val="false"/>
          <w:smallCaps w:val="false"/>
        </w:rPr>
        <w:t> </w:t>
      </w:r>
    </w:p>
    <w:tbl>
      <w:tblPr>
        <w:tblW w:w="8628" w:type="dxa"/>
        <w:jc w:val="left"/>
        <w:tblInd w:w="0" w:type="dxa"/>
        <w:tblCellMar>
          <w:top w:w="0" w:type="dxa"/>
          <w:left w:w="0" w:type="dxa"/>
          <w:bottom w:w="0" w:type="dxa"/>
          <w:right w:w="0" w:type="dxa"/>
        </w:tblCellMar>
      </w:tblPr>
      <w:tblGrid>
        <w:gridCol w:w="4115"/>
        <w:gridCol w:w="60"/>
        <w:gridCol w:w="295"/>
        <w:gridCol w:w="1599"/>
        <w:gridCol w:w="95"/>
        <w:gridCol w:w="60"/>
        <w:gridCol w:w="295"/>
        <w:gridCol w:w="1599"/>
        <w:gridCol w:w="510"/>
      </w:tblGrid>
      <w:tr>
        <w:trPr/>
        <w:tc>
          <w:tcPr>
            <w:tcW w:w="41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2018</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pPr>
            <w:r>
              <w:rPr/>
              <w:t>December 31, 2017</w:t>
            </w:r>
          </w:p>
        </w:tc>
        <w:tc>
          <w:tcPr>
            <w:tcW w:w="510" w:type="dxa"/>
            <w:tcBorders/>
            <w:shd w:fill="auto" w:val="clear"/>
            <w:vAlign w:val="center"/>
          </w:tcPr>
          <w:p>
            <w:pPr>
              <w:pStyle w:val="TableContents"/>
              <w:spacing w:before="0" w:after="283"/>
              <w:rPr/>
            </w:pPr>
            <w:r>
              <w:rPr/>
              <w:t> </w:t>
            </w:r>
          </w:p>
        </w:tc>
      </w:tr>
      <w:tr>
        <w:trPr/>
        <w:tc>
          <w:tcPr>
            <w:tcW w:w="4115" w:type="dxa"/>
            <w:tcBorders/>
            <w:shd w:fill="CCEEFF" w:val="clear"/>
            <w:vAlign w:val="center"/>
          </w:tcPr>
          <w:p>
            <w:pPr>
              <w:pStyle w:val="TableContents"/>
              <w:spacing w:before="0" w:after="283"/>
              <w:jc w:val="left"/>
              <w:rPr/>
            </w:pPr>
            <w:r>
              <w:rPr/>
              <w:t>Deferred tax assets (liabilities):</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 </w:t>
            </w:r>
          </w:p>
        </w:tc>
        <w:tc>
          <w:tcPr>
            <w:tcW w:w="510" w:type="dxa"/>
            <w:tcBorders/>
            <w:shd w:fill="CCEEFF" w:val="clear"/>
            <w:vAlign w:val="center"/>
          </w:tcPr>
          <w:p>
            <w:pPr>
              <w:pStyle w:val="TableContents"/>
              <w:spacing w:before="0" w:after="283"/>
              <w:ind w:left="0" w:right="0" w:firstLine="200"/>
              <w:jc w:val="left"/>
              <w:rPr/>
            </w:pPr>
            <w:r>
              <w:rPr/>
              <w:t> </w:t>
            </w:r>
          </w:p>
        </w:tc>
      </w:tr>
      <w:tr>
        <w:trPr/>
        <w:tc>
          <w:tcPr>
            <w:tcW w:w="4115" w:type="dxa"/>
            <w:tcBorders/>
            <w:shd w:fill="FFFFFF" w:val="clear"/>
            <w:vAlign w:val="center"/>
          </w:tcPr>
          <w:p>
            <w:pPr>
              <w:pStyle w:val="TableContents"/>
              <w:spacing w:before="0" w:after="283"/>
              <w:rPr/>
            </w:pPr>
            <w:r>
              <w:rPr/>
              <w:t>NOL’s</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w:t>
            </w:r>
          </w:p>
        </w:tc>
        <w:tc>
          <w:tcPr>
            <w:tcW w:w="1599" w:type="dxa"/>
            <w:tcBorders/>
            <w:shd w:fill="FFFFFF" w:val="clear"/>
            <w:vAlign w:val="center"/>
          </w:tcPr>
          <w:p>
            <w:pPr>
              <w:pStyle w:val="TableContents"/>
              <w:spacing w:before="0" w:after="283"/>
              <w:jc w:val="right"/>
              <w:rPr/>
            </w:pPr>
            <w:r>
              <w:rPr/>
              <w:t>19,726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w:t>
            </w:r>
          </w:p>
        </w:tc>
        <w:tc>
          <w:tcPr>
            <w:tcW w:w="1599" w:type="dxa"/>
            <w:tcBorders/>
            <w:shd w:fill="FFFFFF" w:val="clear"/>
            <w:vAlign w:val="center"/>
          </w:tcPr>
          <w:p>
            <w:pPr>
              <w:pStyle w:val="TableContents"/>
              <w:spacing w:before="0" w:after="283"/>
              <w:jc w:val="right"/>
              <w:rPr/>
            </w:pPr>
            <w:r>
              <w:rPr/>
              <w:t>17,405</w:t>
            </w:r>
          </w:p>
        </w:tc>
        <w:tc>
          <w:tcPr>
            <w:tcW w:w="510" w:type="dxa"/>
            <w:tcBorders/>
            <w:shd w:fill="FFFFFF" w:val="clear"/>
            <w:vAlign w:val="center"/>
          </w:tcPr>
          <w:p>
            <w:pPr>
              <w:pStyle w:val="TableContents"/>
              <w:spacing w:before="0" w:after="283"/>
              <w:ind w:left="0" w:right="0" w:firstLine="200"/>
              <w:jc w:val="left"/>
              <w:rPr/>
            </w:pPr>
            <w:r>
              <w:rPr/>
              <w:t> </w:t>
            </w:r>
          </w:p>
        </w:tc>
      </w:tr>
      <w:tr>
        <w:trPr/>
        <w:tc>
          <w:tcPr>
            <w:tcW w:w="4115"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30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58</w:t>
            </w:r>
          </w:p>
        </w:tc>
        <w:tc>
          <w:tcPr>
            <w:tcW w:w="510" w:type="dxa"/>
            <w:tcBorders/>
            <w:shd w:fill="CCEEFF" w:val="clear"/>
            <w:vAlign w:val="center"/>
          </w:tcPr>
          <w:p>
            <w:pPr>
              <w:pStyle w:val="TableContents"/>
              <w:spacing w:before="0" w:after="283"/>
              <w:ind w:left="0" w:right="0" w:firstLine="200"/>
              <w:jc w:val="left"/>
              <w:rPr/>
            </w:pPr>
            <w:r>
              <w:rPr/>
              <w:t> </w:t>
            </w:r>
          </w:p>
        </w:tc>
      </w:tr>
      <w:tr>
        <w:trPr/>
        <w:tc>
          <w:tcPr>
            <w:tcW w:w="4115" w:type="dxa"/>
            <w:tcBorders/>
            <w:shd w:fill="FFFFFF" w:val="clear"/>
            <w:vAlign w:val="center"/>
          </w:tcPr>
          <w:p>
            <w:pPr>
              <w:pStyle w:val="TableContents"/>
              <w:spacing w:before="0" w:after="283"/>
              <w:rPr/>
            </w:pPr>
            <w:r>
              <w:rPr/>
              <w:t>Other</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602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351</w:t>
            </w:r>
          </w:p>
        </w:tc>
        <w:tc>
          <w:tcPr>
            <w:tcW w:w="510" w:type="dxa"/>
            <w:tcBorders/>
            <w:shd w:fill="FFFFFF" w:val="clear"/>
            <w:vAlign w:val="center"/>
          </w:tcPr>
          <w:p>
            <w:pPr>
              <w:pStyle w:val="TableContents"/>
              <w:spacing w:before="0" w:after="283"/>
              <w:ind w:left="0" w:right="0" w:firstLine="200"/>
              <w:jc w:val="left"/>
              <w:rPr/>
            </w:pPr>
            <w:r>
              <w:rPr/>
              <w:t> </w:t>
            </w:r>
          </w:p>
        </w:tc>
      </w:tr>
      <w:tr>
        <w:trPr/>
        <w:tc>
          <w:tcPr>
            <w:tcW w:w="4115" w:type="dxa"/>
            <w:tcBorders/>
            <w:shd w:fill="CCEEFF" w:val="clear"/>
            <w:vAlign w:val="center"/>
          </w:tcPr>
          <w:p>
            <w:pPr>
              <w:pStyle w:val="TableContents"/>
              <w:spacing w:before="0" w:after="283"/>
              <w:jc w:val="left"/>
              <w:rPr/>
            </w:pPr>
            <w:r>
              <w:rPr/>
              <w:t>Research &amp; development credits</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617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596</w:t>
            </w:r>
          </w:p>
        </w:tc>
        <w:tc>
          <w:tcPr>
            <w:tcW w:w="510" w:type="dxa"/>
            <w:tcBorders/>
            <w:shd w:fill="CCEEFF" w:val="clear"/>
            <w:vAlign w:val="center"/>
          </w:tcPr>
          <w:p>
            <w:pPr>
              <w:pStyle w:val="TableContents"/>
              <w:spacing w:before="0" w:after="283"/>
              <w:ind w:left="0" w:right="0" w:firstLine="200"/>
              <w:jc w:val="left"/>
              <w:rPr/>
            </w:pPr>
            <w:r>
              <w:rPr/>
              <w:t> </w:t>
            </w:r>
          </w:p>
        </w:tc>
      </w:tr>
      <w:tr>
        <w:trPr/>
        <w:tc>
          <w:tcPr>
            <w:tcW w:w="4115" w:type="dxa"/>
            <w:tcBorders/>
            <w:shd w:fill="FFFFFF" w:val="clear"/>
            <w:vAlign w:val="center"/>
          </w:tcPr>
          <w:p>
            <w:pPr>
              <w:pStyle w:val="TableContents"/>
              <w:spacing w:before="0" w:after="283"/>
              <w:jc w:val="left"/>
              <w:rPr/>
            </w:pPr>
            <w:r>
              <w:rPr/>
              <w:t>Deferred stock compensation</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3,036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2,534</w:t>
            </w:r>
          </w:p>
        </w:tc>
        <w:tc>
          <w:tcPr>
            <w:tcW w:w="510" w:type="dxa"/>
            <w:tcBorders/>
            <w:shd w:fill="FFFFFF" w:val="clear"/>
            <w:vAlign w:val="center"/>
          </w:tcPr>
          <w:p>
            <w:pPr>
              <w:pStyle w:val="TableContents"/>
              <w:spacing w:before="0" w:after="283"/>
              <w:ind w:left="0" w:right="0" w:firstLine="200"/>
              <w:jc w:val="left"/>
              <w:rPr/>
            </w:pPr>
            <w:r>
              <w:rPr/>
              <w:t> </w:t>
            </w:r>
          </w:p>
        </w:tc>
      </w:tr>
      <w:tr>
        <w:trPr/>
        <w:tc>
          <w:tcPr>
            <w:tcW w:w="4115" w:type="dxa"/>
            <w:tcBorders/>
            <w:shd w:fill="CCEEFF" w:val="clear"/>
            <w:vAlign w:val="center"/>
          </w:tcPr>
          <w:p>
            <w:pPr>
              <w:pStyle w:val="TableContents"/>
              <w:spacing w:before="0" w:after="283"/>
              <w:jc w:val="left"/>
              <w:rPr/>
            </w:pPr>
            <w:r>
              <w:rPr/>
              <w:t>Basis Difference in Surface</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(1,464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pPr>
            <w:r>
              <w:rPr/>
              <w:t> </w:t>
            </w:r>
          </w:p>
        </w:tc>
        <w:tc>
          <w:tcPr>
            <w:tcW w:w="1599" w:type="dxa"/>
            <w:tcBorders/>
            <w:shd w:fill="CCEEFF" w:val="clear"/>
            <w:vAlign w:val="center"/>
          </w:tcPr>
          <w:p>
            <w:pPr>
              <w:pStyle w:val="TableContents"/>
              <w:spacing w:before="0" w:after="283"/>
              <w:jc w:val="right"/>
              <w:rPr/>
            </w:pPr>
            <w:r>
              <w:rPr/>
              <w:t>-</w:t>
            </w:r>
          </w:p>
        </w:tc>
        <w:tc>
          <w:tcPr>
            <w:tcW w:w="510" w:type="dxa"/>
            <w:tcBorders/>
            <w:shd w:fill="CCEEFF" w:val="clear"/>
            <w:vAlign w:val="center"/>
          </w:tcPr>
          <w:p>
            <w:pPr>
              <w:pStyle w:val="TableContents"/>
              <w:spacing w:before="0" w:after="283"/>
              <w:ind w:left="0" w:right="0" w:firstLine="200"/>
              <w:jc w:val="left"/>
              <w:rPr/>
            </w:pPr>
            <w:r>
              <w:rPr/>
              <w:t> </w:t>
            </w:r>
          </w:p>
        </w:tc>
      </w:tr>
      <w:tr>
        <w:trPr/>
        <w:tc>
          <w:tcPr>
            <w:tcW w:w="4115" w:type="dxa"/>
            <w:tcBorders/>
            <w:shd w:fill="FFFFFF" w:val="clear"/>
            <w:vAlign w:val="center"/>
          </w:tcPr>
          <w:p>
            <w:pPr>
              <w:pStyle w:val="TableContents"/>
              <w:spacing w:before="0" w:after="283"/>
              <w:jc w:val="left"/>
              <w:rPr/>
            </w:pPr>
            <w:r>
              <w:rPr/>
              <w:t>Basis Difference in Eton</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(6,340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(985</w:t>
            </w:r>
          </w:p>
        </w:tc>
        <w:tc>
          <w:tcPr>
            <w:tcW w:w="510" w:type="dxa"/>
            <w:tcBorders/>
            <w:shd w:fill="FFFFFF" w:val="clear"/>
            <w:vAlign w:val="center"/>
          </w:tcPr>
          <w:p>
            <w:pPr>
              <w:pStyle w:val="TableContents"/>
              <w:spacing w:before="0" w:after="283"/>
              <w:ind w:left="0" w:right="0" w:firstLine="200"/>
              <w:jc w:val="left"/>
              <w:rPr/>
            </w:pPr>
            <w:r>
              <w:rPr/>
              <w:t>)</w:t>
            </w:r>
          </w:p>
        </w:tc>
      </w:tr>
      <w:tr>
        <w:trPr/>
        <w:tc>
          <w:tcPr>
            <w:tcW w:w="4115" w:type="dxa"/>
            <w:tcBorders/>
            <w:shd w:fill="CCEEFF" w:val="clear"/>
            <w:vAlign w:val="center"/>
          </w:tcPr>
          <w:p>
            <w:pPr>
              <w:pStyle w:val="TableContents"/>
              <w:spacing w:before="0" w:after="283"/>
              <w:jc w:val="left"/>
              <w:rPr/>
            </w:pPr>
            <w:r>
              <w:rPr/>
              <w:t>Park stock purchase identifiable intangibles</w:t>
            </w:r>
          </w:p>
        </w:tc>
        <w:tc>
          <w:tcPr>
            <w:tcW w:w="60" w:type="dxa"/>
            <w:tcBorders/>
            <w:shd w:fill="CCEEFF" w:val="clear"/>
            <w:vAlign w:val="center"/>
          </w:tcPr>
          <w:p>
            <w:pPr>
              <w:pStyle w:val="TableContents"/>
              <w:spacing w:before="0" w:after="283"/>
              <w:rPr/>
            </w:pPr>
            <w:r>
              <w:rPr/>
              <w:t> </w:t>
            </w:r>
          </w:p>
        </w:tc>
        <w:tc>
          <w:tcPr>
            <w:tcW w:w="29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9" w:type="dxa"/>
            <w:tcBorders>
              <w:bottom w:val="single" w:sz="12" w:space="0" w:color="000000"/>
            </w:tcBorders>
            <w:shd w:fill="CCEEFF" w:val="clear"/>
            <w:tcMar>
              <w:bottom w:w="28" w:type="dxa"/>
            </w:tcMar>
            <w:vAlign w:val="center"/>
          </w:tcPr>
          <w:p>
            <w:pPr>
              <w:pStyle w:val="TableContents"/>
              <w:spacing w:before="0" w:after="283"/>
              <w:jc w:val="right"/>
              <w:rPr/>
            </w:pPr>
            <w:r>
              <w:rPr/>
              <w:t>(484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9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9" w:type="dxa"/>
            <w:tcBorders>
              <w:bottom w:val="single" w:sz="12" w:space="0" w:color="000000"/>
            </w:tcBorders>
            <w:shd w:fill="CCEEFF" w:val="clear"/>
            <w:tcMar>
              <w:bottom w:w="28" w:type="dxa"/>
            </w:tcMar>
            <w:vAlign w:val="center"/>
          </w:tcPr>
          <w:p>
            <w:pPr>
              <w:pStyle w:val="TableContents"/>
              <w:spacing w:before="0" w:after="283"/>
              <w:jc w:val="right"/>
              <w:rPr/>
            </w:pPr>
            <w:r>
              <w:rPr/>
              <w:t>(501</w:t>
            </w:r>
          </w:p>
        </w:tc>
        <w:tc>
          <w:tcPr>
            <w:tcW w:w="510" w:type="dxa"/>
            <w:tcBorders/>
            <w:shd w:fill="CCEEFF" w:val="clear"/>
            <w:vAlign w:val="center"/>
          </w:tcPr>
          <w:p>
            <w:pPr>
              <w:pStyle w:val="TableContents"/>
              <w:spacing w:before="0" w:after="283"/>
              <w:ind w:left="0" w:right="0" w:firstLine="400"/>
              <w:jc w:val="left"/>
              <w:rPr/>
            </w:pPr>
            <w:r>
              <w:rPr/>
              <w:t>)</w:t>
            </w:r>
          </w:p>
        </w:tc>
      </w:tr>
      <w:tr>
        <w:trPr/>
        <w:tc>
          <w:tcPr>
            <w:tcW w:w="4115" w:type="dxa"/>
            <w:tcBorders/>
            <w:shd w:fill="FFFFFF" w:val="clear"/>
            <w:vAlign w:val="center"/>
          </w:tcPr>
          <w:p>
            <w:pPr>
              <w:pStyle w:val="TableContents"/>
              <w:spacing w:before="0" w:after="283"/>
              <w:jc w:val="left"/>
              <w:rPr/>
            </w:pPr>
            <w:r>
              <w:rPr/>
              <w:t>Total deferred tax assets, net</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15,723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jc w:val="left"/>
              <w:rPr/>
            </w:pPr>
            <w:r>
              <w:rPr/>
              <w:t> </w:t>
            </w:r>
          </w:p>
        </w:tc>
        <w:tc>
          <w:tcPr>
            <w:tcW w:w="1599" w:type="dxa"/>
            <w:tcBorders/>
            <w:shd w:fill="FFFFFF" w:val="clear"/>
            <w:vAlign w:val="center"/>
          </w:tcPr>
          <w:p>
            <w:pPr>
              <w:pStyle w:val="TableContents"/>
              <w:spacing w:before="0" w:after="283"/>
              <w:jc w:val="right"/>
              <w:rPr/>
            </w:pPr>
            <w:r>
              <w:rPr/>
              <w:t>19,457</w:t>
            </w:r>
          </w:p>
        </w:tc>
        <w:tc>
          <w:tcPr>
            <w:tcW w:w="510" w:type="dxa"/>
            <w:tcBorders/>
            <w:shd w:fill="FFFFFF" w:val="clear"/>
            <w:vAlign w:val="center"/>
          </w:tcPr>
          <w:p>
            <w:pPr>
              <w:pStyle w:val="TableContents"/>
              <w:spacing w:before="0" w:after="283"/>
              <w:ind w:left="0" w:right="0" w:hanging="0"/>
              <w:jc w:val="left"/>
              <w:rPr/>
            </w:pPr>
            <w:r>
              <w:rPr/>
              <w:t> </w:t>
            </w:r>
          </w:p>
        </w:tc>
      </w:tr>
      <w:tr>
        <w:trPr/>
        <w:tc>
          <w:tcPr>
            <w:tcW w:w="4115" w:type="dxa"/>
            <w:tcBorders/>
            <w:shd w:fill="CCEEFF" w:val="clear"/>
            <w:vAlign w:val="center"/>
          </w:tcPr>
          <w:p>
            <w:pPr>
              <w:pStyle w:val="TableContents"/>
              <w:spacing w:before="0" w:after="283"/>
              <w:jc w:val="left"/>
              <w:rPr/>
            </w:pPr>
            <w:r>
              <w:rPr/>
              <w:t>Valuation allowance</w:t>
            </w:r>
          </w:p>
        </w:tc>
        <w:tc>
          <w:tcPr>
            <w:tcW w:w="60" w:type="dxa"/>
            <w:tcBorders/>
            <w:shd w:fill="CCEEFF" w:val="clear"/>
            <w:vAlign w:val="center"/>
          </w:tcPr>
          <w:p>
            <w:pPr>
              <w:pStyle w:val="TableContents"/>
              <w:spacing w:before="0" w:after="283"/>
              <w:rPr/>
            </w:pPr>
            <w:r>
              <w:rPr/>
              <w:t> </w:t>
            </w:r>
          </w:p>
        </w:tc>
        <w:tc>
          <w:tcPr>
            <w:tcW w:w="29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9" w:type="dxa"/>
            <w:tcBorders>
              <w:bottom w:val="single" w:sz="12" w:space="0" w:color="000000"/>
            </w:tcBorders>
            <w:shd w:fill="CCEEFF" w:val="clear"/>
            <w:tcMar>
              <w:bottom w:w="28" w:type="dxa"/>
            </w:tcMar>
            <w:vAlign w:val="center"/>
          </w:tcPr>
          <w:p>
            <w:pPr>
              <w:pStyle w:val="TableContents"/>
              <w:spacing w:before="0" w:after="283"/>
              <w:jc w:val="right"/>
              <w:rPr/>
            </w:pPr>
            <w:r>
              <w:rPr/>
              <w:t>(15,723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9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99" w:type="dxa"/>
            <w:tcBorders>
              <w:bottom w:val="single" w:sz="12" w:space="0" w:color="000000"/>
            </w:tcBorders>
            <w:shd w:fill="CCEEFF" w:val="clear"/>
            <w:tcMar>
              <w:bottom w:w="28" w:type="dxa"/>
            </w:tcMar>
            <w:vAlign w:val="center"/>
          </w:tcPr>
          <w:p>
            <w:pPr>
              <w:pStyle w:val="TableContents"/>
              <w:spacing w:before="0" w:after="283"/>
              <w:jc w:val="right"/>
              <w:rPr/>
            </w:pPr>
            <w:r>
              <w:rPr/>
              <w:t>(19,457</w:t>
            </w:r>
          </w:p>
        </w:tc>
        <w:tc>
          <w:tcPr>
            <w:tcW w:w="510" w:type="dxa"/>
            <w:tcBorders/>
            <w:shd w:fill="CCEEFF" w:val="clear"/>
            <w:vAlign w:val="center"/>
          </w:tcPr>
          <w:p>
            <w:pPr>
              <w:pStyle w:val="TableContents"/>
              <w:spacing w:before="0" w:after="283"/>
              <w:ind w:left="0" w:right="0" w:hanging="0"/>
              <w:jc w:val="left"/>
              <w:rPr/>
            </w:pPr>
            <w:r>
              <w:rPr/>
              <w:t>)</w:t>
            </w:r>
          </w:p>
        </w:tc>
      </w:tr>
      <w:tr>
        <w:trPr/>
        <w:tc>
          <w:tcPr>
            <w:tcW w:w="4115" w:type="dxa"/>
            <w:tcBorders/>
            <w:shd w:fill="FFFFFF" w:val="clear"/>
            <w:vAlign w:val="center"/>
          </w:tcPr>
          <w:p>
            <w:pPr>
              <w:pStyle w:val="TableContents"/>
              <w:spacing w:before="0" w:after="283"/>
              <w:jc w:val="left"/>
              <w:rPr/>
            </w:pPr>
            <w:r>
              <w:rPr/>
              <w:t>Net deferred tax liabilities</w:t>
            </w:r>
          </w:p>
        </w:tc>
        <w:tc>
          <w:tcPr>
            <w:tcW w:w="60" w:type="dxa"/>
            <w:tcBorders/>
            <w:shd w:fill="FFFFFF" w:val="clear"/>
            <w:vAlign w:val="center"/>
          </w:tcPr>
          <w:p>
            <w:pPr>
              <w:pStyle w:val="TableContents"/>
              <w:spacing w:before="0" w:after="283"/>
              <w:rPr/>
            </w:pPr>
            <w:r>
              <w:rPr/>
              <w:t> </w:t>
            </w:r>
          </w:p>
        </w:tc>
        <w:tc>
          <w:tcPr>
            <w:tcW w:w="295"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599"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5"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599"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510"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Realization of deferred tax assets is dependent upon future earnings, if any, the timing and amount of which are uncertain. Accordingly, the net deferred tax assets have been fully offset by a valuation allowance. The valuation allowance decreased by approximately $3,700 and increased by approximately $7,100 during 2018 and 2017,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December 31, 2018, the Company had net operating loss carryforwards for federal income tax purposes of approximately $67,463 and federal research and development tax credits of approximately $375. Under new tax law, federal NOLs can be carried forward indefinitely. The federal research credits will expire beginning in the year 2026. As of December 31, 2018, the Company had net operating loss carryforwards for state income tax purposes of approximately $64,629 which expire beginning in the year 2017 and state research and development tax credits of approximately $305 which do not expire.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March 2016, the FASB issued ASU 2016-09, </w:t>
      </w:r>
      <w:r>
        <w:rPr>
          <w:rFonts w:ascii="Times New Roman;Times;Serif" w:hAnsi="Times New Roman;Times;Serif"/>
          <w:b w:val="false"/>
          <w:i/>
          <w:caps w:val="false"/>
          <w:smallCaps w:val="false"/>
          <w:sz w:val="17"/>
        </w:rPr>
        <w:t>Improvement to Employee Share – Based Payment Accounting</w:t>
      </w:r>
      <w:r>
        <w:rPr>
          <w:rFonts w:ascii="Times New Roman;Times;Serif" w:hAnsi="Times New Roman;Times;Serif"/>
          <w:b w:val="false"/>
          <w:i w:val="false"/>
          <w:caps w:val="false"/>
          <w:smallCaps w:val="false"/>
          <w:sz w:val="17"/>
        </w:rPr>
        <w:t>. The new standard contains several amendments that will simplify the accounting for employee share-based payment transactions. The changes in the new standard eliminate the accounting for excess tax benefits to be recognized in additional paid-in capital and tax deficiencies recognized either in income tax provision or in additional paid-in capital. The Company’s deferred tax asset at December 31, 2018 did not include any excess tax benefits from employee stock option exercises, which are a component of the federal and state net operating loss carryforwards and on a go forward basis the excess tax benefits will be recognized as a component of income tax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Utilization of the net operating losses may be subject to substantial annual limitation due to federal and state ownership change limitations provided by the Internal Revenue Code and similar state provisions. Such annual limitations could result in the expiration of the net operating losses ad credits before their utilization.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In June 2006, the FASB issued interpretation ASC 740-10-50, </w:t>
      </w:r>
      <w:r>
        <w:rPr>
          <w:rFonts w:ascii="Times New Roman;Times;Serif" w:hAnsi="Times New Roman;Times;Serif"/>
          <w:b w:val="false"/>
          <w:i/>
          <w:caps w:val="false"/>
          <w:smallCaps w:val="false"/>
          <w:sz w:val="17"/>
        </w:rPr>
        <w:t>Accounting for Uncertainty in Income Tax</w:t>
      </w:r>
      <w:r>
        <w:rPr>
          <w:rFonts w:ascii="Times New Roman;Times;Serif" w:hAnsi="Times New Roman;Times;Serif"/>
          <w:b w:val="false"/>
          <w:i w:val="false"/>
          <w:caps w:val="false"/>
          <w:smallCaps w:val="false"/>
          <w:sz w:val="17"/>
        </w:rPr>
        <w:t xml:space="preserve">. This pronouncement clarifies the accounting for uncertainty in income taxes recognized in an enterprise’s financial statements in accordance with ASC 740-10-50, </w:t>
      </w:r>
      <w:r>
        <w:rPr>
          <w:rFonts w:ascii="Times New Roman;Times;Serif" w:hAnsi="Times New Roman;Times;Serif"/>
          <w:b w:val="false"/>
          <w:i/>
          <w:caps w:val="false"/>
          <w:smallCaps w:val="false"/>
          <w:sz w:val="17"/>
        </w:rPr>
        <w:t>Accounting for Income Taxes</w:t>
      </w:r>
      <w:r>
        <w:rPr>
          <w:rFonts w:ascii="Times New Roman;Times;Serif" w:hAnsi="Times New Roman;Times;Serif"/>
          <w:b w:val="false"/>
          <w:i w:val="false"/>
          <w:caps w:val="false"/>
          <w:smallCaps w:val="false"/>
          <w:sz w:val="17"/>
        </w:rPr>
        <w:t>. This interpretation prescribes a recognition threshold and measurement attribute for the financial statement recognition and measurement of a tax position taken or expected to be taken in the tax return. ASC 740 also provides guidance on derecognition of tax benefits, classification on the balance sheet, interest and penalties, accounting in interim periods, disclosure and transaction. The Company adopted ASC 740-10-50 effective January 1, 2009. In accordance with ASC 740-10-50, the Company is classifying interest and penalties as a component of tax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did not have any unrecognized tax benefits as of December 31, 2018 and 2017, all of which is offset by a full valuation allowance. These unrecognized tax benefits, if recognized, would not affect the effective tax rate. There was no interest or penalties accrued at the adoption date and at December 31, 2017.</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reconciliation of the change in the UTB balance from January 1, 2018 to December 31, 2017 is as follows:</w:t>
      </w:r>
    </w:p>
    <w:p>
      <w:pPr>
        <w:pStyle w:val="TextBody"/>
        <w:jc w:val="both"/>
        <w:rPr>
          <w:caps w:val="false"/>
          <w:smallCaps w:val="false"/>
        </w:rPr>
      </w:pPr>
      <w:r>
        <w:rPr>
          <w:caps w:val="false"/>
          <w:smallCaps w:val="false"/>
        </w:rPr>
        <w:t> </w:t>
      </w:r>
    </w:p>
    <w:tbl>
      <w:tblPr>
        <w:tblW w:w="7230" w:type="dxa"/>
        <w:jc w:val="left"/>
        <w:tblInd w:w="0" w:type="dxa"/>
        <w:tblCellMar>
          <w:top w:w="0" w:type="dxa"/>
          <w:left w:w="0" w:type="dxa"/>
          <w:bottom w:w="0" w:type="dxa"/>
          <w:right w:w="0" w:type="dxa"/>
        </w:tblCellMar>
      </w:tblPr>
      <w:tblGrid>
        <w:gridCol w:w="5735"/>
        <w:gridCol w:w="60"/>
        <w:gridCol w:w="140"/>
        <w:gridCol w:w="1220"/>
        <w:gridCol w:w="75"/>
      </w:tblGrid>
      <w:tr>
        <w:trPr/>
        <w:tc>
          <w:tcPr>
            <w:tcW w:w="5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Fed &amp; State Tax</w:t>
            </w:r>
          </w:p>
        </w:tc>
        <w:tc>
          <w:tcPr>
            <w:tcW w:w="75" w:type="dxa"/>
            <w:tcBorders/>
            <w:shd w:fill="auto" w:val="clear"/>
            <w:vAlign w:val="center"/>
          </w:tcPr>
          <w:p>
            <w:pPr>
              <w:pStyle w:val="TableContents"/>
              <w:spacing w:before="0" w:after="283"/>
              <w:jc w:val="left"/>
              <w:rPr/>
            </w:pPr>
            <w:r>
              <w:rPr/>
              <w:t> </w:t>
            </w:r>
          </w:p>
        </w:tc>
      </w:tr>
      <w:tr>
        <w:trPr/>
        <w:tc>
          <w:tcPr>
            <w:tcW w:w="5735" w:type="dxa"/>
            <w:tcBorders/>
            <w:shd w:fill="CCEEFF" w:val="clear"/>
            <w:vAlign w:val="center"/>
          </w:tcPr>
          <w:p>
            <w:pPr>
              <w:pStyle w:val="TableContents"/>
              <w:spacing w:before="0" w:after="283"/>
              <w:rPr/>
            </w:pPr>
            <w:r>
              <w:rPr/>
              <w:t>Balance at January 1, 2018</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5735" w:type="dxa"/>
            <w:tcBorders/>
            <w:shd w:fill="FFFFFF" w:val="clear"/>
            <w:vAlign w:val="center"/>
          </w:tcPr>
          <w:p>
            <w:pPr>
              <w:pStyle w:val="TableContents"/>
              <w:spacing w:before="0" w:after="283"/>
              <w:jc w:val="left"/>
              <w:rPr/>
            </w:pPr>
            <w:r>
              <w:rPr/>
              <w:t>Additions for tax positions related to current year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5735" w:type="dxa"/>
            <w:tcBorders/>
            <w:shd w:fill="CCEEFF" w:val="clear"/>
            <w:vAlign w:val="center"/>
          </w:tcPr>
          <w:p>
            <w:pPr>
              <w:pStyle w:val="TableContents"/>
              <w:spacing w:before="0" w:after="283"/>
              <w:jc w:val="left"/>
              <w:rPr/>
            </w:pPr>
            <w:r>
              <w:rPr/>
              <w:t>Additions/(reductions) for tax positions related to prior years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5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735" w:type="dxa"/>
            <w:tcBorders/>
            <w:shd w:fill="CCEEFF" w:val="clear"/>
            <w:vAlign w:val="center"/>
          </w:tcPr>
          <w:p>
            <w:pPr>
              <w:pStyle w:val="TableContents"/>
              <w:spacing w:before="0" w:after="283"/>
              <w:rPr/>
            </w:pPr>
            <w:r>
              <w:rPr/>
              <w:t>Balance at December 31, 2018</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57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735" w:type="dxa"/>
            <w:tcBorders/>
            <w:shd w:fill="CCEEFF" w:val="clear"/>
            <w:vAlign w:val="center"/>
          </w:tcPr>
          <w:p>
            <w:pPr>
              <w:pStyle w:val="TableContents"/>
              <w:spacing w:before="0" w:after="283"/>
              <w:rPr>
                <w:b/>
              </w:rPr>
            </w:pPr>
            <w:r>
              <w:rPr>
                <w:b/>
              </w:rPr>
              <w:t>Total unrecognized tax benefits as of December 31, 2018</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December 27, 2017, the United States Government passed new tax legislation that, among other provisions, will lower the corporate tax rate from 35% to 21%. In addition to applying the new lower corporate tax rate in 2018 and thereafter to any taxable income the Company may have, the legislation affects the way the Company can use and carryforward net operating losses previously accumulated and results in a revaluation of deferred tax assets and liabilities recorded on our consolidated balance sheet. Given the current deferred tax assets are offset by a full valuation allowance, these changes will have no net impact on the consolidated balance sheet. However, when the Company become profitable, it will receive a reduced benefit from such deferred tax assets. The effect of the legislation was a reduction in the deferred tax assets and the corresponding valuation allowance of approximately $8,059.</w:t>
      </w:r>
    </w:p>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17. EMPLOYEE SAVINGS PLAN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$248 and $288 to the plan during the years ended December 31, 2018 and 2017, respectively.</w:t>
      </w:r>
    </w:p>
    <w:p>
      <w:pPr>
        <w:pStyle w:val="TextBody"/>
        <w:ind w:left="1080" w:right="0" w:hanging="1080"/>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18. COMMITMENTS AND CONTINGENCIES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Operating Leases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May 2014, the Company entered into a lease agreement for 7,565 square feet of office space that commenced on September 1, 2014. In May 2017, the Company entered into an amended lease agreement, to lease an additional 2,635 square feet (10,200 square feet in total). Monthly rent following the amendment is $29, with a 3% increase in the base rent amount on an annual basis. The lease agreement allows for the monthly rent amount to be abated for two months at various times during the lease agreement and expires on December 31, 2021, and includes an option to extend the lease through December 31, 2027.</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January 2015, the Company entered into a commercial lease agreement, for the lease to Park of approximately 4,500 square feet of laboratory and office space. The monthly rent amount is $10 and includes annual increases of approximately 3%. The current lease term expires on December 31, 2020 and includes 2 options that allow for the lease term to be extended 10 additional years beyond the stated expiration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February 2015, the Company entered into a lease agreement for approximately 8,600 square feet of laboratory, warehouse and office space in Ledgewood, New Jersey. The Company amended the lease agreement in July 2017, to add approximately 7,000 square feet of additional space and amended the lease agreement again in September 2018, to add approximately 9,400 square feet. The lease term expires on July 31, 2024, and includes 2 options that allow for the lease term to be extended 10 additional years beyond the stated expiration date. The monthly rent amount is $25 and includes annual increases of approximately 3.75%, and the lease allowed for the first five months of rent amounts to be abated.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Rent expense for the years ended December 31, 2018 and 2017 was $725 and $649, respectively. The following represents future annual minimum lease payments, as of December 31, 2018:</w:t>
      </w:r>
    </w:p>
    <w:p>
      <w:pPr>
        <w:pStyle w:val="TextBody"/>
        <w:jc w:val="both"/>
        <w:rPr>
          <w:caps w:val="false"/>
          <w:smallCaps w:val="false"/>
        </w:rPr>
      </w:pPr>
      <w:r>
        <w:rPr>
          <w:caps w:val="false"/>
          <w:smallCaps w:val="false"/>
        </w:rPr>
        <w:t> </w:t>
      </w:r>
    </w:p>
    <w:tbl>
      <w:tblPr>
        <w:tblW w:w="1410" w:type="dxa"/>
        <w:jc w:val="left"/>
        <w:tblInd w:w="0" w:type="dxa"/>
        <w:tblCellMar>
          <w:top w:w="0" w:type="dxa"/>
          <w:left w:w="0" w:type="dxa"/>
          <w:bottom w:w="0" w:type="dxa"/>
          <w:right w:w="0" w:type="dxa"/>
        </w:tblCellMar>
      </w:tblPr>
      <w:tblGrid>
        <w:gridCol w:w="515"/>
        <w:gridCol w:w="60"/>
        <w:gridCol w:w="60"/>
        <w:gridCol w:w="140"/>
        <w:gridCol w:w="560"/>
        <w:gridCol w:w="75"/>
      </w:tblGrid>
      <w:tr>
        <w:trPr/>
        <w:tc>
          <w:tcPr>
            <w:tcW w:w="515" w:type="dxa"/>
            <w:tcBorders/>
            <w:shd w:fill="CCEEFF" w:val="clear"/>
            <w:vAlign w:val="center"/>
          </w:tcPr>
          <w:p>
            <w:pPr>
              <w:pStyle w:val="TableContents"/>
              <w:spacing w:before="0" w:after="283"/>
              <w:jc w:val="left"/>
              <w:rPr/>
            </w:pPr>
            <w:r>
              <w:rPr/>
              <w:t>2019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797</w:t>
            </w:r>
          </w:p>
        </w:tc>
        <w:tc>
          <w:tcPr>
            <w:tcW w:w="75" w:type="dxa"/>
            <w:tcBorders/>
            <w:shd w:fill="CCEEFF" w:val="clear"/>
            <w:vAlign w:val="center"/>
          </w:tcPr>
          <w:p>
            <w:pPr>
              <w:pStyle w:val="TableContents"/>
              <w:spacing w:before="0" w:after="283"/>
              <w:jc w:val="left"/>
              <w:rPr/>
            </w:pPr>
            <w:r>
              <w:rPr/>
              <w:t> </w:t>
            </w:r>
          </w:p>
        </w:tc>
      </w:tr>
      <w:tr>
        <w:trPr/>
        <w:tc>
          <w:tcPr>
            <w:tcW w:w="515" w:type="dxa"/>
            <w:tcBorders/>
            <w:shd w:fill="FFFFFF" w:val="clear"/>
            <w:vAlign w:val="center"/>
          </w:tcPr>
          <w:p>
            <w:pPr>
              <w:pStyle w:val="TableContents"/>
              <w:spacing w:before="0" w:after="283"/>
              <w:jc w:val="left"/>
              <w:rPr/>
            </w:pPr>
            <w:r>
              <w:rPr/>
              <w:t>2020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857</w:t>
            </w:r>
          </w:p>
        </w:tc>
        <w:tc>
          <w:tcPr>
            <w:tcW w:w="75" w:type="dxa"/>
            <w:tcBorders/>
            <w:shd w:fill="FFFFFF" w:val="clear"/>
            <w:vAlign w:val="center"/>
          </w:tcPr>
          <w:p>
            <w:pPr>
              <w:pStyle w:val="TableContents"/>
              <w:spacing w:before="0" w:after="283"/>
              <w:jc w:val="left"/>
              <w:rPr/>
            </w:pPr>
            <w:r>
              <w:rPr/>
              <w:t> </w:t>
            </w:r>
          </w:p>
        </w:tc>
      </w:tr>
      <w:tr>
        <w:trPr/>
        <w:tc>
          <w:tcPr>
            <w:tcW w:w="515" w:type="dxa"/>
            <w:tcBorders/>
            <w:shd w:fill="CCEEFF" w:val="clear"/>
            <w:vAlign w:val="center"/>
          </w:tcPr>
          <w:p>
            <w:pPr>
              <w:pStyle w:val="TableContents"/>
              <w:spacing w:before="0" w:after="283"/>
              <w:jc w:val="lef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742</w:t>
            </w:r>
          </w:p>
        </w:tc>
        <w:tc>
          <w:tcPr>
            <w:tcW w:w="75" w:type="dxa"/>
            <w:tcBorders/>
            <w:shd w:fill="CCEEFF" w:val="clear"/>
            <w:vAlign w:val="center"/>
          </w:tcPr>
          <w:p>
            <w:pPr>
              <w:pStyle w:val="TableContents"/>
              <w:spacing w:before="0" w:after="283"/>
              <w:jc w:val="left"/>
              <w:rPr/>
            </w:pPr>
            <w:r>
              <w:rPr/>
              <w:t> </w:t>
            </w:r>
          </w:p>
        </w:tc>
      </w:tr>
      <w:tr>
        <w:trPr/>
        <w:tc>
          <w:tcPr>
            <w:tcW w:w="515" w:type="dxa"/>
            <w:tcBorders/>
            <w:shd w:fill="FFFFFF" w:val="clear"/>
            <w:vAlign w:val="center"/>
          </w:tcPr>
          <w:p>
            <w:pPr>
              <w:pStyle w:val="TableContents"/>
              <w:spacing w:before="0" w:after="283"/>
              <w:jc w:val="left"/>
              <w:rPr/>
            </w:pPr>
            <w:r>
              <w:rPr/>
              <w:t>2022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320</w:t>
            </w:r>
          </w:p>
        </w:tc>
        <w:tc>
          <w:tcPr>
            <w:tcW w:w="75" w:type="dxa"/>
            <w:tcBorders/>
            <w:shd w:fill="FFFFFF" w:val="clear"/>
            <w:vAlign w:val="center"/>
          </w:tcPr>
          <w:p>
            <w:pPr>
              <w:pStyle w:val="TableContents"/>
              <w:spacing w:before="0" w:after="283"/>
              <w:jc w:val="left"/>
              <w:rPr/>
            </w:pPr>
            <w:r>
              <w:rPr/>
              <w:t> </w:t>
            </w:r>
          </w:p>
        </w:tc>
      </w:tr>
      <w:tr>
        <w:trPr/>
        <w:tc>
          <w:tcPr>
            <w:tcW w:w="515" w:type="dxa"/>
            <w:tcBorders/>
            <w:shd w:fill="CCEEFF" w:val="clear"/>
            <w:vAlign w:val="center"/>
          </w:tcPr>
          <w:p>
            <w:pPr>
              <w:pStyle w:val="TableContents"/>
              <w:spacing w:before="0" w:after="283"/>
              <w:jc w:val="left"/>
              <w:rPr/>
            </w:pPr>
            <w:r>
              <w:rPr/>
              <w:t>2023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330</w:t>
            </w:r>
          </w:p>
        </w:tc>
        <w:tc>
          <w:tcPr>
            <w:tcW w:w="75" w:type="dxa"/>
            <w:tcBorders/>
            <w:shd w:fill="CCEEFF" w:val="clear"/>
            <w:vAlign w:val="center"/>
          </w:tcPr>
          <w:p>
            <w:pPr>
              <w:pStyle w:val="TableContents"/>
              <w:spacing w:before="0" w:after="283"/>
              <w:jc w:val="left"/>
              <w:rPr/>
            </w:pPr>
            <w:r>
              <w:rPr/>
              <w:t> </w:t>
            </w:r>
          </w:p>
        </w:tc>
      </w:tr>
      <w:tr>
        <w:trPr/>
        <w:tc>
          <w:tcPr>
            <w:tcW w:w="515" w:type="dxa"/>
            <w:tcBorders/>
            <w:shd w:fill="FFFFFF" w:val="clear"/>
            <w:vAlign w:val="center"/>
          </w:tcPr>
          <w:p>
            <w:pPr>
              <w:pStyle w:val="TableContents"/>
              <w:spacing w:before="0" w:after="283"/>
              <w:jc w:val="left"/>
              <w:rPr/>
            </w:pPr>
            <w:r>
              <w:rPr/>
              <w:t>2024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pPr>
            <w:r>
              <w:rPr/>
              <w:t>196</w:t>
            </w:r>
          </w:p>
        </w:tc>
        <w:tc>
          <w:tcPr>
            <w:tcW w:w="75" w:type="dxa"/>
            <w:tcBorders/>
            <w:shd w:fill="FFFFFF" w:val="clear"/>
            <w:vAlign w:val="center"/>
          </w:tcPr>
          <w:p>
            <w:pPr>
              <w:pStyle w:val="TableContents"/>
              <w:spacing w:before="0" w:after="283"/>
              <w:jc w:val="left"/>
              <w:rPr/>
            </w:pPr>
            <w:r>
              <w:rPr/>
              <w:t> </w:t>
            </w:r>
          </w:p>
        </w:tc>
      </w:tr>
      <w:tr>
        <w:trPr/>
        <w:tc>
          <w:tcPr>
            <w:tcW w:w="515" w:type="dxa"/>
            <w:tcBorders/>
            <w:shd w:fill="CCEEFF" w:val="clear"/>
            <w:vAlign w:val="center"/>
          </w:tcPr>
          <w:p>
            <w:pPr>
              <w:pStyle w:val="TableContents"/>
              <w:spacing w:before="0" w:after="283"/>
              <w:jc w:val="left"/>
              <w:rPr>
                <w:rFonts w:ascii="Times New Roman;Times;Serif" w:hAnsi="Times New Roman;Times;Serif"/>
                <w:b/>
                <w:sz w:val="17"/>
              </w:rPr>
            </w:pPr>
            <w:r>
              <w:rPr>
                <w:rFonts w:ascii="Times New Roman;Times;Serif" w:hAnsi="Times New Roman;Times;Serif"/>
                <w:b/>
                <w:sz w:val="17"/>
              </w:rPr>
              <w:t>Total</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b/>
              </w:rPr>
            </w:pPr>
            <w:r>
              <w:rPr>
                <w:b/>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b/>
              </w:rPr>
            </w:pPr>
            <w:r>
              <w:rPr>
                <w:b/>
              </w:rPr>
              <w:t>3,242</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F-28</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Legal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Dr. Sobol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In June 2018, Sobol filed a motion for class certification and in July 2018 the Company filed a response in opposition to the motion for class certification. A hearing on class certification was heard in October 2018, however, prior to a decision regarding class certification was made, in February 2019, the Company entered into a proposed settlement agreement to award the proposed class up to $1,400 in damages. Due to the nature of the lawsuit and claims, the Company expects total damages related to this lawsuit will total approximately $640. The Company expects the Court will rule to accept the settlement agreement in the spring of 2019. The Company accrued an expense of $640, its estimated damages related to the settlement agreement, during the year ended December 31,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Allergan USA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September 2017, Allergan USA, Inc. (“Allergan”) filed a lawsuit in the U.S. District Court for the Central District of California against Imprimis Pharmaceuticals, Inc., primarily claiming violations under the federal Lanham Act and California’s Sherman Act. The parties have each filed a motion for summary judgment and Imprimis also filed a motion to stay. The parties’ motions is scheduled to be heard on March 26, 2019. The trial date is currently set for April 2019. The Company believes the claims are frivolous, and we have previously and will continue to dispute all claims asserted against it and intends to vigorously defend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Spectrum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February 2018, the Company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the Company and Spectrum and allege false representation by Spectrum regarding their products, fraudulent labeling and misrepresentations of approved product usages. The complaint was filed with the Court and in May 2018, Spectrum filed an answer with the Court. In November 2018, we dismissed, without prejudice, the Company lawsuit against Spectrum.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Novel Drug Solutions et al.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2018, NDS filed a first amended complaint which added a claim for fraudulent inducement. In July 2018, the Company filed a motion to dismiss certain causes of action found in the complaint, and the Company motion to dismiss was denied. In October 2018, the Company filed counterclaims alleging breach of contract and breach of covenant of good faith and fair dealing and named certain individual defendants. The lawsuit is currently in the discovery phase. The Company believe the claims are frivolous and have previously and will continue to dispute all claims asserted against it and intends to vigorously defend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California Board of Pharmacy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March 2018, the California Board of Pharmacy filed an accusation against Park related to a compounded formulation the Company believes was legally dispensed and was, without its knowledge, inappropriately administered to a patient unknown to the Company, by the prescribing healthcare professional. The Company filed its response to the accusation and has requested a formal hearing. The Company believes the claims are frivolous and have previously and will continue to dispute all claims asserted against it and intends to vigorously defend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F-29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Product and Professional Liability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Product and professional liability litigation represents an inherent risk to all firms in the pharmaceutical and pharmacy industry. The Company utilizes traditional third-party insurance policies with regard to its product and professional liability claims. Such insurance coverage at any given time reflects current market conditions, including cost and availability, when the policy is written.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John Erick et al.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the Company as a co-defendant. In September 2018, co-defendant Dr. Kelly filed a cross-complaint against the Company and various Spectrum entities. The cross-complaint seeks indemnity and contribution from the Company and Spectrum. The Company answered the claims filed by Dr. Kelly in October 2018. The case is currently in the discovery phase. The Company believe the claims are frivolous and have previously and will continue to dispute all claims asserted against it and intends to vigorously defend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General and Other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Indemnities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Klarity License Agreement – Related Party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were payable at the Company’s election in cash or shares of the Company’s restricted common stock. Dr. Lindstrom was paid $122 and $50 in cash during the years ended December 31, 2018 and 2017, respectively, and was due an additional $15 and $19 at December 31, 2018 and 2017, respectively. The Company incurred $118 and $183 for royalty expenses related to the Klarity License Agreement during the years ended December 31, 2018 and 2017, respectively. Dr. Lindstrom is a member of the Company’s Board of Directors.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Sales and Marketing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During 2017 and 2018, the Company entered various sales and marketing agreements with certain organizations, to provide sales and marketing representation services to ImprimisRx in select geographies in the U.S., in connection with the Company’s ophthalmic compounded formulations.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Under the terms of the sales and marketing agreements, the Company is required to make commission payments to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The Company accrued $42 related to stock-based payments for these agreements during the year ended December 31, 2018, and $1,511 and $183 were incurred under these agreements for commission expenses during the years ended December 31, 2018 and 2017, respectively.</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F-30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Asset Purchase, License and Related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$245 and $108 were accrued in accounts payable and accrued expenses under these agreements during the years ended December 31, 2018 and 2017, respectively, and $561 and $153 were incurred under these agreements as royalty expenses for the years ended December 31, 2018 and 2017, respectively.</w:t>
      </w:r>
    </w:p>
    <w:p>
      <w:pPr>
        <w:pStyle w:val="TextBody"/>
        <w:jc w:val="both"/>
        <w:rPr>
          <w:caps w:val="false"/>
          <w:smallCaps w:val="false"/>
        </w:rPr>
      </w:pPr>
      <w:r>
        <w:rPr>
          <w:caps w:val="false"/>
          <w:smallCaps w:val="false"/>
        </w:rPr>
        <w:t> </w:t>
      </w:r>
    </w:p>
    <w:p>
      <w:pPr>
        <w:pStyle w:val="TextBody"/>
        <w:ind w:left="1080" w:right="0" w:hanging="108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19. SEGMENT INFORMATION AND CONCENTRATIONS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operates the business on the basis of a single reportable segment, which is the business of developing proprietary drug therapies and providing such therapies through sterile and non-sterile pharmaceutical compounding services and drug development. While the Company is described as having certain individual businesses, in general, those business operations often overlap, decisions and resources may be intermingled between components and discrete financial information about the businesses, on an individual basis, is not available. The Company’s chief operating decision-maker is the Chief Executive Officer, who evaluates the Company as a single operating segment.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categorizes revenues by geographic area based on selling location. All operations are currently located in the United States; therefore, total revenues for 2018 and 2017 are attributed to the United States. All long-lived assets at December 31, 2018 and 2017 are located in the United States.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sells its compounded formulations to a large number of customers. No single customer contributed 10% or more of the Company’s total pharmacy sales in the years ended December 31, 2018 and 2017.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receives its active pharmaceutical ingredients from three main suppliers during the years ended December 31, 2018 and 2017. These suppliers collectively accounted for 51% and 68% of drug and chemical purchases during the years ended December 31, 2018 and 2017,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NOTE 20. SUBSEQUENT EVENTS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Company has performed an evaluation of events occurring subsequent to December 31, 2018 through the filing date of this Annual Report on Form 10-K (the “Annual Report”). Based on its evaluation, nothing other than the events described below needs to be disclosed.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From January 1, 2019 through the date of the filing of the Annual Report, the Company issued 52,000 shares of its common stock related to the exercise of common stock warrants with an exercise price of $1.79 and received net proceeds of $93.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From January 1, 2019 through the date of the filing of the Annual Report, the Company issued 293,984 shares of its common stock related to the cashless exercise of 419,800 common stock warrants with an exercise price of $1.79.</w:t>
      </w:r>
    </w:p>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F-31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Mayfield and Elle Pharmaceuticals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On February 1, 2019, the Company entered into an Asset Purchase Agreement (the “May Asset Purchase Agreement”) with Elle Pharmaceutical, LLC (“Elle”), where the Company acquired intellectual property and related rights from Elle to develop, formulate, make, sell, and sub-license lidocaine-based gel formulations (collectively, the “May Products”). As consideration, the Company agreed to pay Elle $25 at the time of signing the May Asset Purchase Agreement and make royalty payments to Elle up to seven and a half percent (7.5%) of net sales of the Products as compounded drug formulations.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 connection with the May Asset Purchase Agreement, the Company assigned the May Products to Mayfield, and Mayfield entered into a separate Royalty Agreement with Elle (the “Elle Royalty Agreement”). Pursuant to the terms of the Elle Royalty Agreement, Mayfield, is required to make royalty payments to Elle up to seven and a half percent (7.5%) of net sales of the May Products as commercially available drugs (e.g. a market approved drug via the U.S. Food and Drug Administration 505(b)(2) pathway), while any patent rights remain outstanding, as well as other conditions. In addition, Mayfield agreed to pay Elle $175 upon Mayfield receiving third-party financing equal to or greater than $10,000 of gross proceeds. In connection with the May Asset Purchase Agreement and Elle Royalty Agreement Mayfield issued to Elle 1,000,000 of its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Segment of Business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Beginning on January 1, 2019, the Company began evaluating performance of the Company based on operating segments. Segment performance for its two operating segments will be based on segment contribution. Our reportable segments consist of (i) our commercial stage pharmaceutical compounding business (Pharmaceutical Compounding), generally including the operations of our ImprimisRx and Park Compounding businesses; and (ii) our start-up operations associated with pharmaceutical drug development business (Pharmaceutical Drug Development). Segment contribution for our segments represents net revenues less cost of sales, research and development, selling and marketing expenses, and select general and administrative expenses. The Company does not evaluate the following items at the segment level:</w:t>
      </w:r>
    </w:p>
    <w:p>
      <w:pPr>
        <w:pStyle w:val="TextBody"/>
        <w:ind w:left="144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Operating expenses within selling, general and administrative expenses that result from the impact of corporate initiatives. Corporate initiatives primarily include integration, restructuring, acquisition and other shared costs.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Selling, general and administrative expenses that result from shared infrastructure, including certain expenses associated with legal matters, our board of directors and principal executive officers, investor relations and other like shared expenses.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Other select revenues and operating expenses including R&amp;D expenses, amortization, and asset sales and impairments, net as not all such information has been accounted for at the segment level, or such information has not been used by all segments.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Total assets including capital expenditures.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For periods beginning on and after January 1, 2019, results of operations, including segment net revenues, segment operating expenses and segment contribution, the Company expects to present segment information in a format similar to the table below:</w:t>
      </w:r>
    </w:p>
    <w:p>
      <w:pPr>
        <w:pStyle w:val="TextBody"/>
        <w:jc w:val="both"/>
        <w:rPr>
          <w:caps w:val="false"/>
          <w:smallCaps w:val="false"/>
        </w:rPr>
      </w:pPr>
      <w:r>
        <w:rPr>
          <w:caps w:val="false"/>
          <w:smallCaps w:val="false"/>
        </w:rPr>
        <w:t> </w:t>
      </w:r>
    </w:p>
    <w:tbl>
      <w:tblPr>
        <w:tblW w:w="6204" w:type="dxa"/>
        <w:jc w:val="left"/>
        <w:tblInd w:w="0" w:type="dxa"/>
        <w:tblCellMar>
          <w:top w:w="0" w:type="dxa"/>
          <w:left w:w="0" w:type="dxa"/>
          <w:bottom w:w="0" w:type="dxa"/>
          <w:right w:w="0" w:type="dxa"/>
        </w:tblCellMar>
      </w:tblPr>
      <w:tblGrid>
        <w:gridCol w:w="2435"/>
        <w:gridCol w:w="60"/>
        <w:gridCol w:w="141"/>
        <w:gridCol w:w="929"/>
        <w:gridCol w:w="60"/>
        <w:gridCol w:w="60"/>
        <w:gridCol w:w="192"/>
        <w:gridCol w:w="1162"/>
        <w:gridCol w:w="60"/>
        <w:gridCol w:w="60"/>
        <w:gridCol w:w="110"/>
        <w:gridCol w:w="660"/>
        <w:gridCol w:w="275"/>
      </w:tblGrid>
      <w:tr>
        <w:trPr/>
        <w:tc>
          <w:tcPr>
            <w:tcW w:w="243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70" w:type="dxa"/>
            <w:gridSpan w:val="2"/>
            <w:tcBorders/>
            <w:shd w:fill="auto" w:val="clear"/>
            <w:vAlign w:val="center"/>
          </w:tcPr>
          <w:p>
            <w:pPr>
              <w:pStyle w:val="TableContents"/>
              <w:spacing w:before="0" w:after="283"/>
              <w:jc w:val="center"/>
              <w:rPr>
                <w:sz w:val="17"/>
              </w:rPr>
            </w:pPr>
            <w:r>
              <w:rPr>
                <w:sz w:val="17"/>
              </w:rPr>
              <w:t>Pharmaceutical</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54" w:type="dxa"/>
            <w:gridSpan w:val="2"/>
            <w:tcBorders/>
            <w:shd w:fill="auto" w:val="clear"/>
            <w:vAlign w:val="center"/>
          </w:tcPr>
          <w:p>
            <w:pPr>
              <w:pStyle w:val="TableContents"/>
              <w:spacing w:before="0" w:after="283"/>
              <w:jc w:val="center"/>
              <w:rPr>
                <w:sz w:val="17"/>
              </w:rPr>
            </w:pPr>
            <w:r>
              <w:rPr>
                <w:sz w:val="17"/>
              </w:rPr>
              <w:t>Pharmaceutical</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70" w:type="dxa"/>
            <w:gridSpan w:val="2"/>
            <w:tcBorders/>
            <w:shd w:fill="auto" w:val="clear"/>
            <w:vAlign w:val="center"/>
          </w:tcPr>
          <w:p>
            <w:pPr>
              <w:pStyle w:val="TableContents"/>
              <w:spacing w:before="0" w:after="283"/>
              <w:jc w:val="center"/>
              <w:rPr/>
            </w:pPr>
            <w:r>
              <w:rPr/>
              <w:t> </w:t>
            </w:r>
          </w:p>
        </w:tc>
        <w:tc>
          <w:tcPr>
            <w:tcW w:w="275" w:type="dxa"/>
            <w:tcBorders/>
            <w:shd w:fill="auto" w:val="clear"/>
            <w:vAlign w:val="center"/>
          </w:tcPr>
          <w:p>
            <w:pPr>
              <w:pStyle w:val="TableContents"/>
              <w:spacing w:before="0" w:after="283"/>
              <w:jc w:val="center"/>
              <w:rPr/>
            </w:pPr>
            <w:r>
              <w:rPr/>
              <w:t> </w:t>
            </w:r>
          </w:p>
        </w:tc>
      </w:tr>
      <w:tr>
        <w:trPr/>
        <w:tc>
          <w:tcPr>
            <w:tcW w:w="243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70" w:type="dxa"/>
            <w:gridSpan w:val="2"/>
            <w:tcBorders>
              <w:bottom w:val="single" w:sz="12" w:space="0" w:color="000000"/>
            </w:tcBorders>
            <w:shd w:fill="auto" w:val="clear"/>
            <w:tcMar>
              <w:bottom w:w="28" w:type="dxa"/>
            </w:tcMar>
            <w:vAlign w:val="center"/>
          </w:tcPr>
          <w:p>
            <w:pPr>
              <w:pStyle w:val="TableContents"/>
              <w:spacing w:before="0" w:after="283"/>
              <w:jc w:val="center"/>
              <w:rPr>
                <w:sz w:val="17"/>
              </w:rPr>
            </w:pPr>
            <w:r>
              <w:rPr>
                <w:sz w:val="17"/>
              </w:rPr>
              <w:t>Compounding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54" w:type="dxa"/>
            <w:gridSpan w:val="2"/>
            <w:tcBorders>
              <w:bottom w:val="single" w:sz="12" w:space="0" w:color="000000"/>
            </w:tcBorders>
            <w:shd w:fill="auto" w:val="clear"/>
            <w:tcMar>
              <w:bottom w:w="28" w:type="dxa"/>
            </w:tcMar>
            <w:vAlign w:val="center"/>
          </w:tcPr>
          <w:p>
            <w:pPr>
              <w:pStyle w:val="TableContents"/>
              <w:spacing w:before="0" w:after="283"/>
              <w:jc w:val="center"/>
              <w:rPr>
                <w:sz w:val="17"/>
              </w:rPr>
            </w:pPr>
            <w:r>
              <w:rPr>
                <w:sz w:val="17"/>
              </w:rPr>
              <w:t>Drug Development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70" w:type="dxa"/>
            <w:gridSpan w:val="2"/>
            <w:tcBorders>
              <w:bottom w:val="single" w:sz="12" w:space="0" w:color="000000"/>
            </w:tcBorders>
            <w:shd w:fill="auto" w:val="clear"/>
            <w:tcMar>
              <w:bottom w:w="28" w:type="dxa"/>
            </w:tcMar>
            <w:vAlign w:val="center"/>
          </w:tcPr>
          <w:p>
            <w:pPr>
              <w:pStyle w:val="TableContents"/>
              <w:spacing w:before="0" w:after="283"/>
              <w:jc w:val="center"/>
              <w:rPr>
                <w:sz w:val="17"/>
              </w:rPr>
            </w:pPr>
            <w:r>
              <w:rPr>
                <w:sz w:val="17"/>
              </w:rPr>
              <w:t>Total</w:t>
            </w:r>
          </w:p>
        </w:tc>
        <w:tc>
          <w:tcPr>
            <w:tcW w:w="275" w:type="dxa"/>
            <w:tcBorders/>
            <w:shd w:fill="auto" w:val="clear"/>
            <w:vAlign w:val="center"/>
          </w:tcPr>
          <w:p>
            <w:pPr>
              <w:pStyle w:val="TableContents"/>
              <w:spacing w:before="0" w:after="283"/>
              <w:jc w:val="center"/>
              <w:rPr/>
            </w:pPr>
            <w:r>
              <w:rPr/>
              <w:t> </w:t>
            </w:r>
          </w:p>
        </w:tc>
      </w:tr>
      <w:tr>
        <w:trPr/>
        <w:tc>
          <w:tcPr>
            <w:tcW w:w="2435" w:type="dxa"/>
            <w:tcBorders/>
            <w:shd w:fill="CCEEFF" w:val="clear"/>
            <w:vAlign w:val="center"/>
          </w:tcPr>
          <w:p>
            <w:pPr>
              <w:pStyle w:val="TableContents"/>
              <w:spacing w:before="0" w:after="283"/>
              <w:jc w:val="left"/>
              <w:rPr>
                <w:sz w:val="17"/>
              </w:rPr>
            </w:pPr>
            <w:r>
              <w:rPr>
                <w:sz w:val="17"/>
              </w:rPr>
              <w:t>Net revenues</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sz w:val="17"/>
              </w:rPr>
            </w:pPr>
            <w:r>
              <w:rPr>
                <w:sz w:val="17"/>
              </w:rPr>
              <w:t>$</w:t>
            </w:r>
          </w:p>
        </w:tc>
        <w:tc>
          <w:tcPr>
            <w:tcW w:w="9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sz w:val="17"/>
              </w:rPr>
            </w:pPr>
            <w:r>
              <w:rPr>
                <w:sz w:val="17"/>
              </w:rPr>
              <w:t>$</w:t>
            </w:r>
          </w:p>
        </w:tc>
        <w:tc>
          <w:tcPr>
            <w:tcW w:w="116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6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jc w:val="left"/>
              <w:rPr/>
            </w:pPr>
            <w:r>
              <w:rPr/>
              <w:t> </w:t>
            </w:r>
          </w:p>
        </w:tc>
      </w:tr>
      <w:tr>
        <w:trPr/>
        <w:tc>
          <w:tcPr>
            <w:tcW w:w="2435" w:type="dxa"/>
            <w:tcBorders/>
            <w:shd w:fill="FFFFFF" w:val="clear"/>
            <w:vAlign w:val="center"/>
          </w:tcPr>
          <w:p>
            <w:pPr>
              <w:pStyle w:val="TableContents"/>
              <w:spacing w:before="0" w:after="283"/>
              <w:rPr>
                <w:sz w:val="17"/>
              </w:rPr>
            </w:pPr>
            <w:r>
              <w:rPr>
                <w:sz w:val="17"/>
              </w:rPr>
              <w:t>Cost of sales</w:t>
            </w:r>
          </w:p>
        </w:tc>
        <w:tc>
          <w:tcPr>
            <w:tcW w:w="60" w:type="dxa"/>
            <w:tcBorders/>
            <w:shd w:fill="FFFFFF" w:val="clear"/>
            <w:vAlign w:val="center"/>
          </w:tcPr>
          <w:p>
            <w:pPr>
              <w:pStyle w:val="TableContents"/>
              <w:spacing w:before="0" w:after="283"/>
              <w:rPr/>
            </w:pPr>
            <w:r>
              <w:rPr/>
              <w:t> </w:t>
            </w:r>
          </w:p>
        </w:tc>
        <w:tc>
          <w:tcPr>
            <w:tcW w:w="14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2"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6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2435" w:type="dxa"/>
            <w:tcBorders/>
            <w:shd w:fill="CCEEFF" w:val="clear"/>
            <w:vAlign w:val="center"/>
          </w:tcPr>
          <w:p>
            <w:pPr>
              <w:pStyle w:val="TableContents"/>
              <w:spacing w:before="0" w:after="283"/>
              <w:jc w:val="left"/>
              <w:rPr>
                <w:sz w:val="17"/>
              </w:rPr>
            </w:pPr>
            <w:r>
              <w:rPr>
                <w:sz w:val="17"/>
              </w:rPr>
              <w:t>Gross profit</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16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24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jc w:val="left"/>
              <w:rPr/>
            </w:pPr>
            <w:r>
              <w:rPr/>
              <w:t> </w:t>
            </w:r>
          </w:p>
        </w:tc>
        <w:tc>
          <w:tcPr>
            <w:tcW w:w="116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2435" w:type="dxa"/>
            <w:tcBorders/>
            <w:shd w:fill="CCEEFF" w:val="clear"/>
            <w:vAlign w:val="center"/>
          </w:tcPr>
          <w:p>
            <w:pPr>
              <w:pStyle w:val="TableContents"/>
              <w:spacing w:before="0" w:after="283"/>
              <w:jc w:val="left"/>
              <w:rPr>
                <w:sz w:val="17"/>
              </w:rPr>
            </w:pPr>
            <w:r>
              <w:rPr>
                <w:sz w:val="17"/>
              </w:rPr>
              <w:t>Operating expenses:</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16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2435" w:type="dxa"/>
            <w:tcBorders/>
            <w:shd w:fill="FFFFFF" w:val="clear"/>
            <w:vAlign w:val="center"/>
          </w:tcPr>
          <w:p>
            <w:pPr>
              <w:pStyle w:val="TableContents"/>
              <w:spacing w:before="0" w:after="283"/>
              <w:jc w:val="left"/>
              <w:rPr>
                <w:sz w:val="17"/>
              </w:rPr>
            </w:pPr>
            <w:r>
              <w:rPr>
                <w:sz w:val="17"/>
              </w:rPr>
              <w:t>Selling, general and administrative</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jc w:val="left"/>
              <w:rPr/>
            </w:pPr>
            <w:r>
              <w:rPr/>
              <w:t> </w:t>
            </w:r>
          </w:p>
        </w:tc>
        <w:tc>
          <w:tcPr>
            <w:tcW w:w="116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2435" w:type="dxa"/>
            <w:tcBorders/>
            <w:shd w:fill="CCEEFF" w:val="clear"/>
            <w:vAlign w:val="center"/>
          </w:tcPr>
          <w:p>
            <w:pPr>
              <w:pStyle w:val="TableContents"/>
              <w:spacing w:before="0" w:after="283"/>
              <w:jc w:val="left"/>
              <w:rPr>
                <w:sz w:val="17"/>
              </w:rPr>
            </w:pPr>
            <w:r>
              <w:rPr>
                <w:sz w:val="17"/>
              </w:rPr>
              <w:t>Research and development</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9"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2"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6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2435" w:type="dxa"/>
            <w:tcBorders/>
            <w:shd w:fill="FFFFFF" w:val="clear"/>
            <w:vAlign w:val="center"/>
          </w:tcPr>
          <w:p>
            <w:pPr>
              <w:pStyle w:val="TableContents"/>
              <w:spacing w:before="0" w:after="283"/>
              <w:jc w:val="left"/>
              <w:rPr>
                <w:b/>
                <w:sz w:val="17"/>
              </w:rPr>
            </w:pPr>
            <w:r>
              <w:rPr>
                <w:b/>
                <w:sz w:val="17"/>
              </w:rPr>
              <w:t>Segment contribution</w:t>
            </w:r>
          </w:p>
        </w:tc>
        <w:tc>
          <w:tcPr>
            <w:tcW w:w="60" w:type="dxa"/>
            <w:tcBorders/>
            <w:shd w:fill="FFFFFF" w:val="clear"/>
            <w:vAlign w:val="center"/>
          </w:tcPr>
          <w:p>
            <w:pPr>
              <w:pStyle w:val="TableContents"/>
              <w:spacing w:before="0" w:after="283"/>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929"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62"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60"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2435" w:type="dxa"/>
            <w:tcBorders/>
            <w:shd w:fill="CCEEFF" w:val="clear"/>
            <w:vAlign w:val="center"/>
          </w:tcPr>
          <w:p>
            <w:pPr>
              <w:pStyle w:val="TableContents"/>
              <w:spacing w:before="0" w:after="283"/>
              <w:rPr>
                <w:sz w:val="17"/>
              </w:rPr>
            </w:pPr>
            <w:r>
              <w:rPr>
                <w:sz w:val="17"/>
              </w:rPr>
              <w:t>Corporate</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16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2435" w:type="dxa"/>
            <w:tcBorders/>
            <w:shd w:fill="FFFFFF" w:val="clear"/>
            <w:vAlign w:val="center"/>
          </w:tcPr>
          <w:p>
            <w:pPr>
              <w:pStyle w:val="TableContents"/>
              <w:spacing w:before="0" w:after="283"/>
              <w:jc w:val="left"/>
              <w:rPr>
                <w:sz w:val="17"/>
              </w:rPr>
            </w:pPr>
            <w:r>
              <w:rPr>
                <w:sz w:val="17"/>
              </w:rPr>
              <w:t>Research and development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jc w:val="left"/>
              <w:rPr/>
            </w:pPr>
            <w:r>
              <w:rPr/>
              <w:t> </w:t>
            </w:r>
          </w:p>
        </w:tc>
        <w:tc>
          <w:tcPr>
            <w:tcW w:w="116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2435" w:type="dxa"/>
            <w:tcBorders/>
            <w:shd w:fill="CCEEFF" w:val="clear"/>
            <w:vAlign w:val="center"/>
          </w:tcPr>
          <w:p>
            <w:pPr>
              <w:pStyle w:val="TableContents"/>
              <w:spacing w:before="0" w:after="283"/>
              <w:rPr>
                <w:sz w:val="17"/>
              </w:rPr>
            </w:pPr>
            <w:r>
              <w:rPr>
                <w:sz w:val="17"/>
              </w:rPr>
              <w:t>Amortization</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16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2435" w:type="dxa"/>
            <w:tcBorders/>
            <w:shd w:fill="FFFFFF" w:val="clear"/>
            <w:vAlign w:val="center"/>
          </w:tcPr>
          <w:p>
            <w:pPr>
              <w:pStyle w:val="TableContents"/>
              <w:spacing w:before="0" w:after="283"/>
              <w:jc w:val="left"/>
              <w:rPr>
                <w:sz w:val="17"/>
              </w:rPr>
            </w:pPr>
            <w:r>
              <w:rPr>
                <w:sz w:val="17"/>
              </w:rPr>
              <w:t>Asset sales and impairments, net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jc w:val="left"/>
              <w:rPr/>
            </w:pPr>
            <w:r>
              <w:rPr/>
              <w:t> </w:t>
            </w:r>
          </w:p>
        </w:tc>
        <w:tc>
          <w:tcPr>
            <w:tcW w:w="116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6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ind w:left="0" w:right="0" w:firstLine="200"/>
              <w:jc w:val="left"/>
              <w:rPr/>
            </w:pPr>
            <w:r>
              <w:rPr/>
              <w:t> </w:t>
            </w:r>
          </w:p>
        </w:tc>
      </w:tr>
      <w:tr>
        <w:trPr/>
        <w:tc>
          <w:tcPr>
            <w:tcW w:w="2435" w:type="dxa"/>
            <w:tcBorders/>
            <w:shd w:fill="CCEEFF" w:val="clear"/>
            <w:vAlign w:val="center"/>
          </w:tcPr>
          <w:p>
            <w:pPr>
              <w:pStyle w:val="TableContents"/>
              <w:spacing w:before="0" w:after="283"/>
              <w:jc w:val="left"/>
              <w:rPr>
                <w:sz w:val="17"/>
              </w:rPr>
            </w:pPr>
            <w:r>
              <w:rPr>
                <w:sz w:val="17"/>
              </w:rPr>
              <w:t>Operating loss</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jc w:val="left"/>
              <w:rPr/>
            </w:pPr>
            <w:r>
              <w:rPr/>
              <w:t> </w:t>
            </w:r>
          </w:p>
        </w:tc>
        <w:tc>
          <w:tcPr>
            <w:tcW w:w="116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60" w:type="dxa"/>
            <w:tcBorders>
              <w:bottom w:val="doub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620" w:type="dxa"/>
        <w:jc w:val="left"/>
        <w:tblInd w:w="0" w:type="dxa"/>
        <w:tblCellMar>
          <w:top w:w="0" w:type="dxa"/>
          <w:left w:w="0" w:type="dxa"/>
          <w:bottom w:w="0" w:type="dxa"/>
          <w:right w:w="0" w:type="dxa"/>
        </w:tblCellMar>
      </w:tblPr>
      <w:tblGrid>
        <w:gridCol w:w="75"/>
        <w:gridCol w:w="470"/>
        <w:gridCol w:w="75"/>
      </w:tblGrid>
      <w:tr>
        <w:trPr/>
        <w:tc>
          <w:tcPr>
            <w:tcW w:w="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center"/>
              <w:rPr/>
            </w:pPr>
            <w:r>
              <w:rPr/>
              <w:t>F-32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INDEX</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16"/>
        <w:gridCol w:w="60"/>
        <w:gridCol w:w="9529"/>
      </w:tblGrid>
      <w:tr>
        <w:trPr/>
        <w:tc>
          <w:tcPr>
            <w:tcW w:w="616"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No.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Description</w:t>
            </w:r>
          </w:p>
        </w:tc>
      </w:tr>
      <w:tr>
        <w:trPr/>
        <w:tc>
          <w:tcPr>
            <w:tcW w:w="61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2">
              <w:r>
                <w:rPr>
                  <w:rStyle w:val="InternetLink"/>
                  <w:rFonts w:ascii="Times New Roman;Times;Serif" w:hAnsi="Times New Roman;Times;Serif"/>
                  <w:b w:val="false"/>
                  <w:i w:val="false"/>
                  <w:caps w:val="false"/>
                  <w:smallCaps w:val="false"/>
                  <w:sz w:val="17"/>
                </w:rPr>
                <w:t>Agreement and Plan of Merger, dated as of September 17, 2007, by and among Imprimis Pharmaceuticals, Inc., Transdel Pharmaceuticals Holdings, Inc. and Trans-Pharma Acquisition Corp. Incorporation (incorporated herein by reference to Exhibit 2.1 to the Current Report on Form 8-K of Imprimis Pharmaceuticals, Inc. filed with the Securities and Exchange Commission on September 21, 2007)</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3">
              <w:r>
                <w:rPr>
                  <w:rStyle w:val="InternetLink"/>
                  <w:rFonts w:ascii="Times New Roman;Times;Serif" w:hAnsi="Times New Roman;Times;Serif"/>
                  <w:b w:val="false"/>
                  <w:i w:val="false"/>
                  <w:caps w:val="false"/>
                  <w:smallCaps w:val="false"/>
                  <w:sz w:val="17"/>
                </w:rPr>
                <w:t>Membership Interest Purchase Agreement, dated February 10, 2014, among John Scott Karolchyk and Bernard Covalesky and Imprimis Pharmaceuticals, Inc. (incorporated herein by reference to Exhibit 2.1 to the Current Report on Form 8-K of Imprimis Pharmaceuticals, Inc. filed with the Securities and Exchange Commission on February 11, 2014)</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b w:val="false"/>
                  <w:i w:val="false"/>
                  <w:caps w:val="false"/>
                  <w:smallCaps w:val="false"/>
                  <w:sz w:val="17"/>
                </w:rPr>
                <w:t>Stock Purchase Agreement, dated as of November 26, 2014, by and between Imprimis Pharmaceuticals, Inc., and Dennis Saadeh and Tina Sulic-Saadeh (incorporated herein by reference to Exhibit 2.1 to the Current Report on Form 8-K of Imprimis Pharmaceuticals, Inc. filed with the Securities and Exchange Commission on December 2, 2014)</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b w:val="false"/>
                  <w:i w:val="false"/>
                  <w:caps w:val="false"/>
                  <w:smallCaps w:val="false"/>
                  <w:sz w:val="17"/>
                </w:rPr>
                <w:t>Stock Purchase Agreement, effective as of July 10, 2015, by and between Imprimis Pharmaceuticals, Inc. and Jonathan Nguyen and Julie Trinh, to acquire all of the outstanding capital stock of JT Pharmacy, Inc. D/B/A Central Allen Pharmacy and completed on August 4, 2015 (incorporated herein by reference to Exhibit 10.4 to the Quarterly Report on Form 10-Q of Imprimis Pharmaceuticals, Inc. filed with the Securities and Exchange Commission on August 12, 2015)</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6">
              <w:r>
                <w:rPr>
                  <w:rStyle w:val="InternetLink"/>
                  <w:rFonts w:ascii="Times New Roman;Times;Serif" w:hAnsi="Times New Roman;Times;Serif"/>
                  <w:b w:val="false"/>
                  <w:i w:val="false"/>
                  <w:caps w:val="false"/>
                  <w:smallCaps w:val="false"/>
                  <w:sz w:val="17"/>
                </w:rPr>
                <w:t>Amended and Restated Certificate of Incorporation, as amended by the Certificate of Amendment to Amended and Restated Certificate of Incorporation effective February 28, 2012, as further amended by the Certificate of Amendment to Amended and Restated Certificate of Incorporation effective February 7, 2013, and as further amended by the Certificate of Amendment to Amended and Restated Certificate of Incorporation effective September 10, 2014 (incorporated herein by reference to Exhibit 3.1 to the Annual Report on Form 10-K of Imprimis Pharmaceuticals, Inc. filed with the Securities and Exchange Commission on March 12, 2015)</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7">
              <w:r>
                <w:rPr>
                  <w:rStyle w:val="InternetLink"/>
                  <w:rFonts w:ascii="Times New Roman;Times;Serif" w:hAnsi="Times New Roman;Times;Serif"/>
                  <w:b w:val="false"/>
                  <w:i w:val="false"/>
                  <w:caps w:val="false"/>
                  <w:smallCaps w:val="false"/>
                  <w:sz w:val="17"/>
                </w:rPr>
                <w:t>Amended and Restated Bylaws of Imprimis Pharmaceuticals, Inc. (incorporated herein by reference to Exhibit 3.2 to the Annual Report on Form 8-K of Imprimis Pharmaceuticals, Inc. filed with the Securities and Exchange Commission on March 28, 2014)</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8">
              <w:r>
                <w:rPr>
                  <w:rStyle w:val="InternetLink"/>
                  <w:rFonts w:ascii="Times New Roman;Times;Serif" w:hAnsi="Times New Roman;Times;Serif"/>
                  <w:b w:val="false"/>
                  <w:i w:val="false"/>
                  <w:caps w:val="false"/>
                  <w:smallCaps w:val="false"/>
                  <w:sz w:val="17"/>
                </w:rPr>
                <w:t xml:space="preserve">Certificate of Designation of Series A Convertible Preferred Stock of Imprimis Pharmaceuticals, Inc. (incorporated herein by reference to Exhibit 3.1 to the Current Report on Form 8-K of Imprimis Pharmaceuticals, Inc. filed with the Securities and Exchange Commission on December 20, 2011) </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9">
              <w:r>
                <w:rPr>
                  <w:rStyle w:val="InternetLink"/>
                  <w:rFonts w:ascii="Times New Roman;Times;Serif" w:hAnsi="Times New Roman;Times;Serif"/>
                  <w:b w:val="false"/>
                  <w:i w:val="false"/>
                  <w:caps w:val="false"/>
                  <w:smallCaps w:val="false"/>
                  <w:sz w:val="17"/>
                </w:rPr>
                <w:t>Amended and Restated Certificate of Incorporation, filed July 2, 2018 (incorporated herein by reference to Exhibit 3.1 to the Current Report on Form 8-K of Imprimis Pharmaceuticals, Inc. filed with the Securities and Exchange Commission on July 2, 2018)</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b w:val="false"/>
                  <w:i w:val="false"/>
                  <w:caps w:val="false"/>
                  <w:smallCaps w:val="false"/>
                  <w:sz w:val="17"/>
                </w:rPr>
                <w:t>Amendment to the Restated Certificate of Incorporation for the name change, filed as of December 27, 2018 (incorporated herein by reference to Exhibit 3.1 to the Current Report on Form 8-K of Imprimis Pharmaceuticals, Inc. filed with the Securities and Exchange Commission on December 31, 2018)</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1">
              <w:r>
                <w:rPr>
                  <w:rStyle w:val="InternetLink"/>
                  <w:rFonts w:ascii="Times New Roman;Times;Serif" w:hAnsi="Times New Roman;Times;Serif"/>
                  <w:b w:val="false"/>
                  <w:i w:val="false"/>
                  <w:caps w:val="false"/>
                  <w:smallCaps w:val="false"/>
                  <w:sz w:val="17"/>
                </w:rPr>
                <w:t xml:space="preserve">Form of Directors and Officers Indemnification Agreement (incorporated herein by reference to Exhibit 10.8 to the Current Report on Form 8-K of Imprimis Pharmaceuticals, Inc. filed with the Securities and Exchange Commission on September 21, 2007) </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b w:val="false"/>
                  <w:i w:val="false"/>
                  <w:caps w:val="false"/>
                  <w:smallCaps w:val="false"/>
                  <w:sz w:val="17"/>
                </w:rPr>
                <w:t>Imprimis Pharmaceuticals, Inc. Amended and Restated 2007 Stock Incentive and Awards Plan (incorporated herein by reference to Exhibit 10.3 to the Quarterly Report on Form 10-Q of Imprimis Pharmaceuticals, Inc. filed with the Securities and Exchange Commission on May 8, 2013)</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3">
              <w:r>
                <w:rPr>
                  <w:rStyle w:val="InternetLink"/>
                  <w:rFonts w:ascii="Times New Roman;Times;Serif" w:hAnsi="Times New Roman;Times;Serif"/>
                  <w:b w:val="false"/>
                  <w:i w:val="false"/>
                  <w:caps w:val="false"/>
                  <w:smallCaps w:val="false"/>
                  <w:sz w:val="17"/>
                </w:rPr>
                <w:t>Amendment No. 1 to Imprimis Pharmaceuticals, Inc. Amended and Restated 2007 Incentive Stock and Awards Plan (incorporated herein by reference to Exhibit 10.3 to the Quarterly Report on Form 10-Q of Imprimis Pharmaceuticals, Inc. filed with the Securities and Exchange Commission on November 6, 2013)</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b w:val="false"/>
                  <w:i w:val="false"/>
                  <w:caps w:val="false"/>
                  <w:smallCaps w:val="false"/>
                  <w:sz w:val="17"/>
                </w:rPr>
                <w:t xml:space="preserve">Form of Incentive Stock Option Agreement (incorporated herein by reference to Exhibit 10.12 to the Current Report on Form 8-K of Imprimis Pharmaceuticals, Inc. filed with the Securities and Exchange Commission on September 21, 2007) </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5">
              <w:r>
                <w:rPr>
                  <w:rStyle w:val="InternetLink"/>
                  <w:rFonts w:ascii="Times New Roman;Times;Serif" w:hAnsi="Times New Roman;Times;Serif"/>
                  <w:b w:val="false"/>
                  <w:i w:val="false"/>
                  <w:caps w:val="false"/>
                  <w:smallCaps w:val="false"/>
                  <w:sz w:val="17"/>
                </w:rPr>
                <w:t>Form of Non-Qualified Stock Option Agreement (incorporated herein by reference to Exhibit 10.13 to the Current Report on Form 8-K of Imprimis Pharmaceuticals, Inc. filed with the Securities and Exchange Commission on September 21, 2007)</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b w:val="false"/>
                  <w:i w:val="false"/>
                  <w:caps w:val="false"/>
                  <w:smallCaps w:val="false"/>
                  <w:sz w:val="17"/>
                </w:rPr>
                <w:t>Form of Restricted Stock Unit Agreement (incorporated herein by reference to Exhibit 10.4 to the Quarterly Report on Form 10-Q of Imprimis Pharmaceuticals, Inc. filed with the Securities and Exchange Commission on May 8, 2013)</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7">
              <w:r>
                <w:rPr>
                  <w:rStyle w:val="InternetLink"/>
                  <w:rFonts w:ascii="Times New Roman;Times;Serif" w:hAnsi="Times New Roman;Times;Serif"/>
                  <w:b w:val="false"/>
                  <w:i w:val="false"/>
                  <w:caps w:val="false"/>
                  <w:smallCaps w:val="false"/>
                  <w:sz w:val="17"/>
                </w:rPr>
                <w:t>Form of Warrant dated as of April 25, 2012 (incorporated by reference to Exhibit 10.2 to the Company’s Current Report on 8-K filed with the Securities and Exchange Commission on April 27, 2012)</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8">
              <w:r>
                <w:rPr>
                  <w:rStyle w:val="InternetLink"/>
                  <w:rFonts w:ascii="Times New Roman;Times;Serif" w:hAnsi="Times New Roman;Times;Serif"/>
                  <w:b w:val="false"/>
                  <w:i w:val="false"/>
                  <w:caps w:val="false"/>
                  <w:smallCaps w:val="false"/>
                  <w:sz w:val="17"/>
                </w:rPr>
                <w:t>Stand-alone Restricted Stock Unit Agreement, dated July 18, 2012, granted by Imprimis Pharmaceuticals, Inc. to Mark L. Baum (incorporated herein by reference to Exhibit 10.40 to the Company’s Registration Statement on Form S-1 (File No. 333-182846) filed on July 25, 2012)</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19">
              <w:r>
                <w:rPr>
                  <w:rStyle w:val="InternetLink"/>
                  <w:rFonts w:ascii="Times New Roman;Times;Serif" w:hAnsi="Times New Roman;Times;Serif"/>
                  <w:b w:val="false"/>
                  <w:i w:val="false"/>
                  <w:caps w:val="false"/>
                  <w:smallCaps w:val="false"/>
                  <w:sz w:val="17"/>
                </w:rPr>
                <w:t>Stand-alone Restricted Stock Unit Agreement, dated July 18, 2012, granted by Imprimis Pharmaceuticals, Inc. to Robert J. Kammer (incorporated herein by reference to Exhibit 10.41 to the Company’s Registration Statement on Form S-1 (File No. 333-182846) filed on July 25, 2012)</w:t>
              </w:r>
            </w:hyperlink>
          </w:p>
        </w:tc>
      </w:tr>
      <w:tr>
        <w:trPr/>
        <w:tc>
          <w:tcPr>
            <w:tcW w:w="6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29" w:type="dxa"/>
            <w:tcBorders/>
            <w:shd w:fill="auto" w:val="clear"/>
            <w:tcMar>
              <w:bottom w:w="0" w:type="dxa"/>
            </w:tcMar>
            <w:vAlign w:val="center"/>
          </w:tcPr>
          <w:p>
            <w:pPr>
              <w:pStyle w:val="TableContents"/>
              <w:spacing w:before="0" w:after="283"/>
              <w:jc w:val="both"/>
              <w:rPr/>
            </w:pPr>
            <w:hyperlink r:id="rId20">
              <w:r>
                <w:rPr>
                  <w:rStyle w:val="InternetLink"/>
                  <w:rFonts w:ascii="Times New Roman;Times;Serif" w:hAnsi="Times New Roman;Times;Serif"/>
                  <w:b w:val="false"/>
                  <w:i w:val="false"/>
                  <w:caps w:val="false"/>
                  <w:smallCaps w:val="false"/>
                  <w:sz w:val="17"/>
                </w:rPr>
                <w:t>Form of Underwriter’s Warrant (incorporated herein by reference to Exhibit 10.41 to the Company’s Registration Statement on Form S-1 (File No. 333-182846) filed on October 26, 2012)</w:t>
              </w:r>
            </w:hyperlink>
          </w:p>
        </w:tc>
      </w:tr>
    </w:tbl>
    <w:p>
      <w:pPr>
        <w:pStyle w:val="TextBody"/>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49</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51"/>
        <w:gridCol w:w="60"/>
        <w:gridCol w:w="9694"/>
      </w:tblGrid>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1">
              <w:r>
                <w:rPr>
                  <w:rStyle w:val="InternetLink"/>
                  <w:rFonts w:ascii="Times New Roman;Times;Serif" w:hAnsi="Times New Roman;Times;Serif"/>
                  <w:b w:val="false"/>
                  <w:i w:val="false"/>
                  <w:caps w:val="false"/>
                  <w:smallCaps w:val="false"/>
                  <w:sz w:val="17"/>
                </w:rPr>
                <w:t>Amended and Restated Employment Agreement, dated May 2, 2013, by and between Imprimis Pharmaceuticals, Inc. and Mark L. Baum (incorporated herein by reference to Exhibit 10.2 to the Quarterly Report on Form 10-Q of Imprimis Pharmaceuticals, Inc. filed with the Securities and Exchange Commission on May 8, 2013)</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2">
              <w:r>
                <w:rPr>
                  <w:rStyle w:val="InternetLink"/>
                  <w:rFonts w:ascii="Times New Roman;Times;Serif" w:hAnsi="Times New Roman;Times;Serif"/>
                  <w:b w:val="false"/>
                  <w:i w:val="false"/>
                  <w:caps w:val="false"/>
                  <w:smallCaps w:val="false"/>
                  <w:sz w:val="17"/>
                </w:rPr>
                <w:t>Performance Stock Units Agreement, dated May 2, 2013, by and between Imprimis Pharmaceuticals, Inc. and Mark L. Baum (incorporated herein by reference to Exhibit 10.4 to the Quarterly Report on Form 10-Q of Imprimis Pharmaceuticals, Inc. filed with the Securities and Exchange Commission on August 14, 2013)</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3">
              <w:r>
                <w:rPr>
                  <w:rStyle w:val="InternetLink"/>
                  <w:rFonts w:ascii="Times New Roman;Times;Serif" w:hAnsi="Times New Roman;Times;Serif"/>
                  <w:b w:val="false"/>
                  <w:i w:val="false"/>
                  <w:caps w:val="false"/>
                  <w:smallCaps w:val="false"/>
                  <w:sz w:val="17"/>
                </w:rPr>
                <w:t xml:space="preserve">Asset Purchase Agreement, dated June 11, 2013, by and between Imprimis Pharmaceuticals, Inc. and Buderer Drug Company, Inc. (incorporated herein by reference to Exhibit 10.5 to the Quarterly Report on Form 10-Q of Imprimis Pharmaceuticals, Inc. filed with the Securities and Exchange Commission on August 14, 2013) </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4">
              <w:r>
                <w:rPr>
                  <w:rStyle w:val="InternetLink"/>
                  <w:rFonts w:ascii="Times New Roman;Times;Serif" w:hAnsi="Times New Roman;Times;Serif"/>
                  <w:b w:val="false"/>
                  <w:i w:val="false"/>
                  <w:caps w:val="false"/>
                  <w:smallCaps w:val="false"/>
                  <w:sz w:val="17"/>
                </w:rPr>
                <w:t xml:space="preserve">Asset Purchase Agreement, dated August 8, 2013, by and among Imprimis Pharmaceuticals, Inc., Novel Drug Solutions, LLC and Eye Care Northwest, PA (incorporated herein by reference to Exhibit 10.1 to the Quarterly Report on Form 10-Q of Imprimis Pharmaceuticals, Inc. filed with the Securities and Exchange Commission on November 6, 2013) </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5">
              <w:r>
                <w:rPr>
                  <w:rStyle w:val="InternetLink"/>
                  <w:rFonts w:ascii="Times New Roman;Times;Serif" w:hAnsi="Times New Roman;Times;Serif"/>
                  <w:b w:val="false"/>
                  <w:i w:val="false"/>
                  <w:caps w:val="false"/>
                  <w:smallCaps w:val="false"/>
                  <w:sz w:val="17"/>
                </w:rPr>
                <w:t>Amendment to Asset Purchase Agreement, dated as of October 14, 2013, by and among Imprimis Pharmaceuticals, Inc., Novel Drug Solutions, LLC and EyeCare Northwest, PA (incorporated herein by reference to Exhibit 10.2 to the Quarterly Report on Form 10-Q of Imprimis Pharmaceuticals, Inc. filed with the Securities and Exchange Commission on November 6, 2013)</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6">
              <w:r>
                <w:rPr>
                  <w:rStyle w:val="InternetLink"/>
                  <w:rFonts w:ascii="Times New Roman;Times;Serif" w:hAnsi="Times New Roman;Times;Serif"/>
                  <w:b w:val="false"/>
                  <w:i w:val="false"/>
                  <w:caps w:val="false"/>
                  <w:smallCaps w:val="false"/>
                  <w:sz w:val="17"/>
                </w:rPr>
                <w:t>Asset Purchase Agreement, dated October 8, 2013, by and between Imprimis Pharmaceuticals, Inc. and Novel Drug Solutions, LLC (incorporated herein by reference to Exhibit 10.27 to the Annual Report on Form 10-K of Imprimis Pharmaceuticals, Inc. filed with the Securities and Exchange Commission on March 28, 2014)</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7">
              <w:r>
                <w:rPr>
                  <w:rStyle w:val="InternetLink"/>
                  <w:rFonts w:ascii="Times New Roman;Times;Serif" w:hAnsi="Times New Roman;Times;Serif"/>
                  <w:b w:val="false"/>
                  <w:i w:val="false"/>
                  <w:caps w:val="false"/>
                  <w:smallCaps w:val="false"/>
                  <w:sz w:val="17"/>
                </w:rPr>
                <w:t>Amendment to Asset Purchase Agreement, dated as of October 21, 2013, by and between Imprimis Pharmaceuticals, Inc. and Buderer Drug Company, Inc. (incorporated herein by reference to Exhibit 10.28 to the Annual Report on Form 10-K of Imprimis Pharmaceuticals, Inc. filed with the Securities and Exchange Commission on March 28, 2014)</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8">
              <w:r>
                <w:rPr>
                  <w:rStyle w:val="InternetLink"/>
                  <w:rFonts w:ascii="Times New Roman;Times;Serif" w:hAnsi="Times New Roman;Times;Serif"/>
                  <w:b w:val="false"/>
                  <w:i w:val="false"/>
                  <w:caps w:val="false"/>
                  <w:smallCaps w:val="false"/>
                  <w:sz w:val="17"/>
                </w:rPr>
                <w:t>Amendment to Asset Purchase Agreement, dated as of October 21, 2013, by and between Imprimis Pharmaceuticals, Inc. and Novel Drug Solutions, LLC and EyeCare Northwest, PA (incorporated herein by reference to Exhibit 10.29 to the Annual Report on Form 10-K of Imprimis Pharmaceuticals, Inc. filed with the Securities and Exchange Commission on March 28, 2014)</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29">
              <w:r>
                <w:rPr>
                  <w:rStyle w:val="InternetLink"/>
                  <w:rFonts w:ascii="Times New Roman;Times;Serif" w:hAnsi="Times New Roman;Times;Serif"/>
                  <w:b w:val="false"/>
                  <w:i w:val="false"/>
                  <w:caps w:val="false"/>
                  <w:smallCaps w:val="false"/>
                  <w:sz w:val="17"/>
                </w:rPr>
                <w:t>License Agreement, dated as of October 24, 2014, by and between Imprimis Pharmaceuticals, Inc. and Urigen Pharmaceuticals, Inc. (incorporated herein by reference to Exhibit 10.1 to the Current Report on Form 8-K of Imprimis Pharmaceuticals, Inc. filed with the Securities and Exchange Commission on October 29, 2014)</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0">
              <w:r>
                <w:rPr>
                  <w:rStyle w:val="InternetLink"/>
                  <w:rFonts w:ascii="Times New Roman;Times;Serif" w:hAnsi="Times New Roman;Times;Serif"/>
                  <w:b w:val="false"/>
                  <w:i w:val="false"/>
                  <w:caps w:val="false"/>
                  <w:smallCaps w:val="false"/>
                  <w:sz w:val="17"/>
                </w:rPr>
                <w:t>Amended and Restated Employment Agreement, effective as of February 1, 2015, by and between Imprimis Pharmaceuticals, Inc. and Andrew R. Boll (incorporated herein by reference to Exhibit 10.1 to the Current Report on Form 8-K of Imprimis Pharmaceuticals, Inc. filed with the Securities and Exchange Commission on February 2, 2015)</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1">
              <w:r>
                <w:rPr>
                  <w:rStyle w:val="InternetLink"/>
                  <w:rFonts w:ascii="Times New Roman;Times;Serif" w:hAnsi="Times New Roman;Times;Serif"/>
                  <w:b w:val="false"/>
                  <w:i w:val="false"/>
                  <w:caps w:val="false"/>
                  <w:smallCaps w:val="false"/>
                  <w:sz w:val="17"/>
                </w:rPr>
                <w:t>Performance Stock Units Award Agreement, effective as of February 1, 2015, by and between Imprimis Pharmaceuticals, Inc. and Andrew R. Boll (incorporated herein by reference to Exhibit 10.2 to the Current Report on Form 8-K of Imprimis Pharmaceuticals, Inc. filed with the Securities and Exchange Commission on February 2, 2015)</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2">
              <w:r>
                <w:rPr>
                  <w:rStyle w:val="InternetLink"/>
                  <w:rFonts w:ascii="Times New Roman;Times;Serif" w:hAnsi="Times New Roman;Times;Serif"/>
                  <w:b w:val="false"/>
                  <w:i w:val="false"/>
                  <w:caps w:val="false"/>
                  <w:smallCaps w:val="false"/>
                  <w:sz w:val="17"/>
                </w:rPr>
                <w:t>Employment Agreement, effective as of February 1, 2015, by and between Imprimis Pharmaceuticals, Inc. and John P. Saharek (incorporated herein by reference to Exhibit 10.3 to the Current Report on Form 8-K of Imprimis Pharmaceuticals, Inc. filed with the Securities and Exchange Commission on February 2, 2015)</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3">
              <w:r>
                <w:rPr>
                  <w:rStyle w:val="InternetLink"/>
                  <w:rFonts w:ascii="Times New Roman;Times;Serif" w:hAnsi="Times New Roman;Times;Serif"/>
                  <w:b w:val="false"/>
                  <w:i w:val="false"/>
                  <w:caps w:val="false"/>
                  <w:smallCaps w:val="false"/>
                  <w:sz w:val="17"/>
                </w:rPr>
                <w:t xml:space="preserve">Warrant to Purchase Stock, dated May 11, 2015, issued by Imprimis Pharmaceuticals, Inc. (incorporated herein by reference to Exhibit 10.2 to the Current Report on Form 8-K of Imprimis Pharmaceuticals, Inc. filed with the Securities and Exchange Commission on May 12, 2015) </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4">
              <w:r>
                <w:rPr>
                  <w:rStyle w:val="InternetLink"/>
                  <w:rFonts w:ascii="Times New Roman;Times;Serif" w:hAnsi="Times New Roman;Times;Serif"/>
                  <w:b w:val="false"/>
                  <w:i w:val="false"/>
                  <w:caps w:val="false"/>
                  <w:smallCaps w:val="false"/>
                  <w:sz w:val="17"/>
                </w:rPr>
                <w:t xml:space="preserve">Loan and Security Agreement, dated May 11, 2015, by and between Imprimis Pharmaceuticals and IMMY Funding LLC. (incorporated herein by reference to Exhibit 10.1 to the Current Report on Form 8-Kof Imprimis Pharmaceuticals, Inc. filed with the Securities and Exchange Commission on May 12, 2015) </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5">
              <w:r>
                <w:rPr>
                  <w:rStyle w:val="InternetLink"/>
                  <w:rFonts w:ascii="Times New Roman;Times;Serif" w:hAnsi="Times New Roman;Times;Serif"/>
                  <w:b w:val="false"/>
                  <w:i w:val="false"/>
                  <w:caps w:val="false"/>
                  <w:smallCaps w:val="false"/>
                  <w:sz w:val="17"/>
                </w:rPr>
                <w:t xml:space="preserve">License Agreement dated as of August 11, 2015, between Imprimis Pharmaceuticals, Inc. and Advance Dosage Forms, Inc. and John DiGenova (incorporated herein by reference to Exhibit 10.1 to the Current Report on Form 8-K of Imprimis Pharmaceuticals, Inc. filed with the Securities and Exchange Commission on August 12, 2015) </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6">
              <w:r>
                <w:rPr>
                  <w:rStyle w:val="InternetLink"/>
                  <w:rFonts w:ascii="Times New Roman;Times;Serif" w:hAnsi="Times New Roman;Times;Serif"/>
                  <w:b w:val="false"/>
                  <w:i w:val="false"/>
                  <w:caps w:val="false"/>
                  <w:smallCaps w:val="false"/>
                  <w:sz w:val="17"/>
                </w:rPr>
                <w:t>Asset Purchase Agreement originally dated September 23, 2015 and subsequently amended on October 15, 2015, between ImprimisRx PA, Inc. (“ImprimisRx PA”), a Delaware corporation and a wholly-owned subsidiary of Imprimis Pharmaceuticals, Inc. and Thousand Oaks Holding Company, a Delaware corporation, and its wholly owned subsidiaries Topical Apothecary Group, LLC, a Pennsylvania limited liability company and owner and operator of TAG Pharmacy, a licensed pharmacy in Folcroft, PA; Aerosol Science Laboratories, Inc., a California corporation and former operator of ASL Pharmacy; SinuTopic, Inc., a Delaware corporation and former operator of Sinus Dynamics Pharmacy; and Mycotoxins, LLC, a California limited liability company (incorporated herein by reference to Exhibit 10.1 to the Quarterly Report on Form 10-Q of Imprimis Pharmaceuticals, Inc. filed with the Securities and Exchange Commission on November 12, 2015)</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37">
              <w:r>
                <w:rPr>
                  <w:rStyle w:val="InternetLink"/>
                  <w:rFonts w:ascii="Times New Roman;Times;Serif" w:hAnsi="Times New Roman;Times;Serif"/>
                  <w:b w:val="false"/>
                  <w:i w:val="false"/>
                  <w:caps w:val="false"/>
                  <w:smallCaps w:val="false"/>
                  <w:sz w:val="17"/>
                </w:rPr>
                <w:t>Controlled Equity Offering</w:t>
              </w:r>
            </w:hyperlink>
            <w:hyperlink r:id="rId38">
              <w:r>
                <w:rPr>
                  <w:rStyle w:val="InternetLink"/>
                  <w:rFonts w:ascii="Times New Roman;Times;Serif" w:hAnsi="Times New Roman;Times;Serif"/>
                  <w:b w:val="false"/>
                  <w:i w:val="false"/>
                  <w:caps w:val="false"/>
                  <w:smallCaps w:val="false"/>
                  <w:position w:val="5"/>
                  <w:sz w:val="13"/>
                  <w:sz w:val="17"/>
                </w:rPr>
                <w:t>SM</w:t>
              </w:r>
            </w:hyperlink>
            <w:hyperlink r:id="rId39">
              <w:r>
                <w:rPr>
                  <w:rStyle w:val="InternetLink"/>
                  <w:rFonts w:ascii="Times New Roman;Times;Serif" w:hAnsi="Times New Roman;Times;Serif"/>
                  <w:b w:val="false"/>
                  <w:i w:val="false"/>
                  <w:caps w:val="false"/>
                  <w:smallCaps w:val="false"/>
                  <w:sz w:val="17"/>
                </w:rPr>
                <w:t xml:space="preserve"> Sales Agreement, dated November 27, 2015, by and between Imprimis Pharmaceuticals, Inc. and Cantor Fitzgerald &amp; Co (incorporated herein by reference to Exhibit 1.1 to the Current Report on Form 8-K of Imprimis Pharmaceuticals, Inc. filed with the Securities and Exchange Commission on November 27, 2015) </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40">
              <w:r>
                <w:rPr>
                  <w:rStyle w:val="InternetLink"/>
                  <w:rFonts w:ascii="Times New Roman;Times;Serif" w:hAnsi="Times New Roman;Times;Serif"/>
                  <w:b w:val="false"/>
                  <w:i w:val="false"/>
                  <w:caps w:val="false"/>
                  <w:smallCaps w:val="false"/>
                  <w:sz w:val="17"/>
                </w:rPr>
                <w:t>PCCA Commission Agreement, dated December 21, 2015, by and between Imprimis Pharmaceuticals, Inc. and Professional Compounding Centers of America, Inc.</w:t>
              </w:r>
            </w:hyperlink>
          </w:p>
        </w:tc>
      </w:tr>
      <w:tr>
        <w:trPr/>
        <w:tc>
          <w:tcPr>
            <w:tcW w:w="4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10.29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94" w:type="dxa"/>
            <w:tcBorders/>
            <w:shd w:fill="auto" w:val="clear"/>
            <w:vAlign w:val="center"/>
          </w:tcPr>
          <w:p>
            <w:pPr>
              <w:pStyle w:val="TableContents"/>
              <w:spacing w:before="0" w:after="283"/>
              <w:jc w:val="both"/>
              <w:rPr/>
            </w:pPr>
            <w:hyperlink r:id="rId41">
              <w:r>
                <w:rPr>
                  <w:rStyle w:val="InternetLink"/>
                  <w:rFonts w:ascii="Times New Roman;Times;Serif" w:hAnsi="Times New Roman;Times;Serif"/>
                  <w:b w:val="false"/>
                  <w:i w:val="false"/>
                  <w:caps w:val="false"/>
                  <w:smallCaps w:val="false"/>
                  <w:sz w:val="17"/>
                </w:rPr>
                <w:t>8.00% Convertible Senior Secured Note issued on January 22, 2016 by Imprimis Pharmaceuticals, Inc. (incorporated herein by reference to Exhibit 10.1 to the Current Report on Form 8-K of Imprimis Pharmaceuticals, Inc. filed with the Securities and Exchange Commission on January 25, 2016)</w:t>
              </w:r>
            </w:hyperlink>
          </w:p>
        </w:tc>
      </w:tr>
    </w:tbl>
    <w:p>
      <w:pPr>
        <w:pStyle w:val="TextBody"/>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40"/>
        <w:gridCol w:w="60"/>
        <w:gridCol w:w="9705"/>
      </w:tblGrid>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2">
              <w:r>
                <w:rPr>
                  <w:rStyle w:val="InternetLink"/>
                  <w:rFonts w:ascii="Times New Roman;Times;Serif" w:hAnsi="Times New Roman;Times;Serif"/>
                  <w:b w:val="false"/>
                  <w:i w:val="false"/>
                  <w:caps w:val="false"/>
                  <w:smallCaps w:val="false"/>
                  <w:sz w:val="17"/>
                </w:rPr>
                <w:t>Note Purchase Agreement dated January 22, 2016 between Imprimis Pharmaceuticals, Inc. and IMMY Funding LLC (incorporated herein by reference to Exhibit 10.2 to the Current Report on Form 8-K of Imprimis Pharmaceuticals, Inc. filed with the Securities and Exchange Commission on January 25,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3">
              <w:r>
                <w:rPr>
                  <w:rStyle w:val="InternetLink"/>
                  <w:rFonts w:ascii="Times New Roman;Times;Serif" w:hAnsi="Times New Roman;Times;Serif"/>
                  <w:b w:val="false"/>
                  <w:i w:val="false"/>
                  <w:caps w:val="false"/>
                  <w:smallCaps w:val="false"/>
                  <w:sz w:val="17"/>
                </w:rPr>
                <w:t>Second Amendment to Loan and Security Agreement dated January 22, 2016 between Imprimis Pharmaceuticals, Inc. and IMMY Funding LLC (incorporated herein by reference to Exhibit 10.3 to the Current Report on Form 8-K of Imprimis Pharmaceuticals, Inc. filed with the Securities and Exchange Commission on January 25,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4">
              <w:r>
                <w:rPr>
                  <w:rStyle w:val="InternetLink"/>
                  <w:rFonts w:ascii="Times New Roman;Times;Serif" w:hAnsi="Times New Roman;Times;Serif"/>
                  <w:b w:val="false"/>
                  <w:i w:val="false"/>
                  <w:caps w:val="false"/>
                  <w:smallCaps w:val="false"/>
                  <w:sz w:val="17"/>
                </w:rPr>
                <w:t>Amendment to Warrant to Purchase Stock dated January 22, 2016 between Imprimis Pharmaceuticals, Inc. and IMMY Funding LLC (incorporated herein by reference to Exhibit 10.4 to the Current Report on Form 8-K of Imprimis Pharmaceuticals, Inc. filed with the Securities and Exchange Commission on January 25,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5">
              <w:r>
                <w:rPr>
                  <w:rStyle w:val="InternetLink"/>
                  <w:rFonts w:ascii="Times New Roman;Times;Serif" w:hAnsi="Times New Roman;Times;Serif"/>
                  <w:b w:val="false"/>
                  <w:i w:val="false"/>
                  <w:caps w:val="false"/>
                  <w:smallCaps w:val="false"/>
                  <w:sz w:val="17"/>
                </w:rPr>
                <w:t>Underwriting Agreement, dated as of March 11, 2016, by and between Imprimis Pharmaceuticals, Inc. and National Securities Corporation (incorporated herein by reference to Exhibit 10.1 to the Current Report on Form 8-K of Imprimis Pharmaceuticals, Inc. filed with the Securities and Exchange Commission on March 11,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6">
              <w:r>
                <w:rPr>
                  <w:rStyle w:val="InternetLink"/>
                  <w:rFonts w:ascii="Times New Roman;Times;Serif" w:hAnsi="Times New Roman;Times;Serif"/>
                  <w:b w:val="false"/>
                  <w:i w:val="false"/>
                  <w:caps w:val="false"/>
                  <w:smallCaps w:val="false"/>
                  <w:sz w:val="17"/>
                </w:rPr>
                <w:t>Securities Purchase Agreement, dated December 19, 2016, between the Registrant and the Investors party thereto (incorporated herein by reference to Exhibit 10.1 to the Current Report on Form 8-K of Imprimis Pharmaceuticals, Inc. filed with the Securities and Exchange Commission on December 23,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7">
              <w:r>
                <w:rPr>
                  <w:rStyle w:val="InternetLink"/>
                  <w:rFonts w:ascii="Times New Roman;Times;Serif" w:hAnsi="Times New Roman;Times;Serif"/>
                  <w:b w:val="false"/>
                  <w:i w:val="false"/>
                  <w:caps w:val="false"/>
                  <w:smallCaps w:val="false"/>
                  <w:sz w:val="17"/>
                </w:rPr>
                <w:t>Form of Registration Rights Agreement between the Registrant and the Investors party thereto (incorporated herein by reference to Exhibit 10.2 to the Current Report on Form 8-K of Imprimis Pharmaceuticals, Inc. filed with the Securities and Exchange Commission on December 23,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8">
              <w:r>
                <w:rPr>
                  <w:rStyle w:val="InternetLink"/>
                  <w:rFonts w:ascii="Times New Roman;Times;Serif" w:hAnsi="Times New Roman;Times;Serif"/>
                  <w:b w:val="false"/>
                  <w:i w:val="false"/>
                  <w:caps w:val="false"/>
                  <w:smallCaps w:val="false"/>
                  <w:sz w:val="17"/>
                </w:rPr>
                <w:t>Form of Investor Warrant (incorporated herein by reference to Exhibit 10.3 to the Current Report on Form 8-K of Imprimis Pharmaceuticals, Inc. filed with the Securities and Exchange Commission on December 23,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49">
              <w:r>
                <w:rPr>
                  <w:rStyle w:val="InternetLink"/>
                  <w:rFonts w:ascii="Times New Roman;Times;Serif" w:hAnsi="Times New Roman;Times;Serif"/>
                  <w:b w:val="false"/>
                  <w:i w:val="false"/>
                  <w:caps w:val="false"/>
                  <w:smallCaps w:val="false"/>
                  <w:sz w:val="17"/>
                </w:rPr>
                <w:t>Third Amendment to Loan and Security Agreement, dated December 27, 2016, by and between Imprimis Pharmaceuticals and IMMY Funding LLC (incorporated herein by reference to Exhibit 10.1 to the Current Report on Form 8-K of Imprimis Pharmaceuticals, Inc. filed with the Securities and Exchange Commission on December 29,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0">
              <w:r>
                <w:rPr>
                  <w:rStyle w:val="InternetLink"/>
                  <w:rFonts w:ascii="Times New Roman;Times;Serif" w:hAnsi="Times New Roman;Times;Serif"/>
                  <w:b w:val="false"/>
                  <w:i w:val="false"/>
                  <w:caps w:val="false"/>
                  <w:smallCaps w:val="false"/>
                  <w:sz w:val="17"/>
                </w:rPr>
                <w:t>Exchange and Discharge Agreement, dated December 27, 2016, by and between Imprimis Pharmaceuticals and IMMY Funding LLC (incorporated herein by reference to Exhibit 10.2 to the Current Report on Form 8-K of Imprimis Pharmaceuticals, Inc. filed with the Securities and Exchange Commission on December 29, 2016)</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10.39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1">
              <w:r>
                <w:rPr>
                  <w:rStyle w:val="InternetLink"/>
                  <w:rFonts w:ascii="Times New Roman;Times;Serif" w:hAnsi="Times New Roman;Times;Serif"/>
                  <w:b w:val="false"/>
                  <w:i w:val="false"/>
                  <w:caps w:val="false"/>
                  <w:smallCaps w:val="false"/>
                  <w:sz w:val="17"/>
                </w:rPr>
                <w:t xml:space="preserve">Warrant Amendment to Purchase Stock, dated December 27, 2016, issued by Imprimis Pharmaceuticals, Inc. (incorporated herein by reference to Exhibit 10.3 to the Current Report on Form 8-K of Imprimis Pharmaceuticals, Inc. filed with the Securities and Exchange Commission on December 29, 2016) </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2">
              <w:r>
                <w:rPr>
                  <w:rStyle w:val="InternetLink"/>
                  <w:rFonts w:ascii="Times New Roman;Times;Serif" w:hAnsi="Times New Roman;Times;Serif"/>
                  <w:b w:val="false"/>
                  <w:i w:val="false"/>
                  <w:caps w:val="false"/>
                  <w:smallCaps w:val="false"/>
                  <w:sz w:val="17"/>
                </w:rPr>
                <w:t>Stock Purchase Agreement dated February 13, 2017 between Imprimis Pharmaceuticals, Inc. and Livernois &amp; London, LLC (incorporated herein by reference to Exhibit 10.1 to the Current Report on Form 8-K of Imprimis Pharmaceuticals, Inc. filed with the Securities and Exchange Commission on February 17,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3">
              <w:r>
                <w:rPr>
                  <w:rStyle w:val="InternetLink"/>
                  <w:rFonts w:ascii="Times New Roman;Times;Serif" w:hAnsi="Times New Roman;Times;Serif"/>
                  <w:b w:val="false"/>
                  <w:i w:val="false"/>
                  <w:caps w:val="false"/>
                  <w:smallCaps w:val="false"/>
                  <w:sz w:val="17"/>
                </w:rPr>
                <w:t>Form of Securities Purchase Agreement, dated March 21, 2017, between the Registrant and the Investors (incorporated herein by reference to Exhibit 10.1 to the Current Report on Form 8-K of Imprimis Pharmaceuticals, Inc. filed with the Securities and Exchange Commission on March 22,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4">
              <w:r>
                <w:rPr>
                  <w:rStyle w:val="InternetLink"/>
                  <w:rFonts w:ascii="Times New Roman;Times;Serif" w:hAnsi="Times New Roman;Times;Serif"/>
                  <w:b w:val="false"/>
                  <w:i w:val="false"/>
                  <w:caps w:val="false"/>
                  <w:smallCaps w:val="false"/>
                  <w:sz w:val="17"/>
                </w:rPr>
                <w:t>License Agreement dated April 1, 2017 between Imprimis Pharmaceuticals, Inc. and Richard L. Lindstrom, M.D. (incorporated herein by reference to Exhibit 10.1 to the Current Report on Form 8-K of Imprimis Pharmaceuticals, Inc. filed with the Securities and Exchange Commission on April 6,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5">
              <w:r>
                <w:rPr>
                  <w:rStyle w:val="InternetLink"/>
                  <w:rFonts w:ascii="Times New Roman;Times;Serif" w:hAnsi="Times New Roman;Times;Serif"/>
                  <w:b w:val="false"/>
                  <w:i w:val="false"/>
                  <w:caps w:val="false"/>
                  <w:smallCaps w:val="false"/>
                  <w:sz w:val="17"/>
                </w:rPr>
                <w:t>Strategic Sales &amp; Marketing Agreement dated April 13, 2017 between Imprimis Pharmaceuticals, Inc. and Cameron Ehlen Group, Inc. (incorporated herein by reference to Exhibit 10.1 to the Current Report on Form 8-K of Imprimis Pharmaceuticals, Inc. filed with the Securities and Exchange Commission on April 17,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6">
              <w:r>
                <w:rPr>
                  <w:rStyle w:val="InternetLink"/>
                  <w:rFonts w:ascii="Times New Roman;Times;Serif" w:hAnsi="Times New Roman;Times;Serif"/>
                  <w:b w:val="false"/>
                  <w:i w:val="false"/>
                  <w:caps w:val="false"/>
                  <w:smallCaps w:val="false"/>
                  <w:sz w:val="17"/>
                </w:rPr>
                <w:t>Strategic Sales &amp; Marketing Agreement dated April 28, 2017 between Imprimis Pharmaceuticals, Inc. and SightLife Surgical, Inc. (incorporated herein by reference to Exhibit 10.1 to the Current Report on Form 8-K of Imprimis Pharmaceuticals, Inc. filed with the Securities and Exchange Commission on May 2,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7">
              <w:r>
                <w:rPr>
                  <w:rStyle w:val="InternetLink"/>
                  <w:rFonts w:ascii="Times New Roman;Times;Serif" w:hAnsi="Times New Roman;Times;Serif"/>
                  <w:b w:val="false"/>
                  <w:i w:val="false"/>
                  <w:caps w:val="false"/>
                  <w:smallCaps w:val="false"/>
                  <w:sz w:val="17"/>
                </w:rPr>
                <w:t>Consulting Agreement dated May 1, 2017 between Eton Pharmaceuticals, Inc. and Mark L. Baum (incorporated herein by reference to Exhibit 10.8 to the Quarterly Report on Form 10-Q of Imprimis Pharmaceuticals, Inc. filed with the Securities and Exchange Commission on August 10,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8">
              <w:r>
                <w:rPr>
                  <w:rStyle w:val="InternetLink"/>
                  <w:rFonts w:ascii="Times New Roman;Times;Serif" w:hAnsi="Times New Roman;Times;Serif"/>
                  <w:b w:val="false"/>
                  <w:i w:val="false"/>
                  <w:caps w:val="false"/>
                  <w:smallCaps w:val="false"/>
                  <w:sz w:val="17"/>
                </w:rPr>
                <w:t>Consulting Agreement dated May 1, 2017 between Eton Pharmaceuticals, Inc. and Andrew R. Boll (incorporated herein by reference to Exhibit 10.9 to the Quarterly Report on Form 10-Q of Imprimis Pharmaceuticals, Inc. filed with the Securities and Exchange Commission on August 10,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59">
              <w:r>
                <w:rPr>
                  <w:rStyle w:val="InternetLink"/>
                  <w:rFonts w:ascii="Times New Roman;Times;Serif" w:hAnsi="Times New Roman;Times;Serif"/>
                  <w:b w:val="false"/>
                  <w:i w:val="false"/>
                  <w:caps w:val="false"/>
                  <w:smallCaps w:val="false"/>
                  <w:sz w:val="17"/>
                </w:rPr>
                <w:t>Consulting Agreement dated May 1, 2017 between Eton Pharmaceuticals, Inc. and John P. Saharek (incorporated herein by reference to Exhibit 10.10 to the Quarterly Report on Form 10-Q of Imprimis Pharmaceuticals, Inc. filed with the Securities and Exchange Commission on August 10,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60">
              <w:r>
                <w:rPr>
                  <w:rStyle w:val="InternetLink"/>
                  <w:rFonts w:ascii="Times New Roman;Times;Serif" w:hAnsi="Times New Roman;Times;Serif"/>
                  <w:b w:val="false"/>
                  <w:i w:val="false"/>
                  <w:caps w:val="false"/>
                  <w:smallCaps w:val="false"/>
                  <w:sz w:val="17"/>
                </w:rPr>
                <w:t>Consulting Agreement dated May 1, 2017 between Eton Pharmaceuticals, Inc. and Clayton Edwards (incorporated herein by reference to Exhibit 10.11 to the Quarterly Report on Form 10-Q of Imprimis Pharmaceuticals, Inc. filed with the Securities and Exchange Commission on August 10,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10.49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61">
              <w:r>
                <w:rPr>
                  <w:rStyle w:val="InternetLink"/>
                  <w:rFonts w:ascii="Times New Roman;Times;Serif" w:hAnsi="Times New Roman;Times;Serif"/>
                  <w:b w:val="false"/>
                  <w:i w:val="false"/>
                  <w:caps w:val="false"/>
                  <w:smallCaps w:val="false"/>
                  <w:sz w:val="17"/>
                </w:rPr>
                <w:t>Asset Purchase and License Agreement (pentoxifylline) dated May 9, 2017 between Imprimis Pharmaceuticals, Inc. and Eton Pharmaceuticals, Inc. (incorporated herein by reference to Exhibit 10.1 to the Current Report on Form 8-K of Imprimis Pharmaceuticals, Inc. filed with the Securities and Exchange Commission on June 20, 2017)</w:t>
              </w:r>
            </w:hyperlink>
          </w:p>
        </w:tc>
      </w:tr>
      <w:tr>
        <w:trPr/>
        <w:tc>
          <w:tcPr>
            <w:tcW w:w="4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5" w:type="dxa"/>
            <w:tcBorders/>
            <w:shd w:fill="auto" w:val="clear"/>
            <w:vAlign w:val="center"/>
          </w:tcPr>
          <w:p>
            <w:pPr>
              <w:pStyle w:val="TableContents"/>
              <w:spacing w:before="0" w:after="283"/>
              <w:jc w:val="both"/>
              <w:rPr/>
            </w:pPr>
            <w:hyperlink r:id="rId62">
              <w:r>
                <w:rPr>
                  <w:rStyle w:val="InternetLink"/>
                  <w:rFonts w:ascii="Times New Roman;Times;Serif" w:hAnsi="Times New Roman;Times;Serif"/>
                  <w:b w:val="false"/>
                  <w:i w:val="false"/>
                  <w:caps w:val="false"/>
                  <w:smallCaps w:val="false"/>
                  <w:sz w:val="17"/>
                </w:rPr>
                <w:t>Asset Purchase and License Agreement (corticotropin) dated May 9, 2017 between Imprimis Pharmaceuticals, Inc. and Eton Pharmaceuticals, Inc. (incorporated herein by reference to Exhibit 10.2 to the Current Report on Form 8-K of Imprimis Pharmaceuticals, Inc. filed with the Securities and Exchange Commission on June 20, 2017)</w:t>
              </w:r>
            </w:hyperlink>
          </w:p>
        </w:tc>
      </w:tr>
    </w:tbl>
    <w:p>
      <w:pPr>
        <w:pStyle w:val="TextBody"/>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63">
              <w:r>
                <w:rPr>
                  <w:rStyle w:val="InternetLink"/>
                  <w:rFonts w:ascii="Times New Roman;Times;Serif" w:hAnsi="Times New Roman;Times;Serif"/>
                  <w:b w:val="false"/>
                  <w:i w:val="false"/>
                  <w:caps w:val="false"/>
                  <w:smallCaps w:val="false"/>
                  <w:sz w:val="17"/>
                </w:rPr>
                <w:t>Management Services Agreement dated May 1, 2017 between Imprimis Pharmaceuticals, Inc. and Eton Pharmaceuticals, Inc. (incorporated herein by reference to Exhibit 10.4 to the Current Report on Form 8-K of Imprimis Pharmaceuticals, Inc. filed with the Securities and Exchange Commission on June 20, 2017)</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64">
              <w:r>
                <w:rPr>
                  <w:rStyle w:val="InternetLink"/>
                  <w:rFonts w:ascii="Times New Roman;Times;Serif" w:hAnsi="Times New Roman;Times;Serif"/>
                  <w:b w:val="false"/>
                  <w:i w:val="false"/>
                  <w:caps w:val="false"/>
                  <w:smallCaps w:val="false"/>
                  <w:sz w:val="17"/>
                </w:rPr>
                <w:t>Asset Purchase Agreement dated June 27, 2017 between Imprimis Pharmaceuticals, Inc. and its wholly owned subsidiaries ImprimisRx PA, Inc. and ImprimisRx CA, Inc. and Creative Pharmacy Solutions Central, LLC</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65">
              <w:r>
                <w:rPr>
                  <w:rStyle w:val="InternetLink"/>
                  <w:rFonts w:ascii="Times New Roman;Times;Serif" w:hAnsi="Times New Roman;Times;Serif"/>
                  <w:b w:val="false"/>
                  <w:i w:val="false"/>
                  <w:caps w:val="false"/>
                  <w:smallCaps w:val="false"/>
                  <w:sz w:val="17"/>
                </w:rPr>
                <w:t>Consulting Agreement dated October 27, 2017 between Surface Pharmaceuticals, Inc. and Mark L. Baum (incorporated herein by reference to Exhibit 10.53 to the Annual Report on Form 10-K of Imprimis Pharmaceuticals, Inc. filed with the Securities and Exchange Commission on March 8, 2017)</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66">
              <w:r>
                <w:rPr>
                  <w:rStyle w:val="InternetLink"/>
                  <w:rFonts w:ascii="Times New Roman;Times;Serif" w:hAnsi="Times New Roman;Times;Serif"/>
                  <w:b w:val="false"/>
                  <w:i w:val="false"/>
                  <w:caps w:val="false"/>
                  <w:smallCaps w:val="false"/>
                  <w:sz w:val="17"/>
                </w:rPr>
                <w:t>Consulting Agreement dated October 27, 2017 between Surface Pharmaceuticals, Inc. and Andrew R. Boll (incorporated herein by reference to Exhibit 10.54 to the Annual Report on Form 10-K of Imprimis Pharmaceuticals, Inc. filed with the Securities and Exchange Commission on March 8, 2017)</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67">
              <w:r>
                <w:rPr>
                  <w:rStyle w:val="InternetLink"/>
                  <w:rFonts w:ascii="Times New Roman;Times;Serif" w:hAnsi="Times New Roman;Times;Serif"/>
                  <w:b w:val="false"/>
                  <w:i w:val="false"/>
                  <w:caps w:val="false"/>
                  <w:smallCaps w:val="false"/>
                  <w:sz w:val="17"/>
                </w:rPr>
                <w:t>Consulting Agreement dated October 27, 2017 between Surface Pharmaceuticals, Inc. and John P. Saharek (incorporated herein by reference to Exhibit 10.55 to the Annual Report on Form 10-K of Imprimis Pharmaceuticals, Inc. filed with the Securities and Exchange Commission on March 8, 2017)</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68">
              <w:r>
                <w:rPr>
                  <w:rStyle w:val="InternetLink"/>
                  <w:rFonts w:ascii="Times New Roman;Times;Serif" w:hAnsi="Times New Roman;Times;Serif"/>
                  <w:b w:val="false"/>
                  <w:i w:val="false"/>
                  <w:caps w:val="false"/>
                  <w:smallCaps w:val="false"/>
                  <w:sz w:val="17"/>
                </w:rPr>
                <w:t>Asset Purchase and License Agreement dated September 28, 2017 between Imprimis Pharmaceuticals, Inc. and Surface Pharmaceuticals, Inc. (incorporated herein by reference to Exhibit 10.1 to the Current Report on Form 8-K of Imprimis Pharmaceuticals, Inc. filed with the Securities and Exchange Commission on May 15, 2018)</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69">
              <w:r>
                <w:rPr>
                  <w:rStyle w:val="InternetLink"/>
                  <w:rFonts w:ascii="Times New Roman;Times;Serif" w:hAnsi="Times New Roman;Times;Serif"/>
                  <w:b w:val="false"/>
                  <w:i w:val="false"/>
                  <w:caps w:val="false"/>
                  <w:smallCaps w:val="false"/>
                  <w:sz w:val="17"/>
                </w:rPr>
                <w:t>Amend and Restated Asset Purchase and License Agreement dated April 10, 2018 between Imprimis Pharmaceuticals, Inc. and Surface Pharmaceuticals, Inc. (incorporated herein by reference to Exhibit 10.2 to the Current Report on Form 8-K of Imprimis Pharmaceuticals, Inc. filed with the Securities and Exchange Commission on May 15, 2018)</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70">
              <w:r>
                <w:rPr>
                  <w:rStyle w:val="InternetLink"/>
                  <w:rFonts w:ascii="Times New Roman;Times;Serif" w:hAnsi="Times New Roman;Times;Serif"/>
                  <w:b w:val="false"/>
                  <w:i w:val="false"/>
                  <w:caps w:val="false"/>
                  <w:smallCaps w:val="false"/>
                  <w:sz w:val="17"/>
                </w:rPr>
                <w:t>Amended and Restated License Agreement dated April 10, 2018 between Imprimis Pharmaceuticals, Inc. and Richard L. Lindstrom, M.D. (incorporated herein by reference to Exhibit 10.3 to the Quarterly Report on Form 10-Q of Imprimis Pharmaceuticals, Inc. filed with the Securities and Exchange Commission on August 6, 2018)</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10.59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71">
              <w:r>
                <w:rPr>
                  <w:rStyle w:val="InternetLink"/>
                  <w:rFonts w:ascii="Times New Roman;Times;Serif" w:hAnsi="Times New Roman;Times;Serif"/>
                  <w:b w:val="false"/>
                  <w:i w:val="false"/>
                  <w:caps w:val="false"/>
                  <w:smallCaps w:val="false"/>
                  <w:sz w:val="17"/>
                </w:rPr>
                <w:t>Consulting Agreement dated March 1, 2018 between Surface Pharmaceuticals, Inc. and Richard L. Lindstrom, M.D. (incorporated herein by reference to Exhibit 10.4 to the Quarterly Report on Form 10-Q of Imprimis Pharmaceuticals, Inc. filed with the Securities and Exchange Commission on August 6, 2018)</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10.60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72">
              <w:r>
                <w:rPr>
                  <w:rStyle w:val="InternetLink"/>
                  <w:rFonts w:ascii="Times New Roman;Times;Serif" w:hAnsi="Times New Roman;Times;Serif"/>
                  <w:b w:val="false"/>
                  <w:i w:val="false"/>
                  <w:caps w:val="false"/>
                  <w:smallCaps w:val="false"/>
                  <w:sz w:val="17"/>
                </w:rPr>
                <w:t>Consulting Agreement dated May 1, 2018 between Melt Pharmaceuticals, Inc. and Mark L. Baum (incorporated herein by reference to Exhibit 10.1 to the Quarterly Report on Form 10-Q of Imprimis Pharmaceuticals, Inc. filed with the Securities and Exchange Commission on November 13, 2018)</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10.61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73">
              <w:r>
                <w:rPr>
                  <w:rStyle w:val="InternetLink"/>
                  <w:rFonts w:ascii="Times New Roman;Times;Serif" w:hAnsi="Times New Roman;Times;Serif"/>
                  <w:b w:val="false"/>
                  <w:i w:val="false"/>
                  <w:caps w:val="false"/>
                  <w:smallCaps w:val="false"/>
                  <w:sz w:val="17"/>
                </w:rPr>
                <w:t>Consulting Agreement dated May 1, 2018 between Melt Pharmaceuticals, Inc. and Andrew R. Boll (incorporated herein by reference to Exhibit 10.2 to the Quarterly Report on Form 10-Q of Imprimis Pharmaceuticals, Inc. filed with the Securities and Exchange Commission on November 13, 2018)</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10.62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r:id="rId74">
              <w:r>
                <w:rPr>
                  <w:rStyle w:val="InternetLink"/>
                  <w:rFonts w:ascii="Times New Roman;Times;Serif" w:hAnsi="Times New Roman;Times;Serif"/>
                  <w:b w:val="false"/>
                  <w:i w:val="false"/>
                  <w:caps w:val="false"/>
                  <w:smallCaps w:val="false"/>
                  <w:sz w:val="17"/>
                </w:rPr>
                <w:t>Consulting Agreement dated May 1, 2018 between Melt Pharmaceuticals, Inc. and John P. Saharek (incorporated herein by reference to Exhibit 10.3 to the Quarterly Report on Form 10-Q of Imprimis Pharmaceuticals, Inc. filed with the Securities and Exchange Commission on November 13, 2018)</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w:anchor="ex21-1.htm">
              <w:r>
                <w:rPr>
                  <w:rStyle w:val="InternetLink"/>
                  <w:rFonts w:ascii="Times New Roman;Times;Serif" w:hAnsi="Times New Roman;Times;Serif"/>
                  <w:b w:val="false"/>
                  <w:i w:val="false"/>
                  <w:caps w:val="false"/>
                  <w:smallCaps w:val="false"/>
                  <w:sz w:val="17"/>
                </w:rPr>
                <w:t xml:space="preserve">List of Subsidiaries </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w:anchor="ex23-1.htm">
              <w:r>
                <w:rPr>
                  <w:rStyle w:val="InternetLink"/>
                  <w:rFonts w:ascii="Times New Roman;Times;Serif" w:hAnsi="Times New Roman;Times;Serif"/>
                  <w:b w:val="false"/>
                  <w:i w:val="false"/>
                  <w:caps w:val="false"/>
                  <w:smallCaps w:val="false"/>
                  <w:sz w:val="17"/>
                </w:rPr>
                <w:t>Consent of Independent Registered Public Accounting Firm</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w:anchor="h_001">
              <w:r>
                <w:rPr>
                  <w:rStyle w:val="InternetLink"/>
                  <w:rFonts w:ascii="Times New Roman;Times;Serif" w:hAnsi="Times New Roman;Times;Serif"/>
                  <w:b w:val="false"/>
                  <w:i w:val="false"/>
                  <w:caps w:val="false"/>
                  <w:smallCaps w:val="false"/>
                  <w:sz w:val="17"/>
                </w:rPr>
                <w:t xml:space="preserve">Power of Attorney (included on the signature page to this Annual Report) </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w:anchor="ex31-1.htm">
              <w:r>
                <w:rPr>
                  <w:rStyle w:val="InternetLink"/>
                  <w:rFonts w:ascii="Times New Roman;Times;Serif" w:hAnsi="Times New Roman;Times;Serif"/>
                  <w:b w:val="false"/>
                  <w:i w:val="false"/>
                  <w:caps w:val="false"/>
                  <w:smallCaps w:val="false"/>
                  <w:sz w:val="17"/>
                </w:rPr>
                <w:t>Certification of Mark L. Baum, Chief Executive Officer, pursuant to Rule 13a-14(a) or 15d-14(a) of the Securities and Exchange Act of 1934, as adopted pursuant to Section 302 of the Sarbanes-Oxley Act of 2002.</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w:anchor="ex31-2.htm">
              <w:r>
                <w:rPr>
                  <w:rStyle w:val="InternetLink"/>
                  <w:rFonts w:ascii="Times New Roman;Times;Serif" w:hAnsi="Times New Roman;Times;Serif"/>
                  <w:b w:val="false"/>
                  <w:i w:val="false"/>
                  <w:caps w:val="false"/>
                  <w:smallCaps w:val="false"/>
                  <w:sz w:val="17"/>
                </w:rPr>
                <w:t>Certification of Andrew R. Boll, Chief Financial Officer, pursuant to Rule 13a-14(a) or 15d-14(a) of the Securities and Exchange Act of 1934, as adopted pursuant to Section 302 of the Sarbanes-Oxley Act of 2002.</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w:anchor="ex32-1.htm">
              <w:r>
                <w:rPr>
                  <w:rStyle w:val="InternetLink"/>
                  <w:rFonts w:ascii="Times New Roman;Times;Serif" w:hAnsi="Times New Roman;Times;Serif"/>
                  <w:b w:val="false"/>
                  <w:i w:val="false"/>
                  <w:caps w:val="false"/>
                  <w:smallCaps w:val="false"/>
                  <w:sz w:val="17"/>
                </w:rPr>
                <w:t xml:space="preserve">Certification pursuant to 18 U.S.C. Section 1350, as adopted pursuant to Section 906 of the Sarbanes-Oxley Act of 2002, executed by Mark L. Baum, Chief Executive Officer. </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pPr>
            <w:hyperlink w:anchor="ex32-2.htm">
              <w:r>
                <w:rPr>
                  <w:rStyle w:val="InternetLink"/>
                  <w:rFonts w:ascii="Times New Roman;Times;Serif" w:hAnsi="Times New Roman;Times;Serif"/>
                  <w:b w:val="false"/>
                  <w:i w:val="false"/>
                  <w:caps w:val="false"/>
                  <w:smallCaps w:val="false"/>
                  <w:sz w:val="17"/>
                </w:rPr>
                <w:t>Certification pursuant to 18 U.S.C. Section 1350, as adopted pursuant to Section 906 of the Sarbanes-Oxley Act of 2002, executed by Andrew R. Boll, Chief Financial Officer.</w:t>
              </w:r>
            </w:hyperlink>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101.INS*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XBRL Instant Document</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101.SCH*</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XBRL Taxonomy Extension Schema Document</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101.CAL*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XBRL Taxonomy Extension Calculation Linkbase Document</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101.DEF*</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XBRL Taxonomy Extension Definition Linkbase Document</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101.LAB*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XBRL Taxonomy Extension Label Linkbase Document</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101.PRE*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XBRL Taxonomy Extension Presentation Linkbase Document</w:t>
            </w:r>
          </w:p>
        </w:tc>
      </w:tr>
    </w:tbl>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t>
            </w:r>
          </w:p>
        </w:tc>
        <w:tc>
          <w:tcPr>
            <w:tcW w:w="100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Management contract or compensatory plan or arrangement.</w:t>
            </w:r>
          </w:p>
        </w:tc>
      </w:tr>
      <w:tr>
        <w:trPr/>
        <w:tc>
          <w:tcPr>
            <w:tcW w:w="1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t>
            </w:r>
          </w:p>
        </w:tc>
        <w:tc>
          <w:tcPr>
            <w:tcW w:w="100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Filed herewith.</w:t>
            </w:r>
          </w:p>
        </w:tc>
      </w:tr>
      <w:tr>
        <w:trPr/>
        <w:tc>
          <w:tcPr>
            <w:tcW w:w="1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t>
            </w:r>
          </w:p>
        </w:tc>
        <w:tc>
          <w:tcPr>
            <w:tcW w:w="100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Furnished herewith.</w:t>
            </w:r>
          </w:p>
        </w:tc>
      </w:tr>
      <w:tr>
        <w:trPr/>
        <w:tc>
          <w:tcPr>
            <w:tcW w:w="1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t>
            </w:r>
          </w:p>
        </w:tc>
        <w:tc>
          <w:tcPr>
            <w:tcW w:w="100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tc>
      </w:tr>
    </w:tbl>
    <w:p>
      <w:pPr>
        <w:pStyle w:val="TextBody"/>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r>
        <w:br w:type="page"/>
      </w:r>
    </w:p>
    <w:p>
      <w:pPr>
        <w:pStyle w:val="TextBody"/>
        <w:jc w:val="center"/>
        <w:rPr>
          <w:caps w:val="false"/>
          <w:smallCaps w:val="false"/>
        </w:rPr>
      </w:pPr>
      <w:bookmarkStart w:id="34" w:name="ex21-1.htm"/>
      <w:bookmarkStart w:id="35" w:name="ksex211"/>
      <w:bookmarkEnd w:id="34"/>
      <w:bookmarkEnd w:id="35"/>
      <w:r>
        <w:rPr>
          <w:caps w:val="false"/>
          <w:smallCaps w:val="false"/>
        </w:rPr>
        <w:t> </w:t>
      </w:r>
    </w:p>
    <w:p>
      <w:pPr>
        <w:pStyle w:val="TextBody"/>
        <w:jc w:val="right"/>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21.1</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HARROW HEALTH, INC. SUBSIDIARIES</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as of December 31, 2018</w:t>
      </w:r>
    </w:p>
    <w:p>
      <w:pPr>
        <w:pStyle w:val="TextBody"/>
        <w:jc w:val="center"/>
        <w:rPr>
          <w:caps w:val="false"/>
          <w:smallCaps w:val="false"/>
        </w:rPr>
      </w:pPr>
      <w:r>
        <w:rPr>
          <w:caps w:val="false"/>
          <w:smallCaps w:val="false"/>
        </w:rPr>
        <w:t> </w:t>
      </w:r>
    </w:p>
    <w:tbl>
      <w:tblPr>
        <w:tblW w:w="5140" w:type="dxa"/>
        <w:jc w:val="left"/>
        <w:tblInd w:w="0" w:type="dxa"/>
        <w:tblCellMar>
          <w:top w:w="0" w:type="dxa"/>
          <w:left w:w="0" w:type="dxa"/>
          <w:bottom w:w="28" w:type="dxa"/>
          <w:right w:w="0" w:type="dxa"/>
        </w:tblCellMar>
      </w:tblPr>
      <w:tblGrid>
        <w:gridCol w:w="2180"/>
        <w:gridCol w:w="60"/>
        <w:gridCol w:w="2900"/>
      </w:tblGrid>
      <w:tr>
        <w:trPr/>
        <w:tc>
          <w:tcPr>
            <w:tcW w:w="218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Name of Subsidiary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State of Incorporation or Organization</w:t>
            </w:r>
          </w:p>
        </w:tc>
      </w:tr>
      <w:tr>
        <w:trPr/>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Imprimis NJOF, LLC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New Jersey</w:t>
            </w:r>
          </w:p>
        </w:tc>
      </w:tr>
      <w:tr>
        <w:trPr/>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ImprimisRx NJ, LLC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New Jersey</w:t>
            </w:r>
          </w:p>
        </w:tc>
      </w:tr>
      <w:tr>
        <w:trPr/>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ImprimisRx PA, Inc.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Delaware</w:t>
            </w:r>
          </w:p>
        </w:tc>
      </w:tr>
      <w:tr>
        <w:trPr/>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Park Compounding, Inc.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California</w:t>
            </w:r>
          </w:p>
        </w:tc>
      </w:tr>
      <w:tr>
        <w:trPr/>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Melt Pharmaceuticals, Inc.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Nevada</w:t>
            </w:r>
          </w:p>
        </w:tc>
      </w:tr>
      <w:tr>
        <w:trPr/>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Radley Pharmaceuticals, Inc.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Nevada</w:t>
            </w:r>
          </w:p>
        </w:tc>
      </w:tr>
      <w:tr>
        <w:trPr/>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Mayfield Pharmaceuticals, Inc.</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9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Nevada</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r>
        <w:br w:type="page"/>
      </w:r>
    </w:p>
    <w:p>
      <w:pPr>
        <w:pStyle w:val="TextBody"/>
        <w:jc w:val="center"/>
        <w:rPr>
          <w:caps w:val="false"/>
          <w:smallCaps w:val="false"/>
        </w:rPr>
      </w:pPr>
      <w:bookmarkStart w:id="36" w:name="ex23-1.htm"/>
      <w:bookmarkStart w:id="37" w:name="ksex231"/>
      <w:bookmarkEnd w:id="36"/>
      <w:bookmarkEnd w:id="37"/>
      <w:r>
        <w:rPr>
          <w:caps w:val="false"/>
          <w:smallCaps w:val="false"/>
        </w:rPr>
        <w:t> </w:t>
      </w:r>
    </w:p>
    <w:p>
      <w:pPr>
        <w:pStyle w:val="TextBody"/>
        <w:jc w:val="right"/>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23.1</w:t>
      </w:r>
    </w:p>
    <w:p>
      <w:pPr>
        <w:pStyle w:val="TextBody"/>
        <w:jc w:val="center"/>
        <w:rPr>
          <w:caps w:val="false"/>
          <w:smallCaps w:val="false"/>
        </w:rPr>
      </w:pPr>
      <w:r>
        <w:rPr>
          <w:caps w:val="false"/>
          <w:smallCaps w:val="false"/>
        </w:rPr>
        <w:t> </w:t>
      </w:r>
    </w:p>
    <w:p>
      <w:pPr>
        <w:pStyle w:val="TextBody"/>
        <w:ind w:left="200" w:right="0" w:hanging="200"/>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CONSENT OF INDEPENDENT REGISTERED PUBLIC ACCOUNTING FIRM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consent to the incorporation by reference in Registration Statement Nos. 333-159159, 333-183488, 333-198674 and 333-220186 on Form S-8 and Registration Statement Nos. 333-198675, 333-215672 and 333-218308 on Form S-3 of our report dated March 12, 2019, relating to the consolidated financial statements of Harrow Health, Inc. and subsidiaries, appearing in this Annual Report on Form 10-K of Harrow Health, Inc. for the year ended December 31,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KMJ Corbin &amp; Company LLP</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Costa Mesa, California</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March 12, 2019</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r>
        <w:br w:type="page"/>
      </w:r>
    </w:p>
    <w:p>
      <w:pPr>
        <w:pStyle w:val="TextBody"/>
        <w:jc w:val="center"/>
        <w:rPr>
          <w:caps w:val="false"/>
          <w:smallCaps w:val="false"/>
        </w:rPr>
      </w:pPr>
      <w:bookmarkStart w:id="38" w:name="ex31-1.htm"/>
      <w:bookmarkStart w:id="39" w:name="ksex311"/>
      <w:bookmarkEnd w:id="38"/>
      <w:bookmarkEnd w:id="39"/>
      <w:r>
        <w:rPr>
          <w:caps w:val="false"/>
          <w:smallCaps w:val="false"/>
        </w:rPr>
        <w:t> </w:t>
      </w:r>
    </w:p>
    <w:p>
      <w:pPr>
        <w:pStyle w:val="TextBody"/>
        <w:jc w:val="right"/>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31.1</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CERTIFICATION OF THE PRINCIPAL EXECUTIVE OFFICER UNDER</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SECTION 302 OF THE SARBANES-OXLEY ACT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 Mark L. Baum, certify that:</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2"/>
        <w:gridCol w:w="132"/>
        <w:gridCol w:w="9806"/>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 have reviewed this Form 10-K for the fiscal year ended December 31, 2018 of Harrow Health, Inc.;</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(5)</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rPr>
          <w:caps w:val="false"/>
          <w:smallCaps w:val="false"/>
        </w:rPr>
      </w:pPr>
      <w:r>
        <w:rPr>
          <w:caps w:val="false"/>
          <w:smallCaps w:val="false"/>
        </w:rPr>
        <w:t> </w:t>
      </w:r>
    </w:p>
    <w:tbl>
      <w:tblPr>
        <w:tblW w:w="3250" w:type="dxa"/>
        <w:jc w:val="left"/>
        <w:tblInd w:w="0" w:type="dxa"/>
        <w:tblCellMar>
          <w:top w:w="0" w:type="dxa"/>
          <w:left w:w="0" w:type="dxa"/>
          <w:bottom w:w="0" w:type="dxa"/>
          <w:right w:w="0" w:type="dxa"/>
        </w:tblCellMar>
      </w:tblPr>
      <w:tblGrid>
        <w:gridCol w:w="1565"/>
        <w:gridCol w:w="1685"/>
      </w:tblGrid>
      <w:tr>
        <w:trPr/>
        <w:tc>
          <w:tcPr>
            <w:tcW w:w="15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Date: March 12, 2019</w:t>
            </w:r>
          </w:p>
        </w:tc>
        <w:tc>
          <w:tcPr>
            <w:tcW w:w="168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Mark L. Baum</w:t>
            </w:r>
          </w:p>
        </w:tc>
      </w:tr>
      <w:tr>
        <w:trPr/>
        <w:tc>
          <w:tcPr>
            <w:tcW w:w="1565" w:type="dxa"/>
            <w:tcBorders/>
            <w:shd w:fill="auto" w:val="clear"/>
            <w:vAlign w:val="center"/>
          </w:tcPr>
          <w:p>
            <w:pPr>
              <w:pStyle w:val="TableContents"/>
              <w:spacing w:before="0" w:after="283"/>
              <w:rPr>
                <w:caps w:val="false"/>
                <w:smallCaps w:val="false"/>
              </w:rPr>
            </w:pPr>
            <w:r>
              <w:rPr>
                <w:caps w:val="false"/>
                <w:smallCaps w:val="false"/>
              </w:rPr>
              <w:t> </w:t>
            </w:r>
          </w:p>
        </w:tc>
        <w:tc>
          <w:tcPr>
            <w:tcW w:w="16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Mark L. Baum</w:t>
            </w:r>
          </w:p>
        </w:tc>
      </w:tr>
      <w:tr>
        <w:trPr/>
        <w:tc>
          <w:tcPr>
            <w:tcW w:w="1565" w:type="dxa"/>
            <w:tcBorders/>
            <w:shd w:fill="auto" w:val="clear"/>
            <w:vAlign w:val="center"/>
          </w:tcPr>
          <w:p>
            <w:pPr>
              <w:pStyle w:val="TableContents"/>
              <w:spacing w:before="0" w:after="283"/>
              <w:rPr>
                <w:caps w:val="false"/>
                <w:smallCaps w:val="false"/>
              </w:rPr>
            </w:pPr>
            <w:r>
              <w:rPr>
                <w:caps w:val="false"/>
                <w:smallCaps w:val="false"/>
              </w:rPr>
              <w:t> </w:t>
            </w:r>
          </w:p>
        </w:tc>
        <w:tc>
          <w:tcPr>
            <w:tcW w:w="16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Chief Executive Officer</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r>
        <w:br w:type="page"/>
      </w:r>
    </w:p>
    <w:p>
      <w:pPr>
        <w:pStyle w:val="TextBody"/>
        <w:jc w:val="center"/>
        <w:rPr>
          <w:caps w:val="false"/>
          <w:smallCaps w:val="false"/>
        </w:rPr>
      </w:pPr>
      <w:bookmarkStart w:id="40" w:name="ex31-2.htm"/>
      <w:bookmarkStart w:id="41" w:name="ksex312"/>
      <w:bookmarkEnd w:id="40"/>
      <w:bookmarkEnd w:id="41"/>
      <w:r>
        <w:rPr>
          <w:caps w:val="false"/>
          <w:smallCaps w:val="false"/>
        </w:rPr>
        <w:t> </w:t>
      </w:r>
    </w:p>
    <w:p>
      <w:pPr>
        <w:pStyle w:val="TextBody"/>
        <w:jc w:val="right"/>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31.2</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CERTIFICATION OF THE PRINCIPAL FINANCIAL OFFICER UNDER</w:t>
      </w:r>
    </w:p>
    <w:p>
      <w:pPr>
        <w:pStyle w:val="TextBody"/>
        <w:jc w:val="center"/>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SECTION 302 OF THE SARBANES-OXLEY ACT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 Andrew R. Boll, certify that:</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2"/>
        <w:gridCol w:w="132"/>
        <w:gridCol w:w="9806"/>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 have reviewed this Form 10-K for the fiscal year ended December 31, 2018 of Harrow Health, Inc.;</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(4)</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(5)</w:t>
            </w:r>
          </w:p>
        </w:tc>
        <w:tc>
          <w:tcPr>
            <w:tcW w:w="9938"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8"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06"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b)</w:t>
            </w:r>
          </w:p>
        </w:tc>
        <w:tc>
          <w:tcPr>
            <w:tcW w:w="980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rPr>
          <w:caps w:val="false"/>
          <w:smallCaps w:val="false"/>
        </w:rPr>
      </w:pPr>
      <w:r>
        <w:rPr>
          <w:caps w:val="false"/>
          <w:smallCaps w:val="false"/>
        </w:rPr>
        <w:t> </w:t>
      </w:r>
    </w:p>
    <w:tbl>
      <w:tblPr>
        <w:tblW w:w="3190" w:type="dxa"/>
        <w:jc w:val="left"/>
        <w:tblInd w:w="0" w:type="dxa"/>
        <w:tblCellMar>
          <w:top w:w="0" w:type="dxa"/>
          <w:left w:w="0" w:type="dxa"/>
          <w:bottom w:w="0" w:type="dxa"/>
          <w:right w:w="0" w:type="dxa"/>
        </w:tblCellMar>
      </w:tblPr>
      <w:tblGrid>
        <w:gridCol w:w="1565"/>
        <w:gridCol w:w="1625"/>
      </w:tblGrid>
      <w:tr>
        <w:trPr/>
        <w:tc>
          <w:tcPr>
            <w:tcW w:w="15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Date: March 12, 2019</w:t>
            </w:r>
          </w:p>
        </w:tc>
        <w:tc>
          <w:tcPr>
            <w:tcW w:w="162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Andrew R. Boll</w:t>
            </w:r>
          </w:p>
        </w:tc>
      </w:tr>
      <w:tr>
        <w:trPr/>
        <w:tc>
          <w:tcPr>
            <w:tcW w:w="1565" w:type="dxa"/>
            <w:tcBorders/>
            <w:shd w:fill="auto" w:val="clear"/>
            <w:vAlign w:val="center"/>
          </w:tcPr>
          <w:p>
            <w:pPr>
              <w:pStyle w:val="TableContents"/>
              <w:spacing w:before="0" w:after="283"/>
              <w:rPr>
                <w:caps w:val="false"/>
                <w:smallCaps w:val="false"/>
              </w:rPr>
            </w:pPr>
            <w:r>
              <w:rPr>
                <w:caps w:val="false"/>
                <w:smallCaps w:val="false"/>
              </w:rPr>
              <w:t> </w:t>
            </w:r>
          </w:p>
        </w:tc>
        <w:tc>
          <w:tcPr>
            <w:tcW w:w="16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Andrew R. Boll</w:t>
            </w:r>
          </w:p>
        </w:tc>
      </w:tr>
      <w:tr>
        <w:trPr/>
        <w:tc>
          <w:tcPr>
            <w:tcW w:w="1565" w:type="dxa"/>
            <w:tcBorders/>
            <w:shd w:fill="auto" w:val="clear"/>
            <w:vAlign w:val="center"/>
          </w:tcPr>
          <w:p>
            <w:pPr>
              <w:pStyle w:val="TableContents"/>
              <w:spacing w:before="0" w:after="283"/>
              <w:rPr>
                <w:caps w:val="false"/>
                <w:smallCaps w:val="false"/>
              </w:rPr>
            </w:pPr>
            <w:r>
              <w:rPr>
                <w:caps w:val="false"/>
                <w:smallCaps w:val="false"/>
              </w:rPr>
              <w:t> </w:t>
            </w:r>
          </w:p>
        </w:tc>
        <w:tc>
          <w:tcPr>
            <w:tcW w:w="16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Chief Financial Officer</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r>
        <w:br w:type="page"/>
      </w:r>
    </w:p>
    <w:p>
      <w:pPr>
        <w:pStyle w:val="TextBody"/>
        <w:jc w:val="center"/>
        <w:rPr>
          <w:caps w:val="false"/>
          <w:smallCaps w:val="false"/>
        </w:rPr>
      </w:pPr>
      <w:bookmarkStart w:id="42" w:name="ex32-1.htm"/>
      <w:bookmarkStart w:id="43" w:name="ksex321"/>
      <w:bookmarkEnd w:id="42"/>
      <w:bookmarkEnd w:id="43"/>
      <w:r>
        <w:rPr>
          <w:caps w:val="false"/>
          <w:smallCaps w:val="false"/>
        </w:rPr>
        <w:t> </w:t>
      </w:r>
    </w:p>
    <w:p>
      <w:pPr>
        <w:pStyle w:val="TextBody"/>
        <w:jc w:val="right"/>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32.1</w:t>
      </w:r>
    </w:p>
    <w:p>
      <w:pPr>
        <w:pStyle w:val="TextBody"/>
        <w:jc w:val="center"/>
        <w:rPr>
          <w:caps w:val="false"/>
          <w:smallCaps w:val="false"/>
        </w:rPr>
      </w:pPr>
      <w:r>
        <w:rPr>
          <w:caps w:val="false"/>
          <w:smallCaps w:val="false"/>
        </w:rPr>
        <w:t> </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HARROW HEALTH, INC.</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CERTIFICATION PURSUANT TO 18 U.S.C. SECTION 1350,</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AS ADOPTED PURSUANT TO</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SECTION 906 OF THE SARBANES-OXLEY ACT OF 2002</w:t>
      </w:r>
    </w:p>
    <w:p>
      <w:pPr>
        <w:pStyle w:val="TextBody"/>
        <w:shd w:fill="FFFFFF" w:val="clear"/>
        <w:jc w:val="center"/>
        <w:rPr>
          <w:caps w:val="false"/>
          <w:smallCaps w:val="false"/>
        </w:rPr>
      </w:pPr>
      <w:r>
        <w:rPr>
          <w:caps w:val="false"/>
          <w:smallCaps w:val="false"/>
        </w:rPr>
        <w:t> </w:t>
      </w:r>
    </w:p>
    <w:p>
      <w:pPr>
        <w:pStyle w:val="TextBody"/>
        <w:shd w:fill="FFFFFF" w:val="clear"/>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 Mark L. Baum, Chief Executive Officer of Harrow Health Inc. (the “Company”), do hereby certify, pursuant to 18 U.S.C. Section 1350, as adopted pursuant to Section 906 of the Sarbanes-Oxley Act of 2002, that to the best of my knowledge:</w:t>
      </w:r>
    </w:p>
    <w:p>
      <w:pPr>
        <w:pStyle w:val="TextBody"/>
        <w:shd w:fill="FFFFFF" w:val="clear"/>
        <w:ind w:left="0" w:right="0" w:firstLine="490"/>
        <w:jc w:val="both"/>
        <w:rPr>
          <w:caps w:val="false"/>
          <w:smallCaps w:val="false"/>
        </w:rPr>
      </w:pPr>
      <w:r>
        <w:rPr>
          <w:caps w:val="false"/>
          <w:smallCaps w:val="false"/>
        </w:rPr>
        <w:t> </w:t>
      </w:r>
    </w:p>
    <w:p>
      <w:pPr>
        <w:pStyle w:val="TextBody"/>
        <w:shd w:fill="FFFFFF" w:val="clear"/>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 the Annual Report on Form 10-K of the Company for the annual period ended December 31, 2018 (the “Report”) fully complies with the requirements of Section 13(a) or 15(d) of the Securities Exchange Act of 1934; and; and</w:t>
      </w:r>
    </w:p>
    <w:p>
      <w:pPr>
        <w:pStyle w:val="TextBody"/>
        <w:shd w:fill="FFFFFF" w:val="clear"/>
        <w:ind w:left="0" w:right="0" w:firstLine="490"/>
        <w:jc w:val="both"/>
        <w:rPr>
          <w:caps w:val="false"/>
          <w:smallCaps w:val="false"/>
        </w:rPr>
      </w:pPr>
      <w:r>
        <w:rPr>
          <w:caps w:val="false"/>
          <w:smallCaps w:val="false"/>
        </w:rPr>
        <w:t> </w:t>
      </w:r>
    </w:p>
    <w:p>
      <w:pPr>
        <w:pStyle w:val="TextBody"/>
        <w:shd w:fill="FFFFFF" w:val="clear"/>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 information contained in the Report fairly presents, in all material respects, the financial condition and results of operations of the Company.</w:t>
      </w:r>
    </w:p>
    <w:p>
      <w:pPr>
        <w:pStyle w:val="TextBody"/>
        <w:shd w:fill="FFFFFF" w:val="clear"/>
        <w:ind w:left="0" w:right="0" w:firstLine="490"/>
        <w:rPr>
          <w:caps w:val="false"/>
          <w:smallCaps w:val="false"/>
        </w:rPr>
      </w:pPr>
      <w:r>
        <w:rPr>
          <w:caps w:val="false"/>
          <w:smallCaps w:val="false"/>
        </w:rPr>
        <w:t> </w:t>
      </w:r>
    </w:p>
    <w:tbl>
      <w:tblPr>
        <w:tblW w:w="2750" w:type="dxa"/>
        <w:jc w:val="left"/>
        <w:tblInd w:w="0" w:type="dxa"/>
        <w:tblCellMar>
          <w:top w:w="0" w:type="dxa"/>
          <w:left w:w="0" w:type="dxa"/>
          <w:bottom w:w="0" w:type="dxa"/>
          <w:right w:w="0" w:type="dxa"/>
        </w:tblCellMar>
      </w:tblPr>
      <w:tblGrid>
        <w:gridCol w:w="2675"/>
        <w:gridCol w:w="75"/>
      </w:tblGrid>
      <w:tr>
        <w:trPr/>
        <w:tc>
          <w:tcPr>
            <w:tcW w:w="26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Date: March 12, 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675"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67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Mark L. Baum</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6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Mark L. Baum </w:t>
            </w:r>
            <w:r>
              <w:rPr>
                <w:rFonts w:ascii="Times New Roman;Times;Serif" w:hAnsi="Times New Roman;Times;Serif"/>
                <w:b w:val="false"/>
                <w:i/>
                <w:caps w:val="false"/>
                <w:smallCaps w:val="false"/>
                <w:sz w:val="17"/>
              </w:rPr>
              <w:t>Chief Executive Officer</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r>
        <w:br w:type="page"/>
      </w:r>
    </w:p>
    <w:p>
      <w:pPr>
        <w:pStyle w:val="TextBody"/>
        <w:jc w:val="center"/>
        <w:rPr>
          <w:caps w:val="false"/>
          <w:smallCaps w:val="false"/>
        </w:rPr>
      </w:pPr>
      <w:bookmarkStart w:id="44" w:name="ex32-2.htm"/>
      <w:bookmarkStart w:id="45" w:name="ksex322"/>
      <w:bookmarkEnd w:id="44"/>
      <w:bookmarkEnd w:id="45"/>
      <w:r>
        <w:rPr>
          <w:caps w:val="false"/>
          <w:smallCaps w:val="false"/>
        </w:rPr>
        <w:t> </w:t>
      </w:r>
    </w:p>
    <w:p>
      <w:pPr>
        <w:pStyle w:val="TextBody"/>
        <w:jc w:val="right"/>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Exhibit 32.2</w:t>
      </w:r>
    </w:p>
    <w:p>
      <w:pPr>
        <w:pStyle w:val="TextBody"/>
        <w:jc w:val="center"/>
        <w:rPr>
          <w:caps w:val="false"/>
          <w:smallCaps w:val="false"/>
        </w:rPr>
      </w:pPr>
      <w:r>
        <w:rPr>
          <w:caps w:val="false"/>
          <w:smallCaps w:val="false"/>
        </w:rPr>
        <w:t> </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HARROW HEALTH, INC.</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CERTIFICATION PURSUANT TO 18 U.S.C. SECTION 1350,</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AS ADOPTED PURSUANT TO</w:t>
      </w:r>
    </w:p>
    <w:p>
      <w:pPr>
        <w:pStyle w:val="TextBody"/>
        <w:shd w:fill="FFFFFF" w:val="clear"/>
        <w:jc w:val="center"/>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SECTION 906 OF THE SARBANES-OXLEY ACT OF 2002</w:t>
      </w:r>
    </w:p>
    <w:p>
      <w:pPr>
        <w:pStyle w:val="TextBody"/>
        <w:shd w:fill="FFFFFF" w:val="clear"/>
        <w:jc w:val="center"/>
        <w:rPr>
          <w:caps w:val="false"/>
          <w:smallCaps w:val="false"/>
        </w:rPr>
      </w:pPr>
      <w:r>
        <w:rPr>
          <w:caps w:val="false"/>
          <w:smallCaps w:val="false"/>
        </w:rPr>
        <w:t> </w:t>
      </w:r>
    </w:p>
    <w:p>
      <w:pPr>
        <w:pStyle w:val="TextBody"/>
        <w:shd w:fill="FFFFFF" w:val="clear"/>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 Andrew R. Boll, Chief Financial Officer of Harrow Health Inc. (the “Company”), do hereby certify, pursuant to 18 U.S.C. Section 1350, as adopted pursuant to Section 906 of the Sarbanes-Oxley Act of 2002, that to the best of my knowledge:</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 the Annual Report on Form 10-K of the Company for the annual period ended December 31, 2018 (the “Report”) fully complies with the requirements of Section 13(a) or 15(d) of the Securities Exchange Act of 1934; and; and</w:t>
      </w:r>
    </w:p>
    <w:p>
      <w:pPr>
        <w:pStyle w:val="TextBody"/>
        <w:shd w:fill="FFFFFF" w:val="clear"/>
        <w:ind w:left="0" w:right="0" w:firstLine="490"/>
        <w:jc w:val="both"/>
        <w:rPr>
          <w:caps w:val="false"/>
          <w:smallCaps w:val="false"/>
        </w:rPr>
      </w:pPr>
      <w:r>
        <w:rPr>
          <w:caps w:val="false"/>
          <w:smallCaps w:val="false"/>
        </w:rPr>
        <w:t> </w:t>
      </w:r>
    </w:p>
    <w:p>
      <w:pPr>
        <w:pStyle w:val="TextBody"/>
        <w:shd w:fill="FFFFFF" w:val="clear"/>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 information contained in the Report fairly presents, in all material respects, the financial condition and results of operations of the Company.</w:t>
      </w:r>
    </w:p>
    <w:p>
      <w:pPr>
        <w:pStyle w:val="TextBody"/>
        <w:shd w:fill="FFFFFF" w:val="clear"/>
        <w:ind w:left="0" w:right="0" w:firstLine="490"/>
        <w:rPr>
          <w:caps w:val="false"/>
          <w:smallCaps w:val="false"/>
        </w:rPr>
      </w:pPr>
      <w:r>
        <w:rPr>
          <w:caps w:val="false"/>
          <w:smallCaps w:val="false"/>
        </w:rPr>
        <w:t> </w:t>
      </w:r>
    </w:p>
    <w:tbl>
      <w:tblPr>
        <w:tblW w:w="2825" w:type="dxa"/>
        <w:jc w:val="left"/>
        <w:tblInd w:w="0" w:type="dxa"/>
        <w:tblCellMar>
          <w:top w:w="0" w:type="dxa"/>
          <w:left w:w="0" w:type="dxa"/>
          <w:bottom w:w="0" w:type="dxa"/>
          <w:right w:w="0" w:type="dxa"/>
        </w:tblCellMar>
      </w:tblPr>
      <w:tblGrid>
        <w:gridCol w:w="2750"/>
        <w:gridCol w:w="75"/>
      </w:tblGrid>
      <w:tr>
        <w:trPr/>
        <w:tc>
          <w:tcPr>
            <w:tcW w:w="27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Date: March 12, 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17"/>
              </w:rPr>
            </w:pPr>
            <w:r>
              <w:rPr>
                <w:rFonts w:ascii="Times New Roman;Times;Serif" w:hAnsi="Times New Roman;Times;Serif"/>
                <w:b w:val="false"/>
                <w:i/>
                <w:caps w:val="false"/>
                <w:smallCaps w:val="false"/>
                <w:sz w:val="17"/>
              </w:rPr>
              <w:t>/s/ Andrew R. Boll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 xml:space="preserve">Andrew R. Boll </w:t>
            </w:r>
            <w:r>
              <w:rPr>
                <w:rFonts w:ascii="Times New Roman;Times;Serif" w:hAnsi="Times New Roman;Times;Serif"/>
                <w:b w:val="false"/>
                <w:i/>
                <w:caps w:val="false"/>
                <w:smallCaps w:val="false"/>
                <w:sz w:val="17"/>
              </w:rPr>
              <w:t>Chief Financial Officer</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49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60214/000114420407050619/v088205_ex2-1.htm" TargetMode="External"/><Relationship Id="rId3" Type="http://schemas.openxmlformats.org/officeDocument/2006/relationships/hyperlink" Target="http://www.sec.gov/Archives/edgar/data/1360214/000149315214000408/ex2-1.htm" TargetMode="External"/><Relationship Id="rId4" Type="http://schemas.openxmlformats.org/officeDocument/2006/relationships/hyperlink" Target="http://www.sec.gov/Archives/edgar/data/1360214/000149315214004010/ex2-1.htm" TargetMode="External"/><Relationship Id="rId5" Type="http://schemas.openxmlformats.org/officeDocument/2006/relationships/hyperlink" Target="http://www.sec.gov/Archives/edgar/data/1360214/000149315215003565/ex10-4.htm" TargetMode="External"/><Relationship Id="rId6" Type="http://schemas.openxmlformats.org/officeDocument/2006/relationships/hyperlink" Target="http://www.sec.gov/Archives/edgar/data/1360214/000149315215000811/ex3-1.htm" TargetMode="External"/><Relationship Id="rId7" Type="http://schemas.openxmlformats.org/officeDocument/2006/relationships/hyperlink" Target="http://www.sec.gov/Archives/edgar/data/1360214/000149315214000878/ex3-2.htm" TargetMode="External"/><Relationship Id="rId8" Type="http://schemas.openxmlformats.org/officeDocument/2006/relationships/hyperlink" Target="http://www.sec.gov/Archives/edgar/data/1360214/000107878211003672/f8k121911_ex3z1.htm" TargetMode="External"/><Relationship Id="rId9" Type="http://schemas.openxmlformats.org/officeDocument/2006/relationships/hyperlink" Target="http://www.sec.gov/Archives/edgar/data/1360214/000149315218009586/ex3-1.htm" TargetMode="External"/><Relationship Id="rId10" Type="http://schemas.openxmlformats.org/officeDocument/2006/relationships/hyperlink" Target="http://www.sec.gov/Archives/edgar/data/1360214/000149315218018103/ex3-1.htm" TargetMode="External"/><Relationship Id="rId11" Type="http://schemas.openxmlformats.org/officeDocument/2006/relationships/hyperlink" Target="http://www.sec.gov/Archives/edgar/data/1360214/000114420407050619/v088205_ex10-8.htm" TargetMode="External"/><Relationship Id="rId12" Type="http://schemas.openxmlformats.org/officeDocument/2006/relationships/hyperlink" Target="http://www.sec.gov/Archives/edgar/data/1360214/000135448813002503/immy_ex103.htm" TargetMode="External"/><Relationship Id="rId13" Type="http://schemas.openxmlformats.org/officeDocument/2006/relationships/hyperlink" Target="http://www.sec.gov/Archives/edgar/data/1360214/000149315213002218/ex10-3.htm" TargetMode="External"/><Relationship Id="rId14" Type="http://schemas.openxmlformats.org/officeDocument/2006/relationships/hyperlink" Target="http://www.sec.gov/Archives/edgar/data/1360214/000114420407050619/v088205_ex10-12.htm" TargetMode="External"/><Relationship Id="rId15" Type="http://schemas.openxmlformats.org/officeDocument/2006/relationships/hyperlink" Target="http://www.sec.gov/Archives/edgar/data/1360214/000114420407050619/v088205_ex10-13.htm" TargetMode="External"/><Relationship Id="rId16" Type="http://schemas.openxmlformats.org/officeDocument/2006/relationships/hyperlink" Target="http://www.sec.gov/Archives/edgar/data/1360214/000135448813002503/immy_ex104.htm" TargetMode="External"/><Relationship Id="rId17" Type="http://schemas.openxmlformats.org/officeDocument/2006/relationships/hyperlink" Target="http://www.sec.gov/Archives/edgar/data/1360214/000107878212001147/f8k042712_ex10z2.htm" TargetMode="External"/><Relationship Id="rId18" Type="http://schemas.openxmlformats.org/officeDocument/2006/relationships/hyperlink" Target="http://www.sec.gov/Archives/edgar/data/1360214/000135448812003649/tdlp_ex1040.htm" TargetMode="External"/><Relationship Id="rId19" Type="http://schemas.openxmlformats.org/officeDocument/2006/relationships/hyperlink" Target="http://www.sec.gov/Archives/edgar/data/1360214/000135448812003649/tdlp_ex1041.htm" TargetMode="External"/><Relationship Id="rId20" Type="http://schemas.openxmlformats.org/officeDocument/2006/relationships/hyperlink" Target="http://www.sec.gov/Archives/edgar/data/1360214/000135448812005456/immy_ex1044.htm" TargetMode="External"/><Relationship Id="rId21" Type="http://schemas.openxmlformats.org/officeDocument/2006/relationships/hyperlink" Target="http://www.sec.gov/Archives/edgar/data/1360214/000135448813002503/immy_ex102.htm" TargetMode="External"/><Relationship Id="rId22" Type="http://schemas.openxmlformats.org/officeDocument/2006/relationships/hyperlink" Target="http://www.sec.gov/Archives/edgar/data/1360214/000135448813004603/immy_ex104.htm" TargetMode="External"/><Relationship Id="rId23" Type="http://schemas.openxmlformats.org/officeDocument/2006/relationships/hyperlink" Target="http://www.sec.gov/Archives/edgar/data/1360214/000135448813004603/immy_ex105.htm" TargetMode="External"/><Relationship Id="rId24" Type="http://schemas.openxmlformats.org/officeDocument/2006/relationships/hyperlink" Target="http://www.sec.gov/Archives/edgar/data/1360214/000149315213002218/ex10-1.htm" TargetMode="External"/><Relationship Id="rId25" Type="http://schemas.openxmlformats.org/officeDocument/2006/relationships/hyperlink" Target="http://www.sec.gov/Archives/edgar/data/1360214/000149315213002218/ex10-1.htm" TargetMode="External"/><Relationship Id="rId26" Type="http://schemas.openxmlformats.org/officeDocument/2006/relationships/hyperlink" Target="http://www.sec.gov/Archives/edgar/data/1360214/000149315214000878/ex10-27.htm" TargetMode="External"/><Relationship Id="rId27" Type="http://schemas.openxmlformats.org/officeDocument/2006/relationships/hyperlink" Target="http://www.sec.gov/Archives/edgar/data/1360214/000149315214000878/ex10-28.htm" TargetMode="External"/><Relationship Id="rId28" Type="http://schemas.openxmlformats.org/officeDocument/2006/relationships/hyperlink" Target="http://www.sec.gov/Archives/edgar/data/1360214/000149315214000878/ex10-29.htm" TargetMode="External"/><Relationship Id="rId29" Type="http://schemas.openxmlformats.org/officeDocument/2006/relationships/hyperlink" Target="http://www.sec.gov/Archives/edgar/data/1360214/000149315214003462/ex10-1.htm" TargetMode="External"/><Relationship Id="rId30" Type="http://schemas.openxmlformats.org/officeDocument/2006/relationships/hyperlink" Target="http://www.sec.gov/Archives/edgar/data/1360214/000149315215000345/ex10-1.htm" TargetMode="External"/><Relationship Id="rId31" Type="http://schemas.openxmlformats.org/officeDocument/2006/relationships/hyperlink" Target="http://www.sec.gov/Archives/edgar/data/1360214/000149315215000345/ex10-2.htm" TargetMode="External"/><Relationship Id="rId32" Type="http://schemas.openxmlformats.org/officeDocument/2006/relationships/hyperlink" Target="http://www.sec.gov/Archives/edgar/data/1360214/000149315215000345/ex10-3.htm" TargetMode="External"/><Relationship Id="rId33" Type="http://schemas.openxmlformats.org/officeDocument/2006/relationships/hyperlink" Target="http://www.sec.gov/Archives/edgar/data/1360214/000149315215001853/ex10-2.htm" TargetMode="External"/><Relationship Id="rId34" Type="http://schemas.openxmlformats.org/officeDocument/2006/relationships/hyperlink" Target="http://www.sec.gov/Archives/edgar/data/1360214/000149315215001853/ex10-1.htm" TargetMode="External"/><Relationship Id="rId35" Type="http://schemas.openxmlformats.org/officeDocument/2006/relationships/hyperlink" Target="http://www.sec.gov/Archives/edgar/data/1360214/000149315215003566/ex10-1.htm" TargetMode="External"/><Relationship Id="rId36" Type="http://schemas.openxmlformats.org/officeDocument/2006/relationships/hyperlink" Target="http://www.sec.gov/Archives/edgar/data/1360214/000149315215005350/ex10-1.htm" TargetMode="External"/><Relationship Id="rId37" Type="http://schemas.openxmlformats.org/officeDocument/2006/relationships/hyperlink" Target="http://www.sec.gov/Archives/edgar/data/1360214/000149315215005914/ex1-1.htm" TargetMode="External"/><Relationship Id="rId38" Type="http://schemas.openxmlformats.org/officeDocument/2006/relationships/hyperlink" Target="http://www.sec.gov/Archives/edgar/data/1360214/000149315215005914/ex1-1.htm" TargetMode="External"/><Relationship Id="rId39" Type="http://schemas.openxmlformats.org/officeDocument/2006/relationships/hyperlink" Target="http://www.sec.gov/Archives/edgar/data/1360214/000149315215005914/ex1-1.htm" TargetMode="External"/><Relationship Id="rId40" Type="http://schemas.openxmlformats.org/officeDocument/2006/relationships/hyperlink" Target="http://www.sec.gov/Archives/edgar/data/1360214/000149315216008212/ex10-30.htm" TargetMode="External"/><Relationship Id="rId41" Type="http://schemas.openxmlformats.org/officeDocument/2006/relationships/hyperlink" Target="http://www.sec.gov/Archives/edgar/data/1360214/000149315216006916/ex10-1.htm" TargetMode="External"/><Relationship Id="rId42" Type="http://schemas.openxmlformats.org/officeDocument/2006/relationships/hyperlink" Target="http://www.sec.gov/Archives/edgar/data/1360214/000149315216006916/ex10-2.htm" TargetMode="External"/><Relationship Id="rId43" Type="http://schemas.openxmlformats.org/officeDocument/2006/relationships/hyperlink" Target="http://www.sec.gov/Archives/edgar/data/1360214/000149315216006916/ex10-3.htm" TargetMode="External"/><Relationship Id="rId44" Type="http://schemas.openxmlformats.org/officeDocument/2006/relationships/hyperlink" Target="http://www.sec.gov/Archives/edgar/data/1360214/000149315216006916/ex10-4.htm" TargetMode="External"/><Relationship Id="rId45" Type="http://schemas.openxmlformats.org/officeDocument/2006/relationships/hyperlink" Target="http://www.sec.gov/Archives/edgar/data/1360214/000149315216008006/ex1-1.htm" TargetMode="External"/><Relationship Id="rId46" Type="http://schemas.openxmlformats.org/officeDocument/2006/relationships/hyperlink" Target="http://www.sec.gov/Archives/edgar/data/1360214/000149315216016187/ex10-1.htm" TargetMode="External"/><Relationship Id="rId47" Type="http://schemas.openxmlformats.org/officeDocument/2006/relationships/hyperlink" Target="http://www.sec.gov/Archives/edgar/data/1360214/000149315216016187/ex10-2.htm" TargetMode="External"/><Relationship Id="rId48" Type="http://schemas.openxmlformats.org/officeDocument/2006/relationships/hyperlink" Target="http://www.sec.gov/Archives/edgar/data/1360214/000149315216016187/ex10-3.htm" TargetMode="External"/><Relationship Id="rId49" Type="http://schemas.openxmlformats.org/officeDocument/2006/relationships/hyperlink" Target="http://www.sec.gov/Archives/edgar/data/1360214/000149315216016261/ex10-1.htm" TargetMode="External"/><Relationship Id="rId50" Type="http://schemas.openxmlformats.org/officeDocument/2006/relationships/hyperlink" Target="http://www.sec.gov/Archives/edgar/data/1360214/000149315216016261/ex10-2.htm" TargetMode="External"/><Relationship Id="rId51" Type="http://schemas.openxmlformats.org/officeDocument/2006/relationships/hyperlink" Target="http://www.sec.gov/Archives/edgar/data/1360214/000149315216016261/ex10-3.htm" TargetMode="External"/><Relationship Id="rId52" Type="http://schemas.openxmlformats.org/officeDocument/2006/relationships/hyperlink" Target="http://www.sec.gov/Archives/edgar/data/1360214/000149315217001716/ex10-1.htm" TargetMode="External"/><Relationship Id="rId53" Type="http://schemas.openxmlformats.org/officeDocument/2006/relationships/hyperlink" Target="http://www.sec.gov/Archives/edgar/data/1360214/000149315217002715/ex10-1.htm" TargetMode="External"/><Relationship Id="rId54" Type="http://schemas.openxmlformats.org/officeDocument/2006/relationships/hyperlink" Target="http://www.sec.gov/Archives/edgar/data/1360214/000149315217003596/ex10-1.htm" TargetMode="External"/><Relationship Id="rId55" Type="http://schemas.openxmlformats.org/officeDocument/2006/relationships/hyperlink" Target="http://www.sec.gov/Archives/edgar/data/1360214/000149315217004007/ex10-1.htm" TargetMode="External"/><Relationship Id="rId56" Type="http://schemas.openxmlformats.org/officeDocument/2006/relationships/hyperlink" Target="http://www.sec.gov/Archives/edgar/data/1360214/000149315217004662/ex10-1.htm" TargetMode="External"/><Relationship Id="rId57" Type="http://schemas.openxmlformats.org/officeDocument/2006/relationships/hyperlink" Target="http://www.sec.gov/Archives/edgar/data/1360214/000149315217008881/ex10-8.htm" TargetMode="External"/><Relationship Id="rId58" Type="http://schemas.openxmlformats.org/officeDocument/2006/relationships/hyperlink" Target="http://www.sec.gov/Archives/edgar/data/1360214/000149315217008881/ex10-9.htm" TargetMode="External"/><Relationship Id="rId59" Type="http://schemas.openxmlformats.org/officeDocument/2006/relationships/hyperlink" Target="http://www.sec.gov/Archives/edgar/data/1360214/000149315217008881/ex10-10.htm" TargetMode="External"/><Relationship Id="rId60" Type="http://schemas.openxmlformats.org/officeDocument/2006/relationships/hyperlink" Target="http://www.sec.gov/Archives/edgar/data/1360214/000149315217008881/ex10-11.htm" TargetMode="External"/><Relationship Id="rId61" Type="http://schemas.openxmlformats.org/officeDocument/2006/relationships/hyperlink" Target="http://www.sec.gov/Archives/edgar/data/1360214/000149315217006919/ex10-1.htm" TargetMode="External"/><Relationship Id="rId62" Type="http://schemas.openxmlformats.org/officeDocument/2006/relationships/hyperlink" Target="http://www.sec.gov/Archives/edgar/data/1360214/000149315217006919/ex10-2.htm" TargetMode="External"/><Relationship Id="rId63" Type="http://schemas.openxmlformats.org/officeDocument/2006/relationships/hyperlink" Target="http://www.sec.gov/Archives/edgar/data/1360214/000149315217006919/ex10-4.htm" TargetMode="External"/><Relationship Id="rId64" Type="http://schemas.openxmlformats.org/officeDocument/2006/relationships/hyperlink" Target="http://www.sec.gov/Archives/edgar/data/1360214/000149315217008881/ex10-7.htm" TargetMode="External"/><Relationship Id="rId65" Type="http://schemas.openxmlformats.org/officeDocument/2006/relationships/hyperlink" Target="http://www.sec.gov/Archives/edgar/data/1360214/000149315218003095/ex10-53.htm" TargetMode="External"/><Relationship Id="rId66" Type="http://schemas.openxmlformats.org/officeDocument/2006/relationships/hyperlink" Target="http://www.sec.gov/Archives/edgar/data/1360214/000149315218003095/ex10-54.htm" TargetMode="External"/><Relationship Id="rId67" Type="http://schemas.openxmlformats.org/officeDocument/2006/relationships/hyperlink" Target="http://www.sec.gov/Archives/edgar/data/1360214/000149315218003095/ex10-55.htm" TargetMode="External"/><Relationship Id="rId68" Type="http://schemas.openxmlformats.org/officeDocument/2006/relationships/hyperlink" Target="http://www.sec.gov/Archives/edgar/data/1360214/000149315218006896/ex10-1.htm" TargetMode="External"/><Relationship Id="rId69" Type="http://schemas.openxmlformats.org/officeDocument/2006/relationships/hyperlink" Target="http://www.sec.gov/Archives/edgar/data/1360214/000149315218006896/ex10-2.htm" TargetMode="External"/><Relationship Id="rId70" Type="http://schemas.openxmlformats.org/officeDocument/2006/relationships/hyperlink" Target="http://www.sec.gov/Archives/edgar/data/1360214/000149315218006896/ex10-2.htm" TargetMode="External"/><Relationship Id="rId71" Type="http://schemas.openxmlformats.org/officeDocument/2006/relationships/hyperlink" Target="http://www.sec.gov/Archives/edgar/data/1360214/000149315218011011/ex10-4.htm" TargetMode="External"/><Relationship Id="rId72" Type="http://schemas.openxmlformats.org/officeDocument/2006/relationships/hyperlink" Target="http://www.sec.gov/Archives/edgar/data/1360214/000149315218015757/ex10-1.htm" TargetMode="External"/><Relationship Id="rId73" Type="http://schemas.openxmlformats.org/officeDocument/2006/relationships/hyperlink" Target="http://www.sec.gov/Archives/edgar/data/1360214/000149315218015757/ex10-2.htm" TargetMode="External"/><Relationship Id="rId74" Type="http://schemas.openxmlformats.org/officeDocument/2006/relationships/hyperlink" Target="http://www.sec.gov/Archives/edgar/data/1360214/000149315218015757/ex10-3.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64587</Words>
  <CharactersWithSpaces>425485</CharactersWithSpaces>
  <Paragraphs>7690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