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59"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2012</w:t>
      </w:r>
    </w:p>
    <w:p>
      <w:pPr>
        <w:spacing w:after="0" w:line="252" w:lineRule="exact"/>
        <w:rPr>
          <w:sz w:val="24"/>
          <w:szCs w:val="24"/>
          <w:color w:val="auto"/>
        </w:rPr>
      </w:pPr>
    </w:p>
    <w:p>
      <w:pPr>
        <w:ind w:left="3320" w:right="1600" w:hanging="3312"/>
        <w:spacing w:after="0" w:line="532" w:lineRule="auto"/>
        <w:tabs>
          <w:tab w:leader="none" w:pos="6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_____________</w:t>
      </w:r>
    </w:p>
    <w:p>
      <w:pPr>
        <w:ind w:left="4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Commission File Number: 000-52998</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u w:val="single" w:color="auto"/>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20" w:type="dxa"/>
            <w:vAlign w:val="bottom"/>
            <w:gridSpan w:val="4"/>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45-0567010</w:t>
            </w:r>
          </w:p>
        </w:tc>
      </w:tr>
      <w:tr>
        <w:trPr>
          <w:trHeight w:val="234"/>
        </w:trPr>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2"/>
        </w:trPr>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437 S. Hwy 101, Suite 209</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45"/>
        </w:trPr>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Solana Beach, CA</w:t>
            </w:r>
          </w:p>
        </w:tc>
        <w:tc>
          <w:tcPr>
            <w:tcW w:w="5320" w:type="dxa"/>
            <w:vAlign w:val="bottom"/>
            <w:gridSpan w:val="4"/>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rPr>
              <w:t>92075</w:t>
            </w:r>
          </w:p>
        </w:tc>
      </w:tr>
      <w:tr>
        <w:trPr>
          <w:trHeight w:val="234"/>
        </w:trPr>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42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(Zip code)</w:t>
            </w:r>
          </w:p>
        </w:tc>
      </w:tr>
      <w:tr>
        <w:trPr>
          <w:trHeight w:val="400"/>
        </w:trPr>
        <w:tc>
          <w:tcPr>
            <w:tcW w:w="438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(858) 433-2800</w:t>
            </w:r>
          </w:p>
        </w:tc>
        <w:tc>
          <w:tcPr>
            <w:tcW w:w="3420" w:type="dxa"/>
            <w:vAlign w:val="bottom"/>
          </w:tcPr>
          <w:p>
            <w:pPr>
              <w:spacing w:after="0"/>
              <w:rPr>
                <w:sz w:val="24"/>
                <w:szCs w:val="24"/>
                <w:color w:val="auto"/>
              </w:rPr>
            </w:pPr>
          </w:p>
        </w:tc>
      </w:tr>
      <w:tr>
        <w:trPr>
          <w:trHeight w:val="20"/>
        </w:trPr>
        <w:tc>
          <w:tcPr>
            <w:tcW w:w="4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bl>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52" w:lineRule="exact"/>
        <w:rPr>
          <w:sz w:val="24"/>
          <w:szCs w:val="24"/>
          <w:color w:val="auto"/>
        </w:rPr>
      </w:pPr>
    </w:p>
    <w:p>
      <w:pPr>
        <w:jc w:val="both"/>
        <w:ind w:right="1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206"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 reporting company.</w:t>
      </w:r>
    </w:p>
    <w:p>
      <w:pPr>
        <w:sectPr>
          <w:pgSz w:w="11900" w:h="16838" w:orient="portrait"/>
          <w:cols w:equalWidth="0" w:num="1">
            <w:col w:w="11420"/>
          </w:cols>
          <w:pgMar w:left="240" w:top="297" w:right="239" w:bottom="1440" w:gutter="0" w:footer="0" w:header="0"/>
        </w:sectPr>
      </w:pPr>
    </w:p>
    <w:p>
      <w:pPr>
        <w:spacing w:after="0" w:line="252"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800" w:space="720"/>
            <w:col w:w="100" w:space="220"/>
            <w:col w:w="4340" w:space="720"/>
            <w:col w:w="2120" w:space="720"/>
            <w:col w:w="680"/>
          </w:cols>
          <w:pgMar w:left="240" w:top="297" w:right="239" w:bottom="1440" w:gutter="0" w:footer="0" w:header="0"/>
          <w:type w:val="continuous"/>
        </w:sect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a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APPLICABLE ONLY TO ISSUERS INVOLVED IN BANKRUPTCY</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PROCEEDINGS DURING THE PRECEDING FIVE YEARS</w:t>
      </w:r>
    </w:p>
    <w:p>
      <w:pPr>
        <w:spacing w:after="0" w:line="234"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Check whether the registrant filed all documents and reports required to be filed by Section 12, 13, or 15(d) of the Exchange Act of 1934 after the distribution of securities under a plan confirmed by a court. Yes o No o</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November 13, 2012, </w:t>
      </w:r>
      <w:r>
        <w:rPr>
          <w:rFonts w:ascii="Times New Roman" w:cs="Times New Roman" w:eastAsia="Times New Roman" w:hAnsi="Times New Roman"/>
          <w:sz w:val="18"/>
          <w:szCs w:val="18"/>
          <w:b w:val="1"/>
          <w:bCs w:val="1"/>
          <w:color w:val="auto"/>
        </w:rPr>
        <w:t>33,859,627</w:t>
      </w:r>
      <w:r>
        <w:rPr>
          <w:rFonts w:ascii="Times New Roman" w:cs="Times New Roman" w:eastAsia="Times New Roman" w:hAnsi="Times New Roman"/>
          <w:sz w:val="18"/>
          <w:szCs w:val="18"/>
          <w:color w:val="auto"/>
        </w:rPr>
        <w:t xml:space="preserve">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497840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IMPRIMIS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9120" w:type="dxa"/>
            <w:vAlign w:val="bottom"/>
            <w:vMerge w:val="continue"/>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1.</w:t>
            </w:r>
          </w:p>
        </w:tc>
        <w:tc>
          <w:tcPr>
            <w:tcW w:w="9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2.</w:t>
            </w:r>
          </w:p>
        </w:tc>
        <w:tc>
          <w:tcPr>
            <w:tcW w:w="9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3.</w:t>
            </w:r>
          </w:p>
        </w:tc>
        <w:tc>
          <w:tcPr>
            <w:tcW w:w="9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4.</w:t>
            </w:r>
          </w:p>
        </w:tc>
        <w:tc>
          <w:tcPr>
            <w:tcW w:w="9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1.</w:t>
            </w:r>
          </w:p>
        </w:tc>
        <w:tc>
          <w:tcPr>
            <w:tcW w:w="9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1A.</w:t>
            </w:r>
          </w:p>
        </w:tc>
        <w:tc>
          <w:tcPr>
            <w:tcW w:w="9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Risk Factors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6.</w:t>
            </w:r>
          </w:p>
        </w:tc>
        <w:tc>
          <w:tcPr>
            <w:tcW w:w="9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9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Signatures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581"/>
        </w:trPr>
        <w:tc>
          <w:tcPr>
            <w:tcW w:w="1060" w:type="dxa"/>
            <w:vAlign w:val="bottom"/>
          </w:tcPr>
          <w:p>
            <w:pPr>
              <w:spacing w:after="0"/>
              <w:rPr>
                <w:sz w:val="24"/>
                <w:szCs w:val="24"/>
                <w:color w:val="auto"/>
              </w:rPr>
            </w:pPr>
          </w:p>
        </w:tc>
        <w:tc>
          <w:tcPr>
            <w:tcW w:w="912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060" w:type="dxa"/>
            <w:vAlign w:val="bottom"/>
            <w:tcBorders>
              <w:bottom w:val="single" w:sz="8" w:color="808080"/>
            </w:tcBorders>
          </w:tcPr>
          <w:p>
            <w:pPr>
              <w:spacing w:after="0"/>
              <w:rPr>
                <w:sz w:val="10"/>
                <w:szCs w:val="10"/>
                <w:color w:val="auto"/>
              </w:rPr>
            </w:pPr>
          </w:p>
        </w:tc>
        <w:tc>
          <w:tcPr>
            <w:tcW w:w="9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IMPRIMIS PHARMACEUTICALS, INC.</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700" w:type="dxa"/>
            <w:vAlign w:val="bottom"/>
            <w:vMerge w:val="restart"/>
          </w:tcPr>
          <w:p>
            <w:pPr>
              <w:ind w:left="5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10,990,871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146,160</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14,797</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offering costs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383,746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11,450,758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160,957</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11,463,976</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160,957</w:t>
            </w:r>
          </w:p>
        </w:tc>
        <w:tc>
          <w:tcPr>
            <w:tcW w:w="0" w:type="dxa"/>
            <w:vAlign w:val="bottom"/>
          </w:tcPr>
          <w:p>
            <w:pPr>
              <w:spacing w:after="0"/>
              <w:rPr>
                <w:sz w:val="1"/>
                <w:szCs w:val="1"/>
                <w:color w:val="auto"/>
              </w:rPr>
            </w:pPr>
          </w:p>
        </w:tc>
      </w:tr>
      <w:tr>
        <w:trPr>
          <w:trHeight w:val="21"/>
        </w:trPr>
        <w:tc>
          <w:tcPr>
            <w:tcW w:w="8700" w:type="dxa"/>
            <w:vAlign w:val="bottom"/>
            <w:vMerge w:val="restart"/>
          </w:tcPr>
          <w:p>
            <w:pPr>
              <w:ind w:left="3440"/>
              <w:spacing w:after="0"/>
              <w:rPr>
                <w:sz w:val="20"/>
                <w:szCs w:val="20"/>
                <w:color w:val="auto"/>
              </w:rPr>
            </w:pPr>
            <w:r>
              <w:rPr>
                <w:rFonts w:ascii="Times New Roman" w:cs="Times New Roman" w:eastAsia="Times New Roman" w:hAnsi="Times New Roman"/>
                <w:sz w:val="18"/>
                <w:szCs w:val="18"/>
                <w:color w:val="auto"/>
              </w:rPr>
              <w:t>LIABILITIES AND STOCKHOLDERS' EQUITY (DEFICIT)</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8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594,944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218,612</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56,087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Phase 3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55,784</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payroll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payable and accrued interest - related party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Convertible note payable and accrued interest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1,860,962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Series A convertible preferred stock, $0.001 par value, 10 shares authorized,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none and 10 shares issued and outstanding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at September 30, 2012 and December 31, 2011, respectively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7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$0.001 par value, 395,000,000 shares authorized,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33,859,627 and 1,987,601 shares issued and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 September 30, 2012 and December 31, 2011, 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33,411,513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16,818,740</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Deficit accumulated during the development stage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(22,651,240)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(18,520,733)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10,794,133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(1,700,005)</w:t>
            </w:r>
          </w:p>
        </w:tc>
        <w:tc>
          <w:tcPr>
            <w:tcW w:w="0" w:type="dxa"/>
            <w:vAlign w:val="bottom"/>
          </w:tcPr>
          <w:p>
            <w:pPr>
              <w:spacing w:after="0"/>
              <w:rPr>
                <w:sz w:val="1"/>
                <w:szCs w:val="1"/>
                <w:color w:val="auto"/>
              </w:rPr>
            </w:pPr>
          </w:p>
        </w:tc>
      </w:tr>
      <w:tr>
        <w:trPr>
          <w:trHeight w:val="27"/>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11,463,976</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160,957</w:t>
            </w: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IMPRIMIS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July 24, 1998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06"/>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 revenues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946,381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66,496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2,240,004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514,529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303,666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580,240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111,554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8,400,498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(66,496)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(2,720,244)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(626,083)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(20,113,829)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(24,658)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(56,095)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9,805</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(1,195,410)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settlement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forgiveness of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(1,210,263)</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(56,095)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(2,237,411)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(1,245,826)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(85,400)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(3,930,507)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(682,178)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(22,351,240)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Deemed dividend to preferred stockholders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(1,245,826)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(85,400)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(4,130,507)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(682,178)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(22,651,240)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tcBorders>
              <w:top w:val="single" w:sz="8" w:color="CCEEFF"/>
            </w:tcBorders>
          </w:tcPr>
          <w:p>
            <w:pPr>
              <w:spacing w:after="0" w:line="191" w:lineRule="exact"/>
              <w:rPr>
                <w:sz w:val="20"/>
                <w:szCs w:val="20"/>
                <w:color w:val="auto"/>
              </w:rPr>
            </w:pPr>
            <w:r>
              <w:rPr>
                <w:rFonts w:ascii="Times New Roman" w:cs="Times New Roman" w:eastAsia="Times New Roman" w:hAnsi="Times New Roman"/>
                <w:sz w:val="18"/>
                <w:szCs w:val="18"/>
                <w:color w:val="auto"/>
              </w:rPr>
              <w:t>Net loss attributable to common stockholders per common</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basic and diluted</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31,099,103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1,987,601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18,642,566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1,989,490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IMPRIMIS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July 24, 1998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50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(3,930,507)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(682,178)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(22,351,240)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net cash used 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Estimated fair value of contributed services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Gain on forgiveness of 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prepaid consulting fees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1,195,410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Non-cash interest on notes payable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24,658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56,095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1,502,080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149,162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3,630,896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Payments made on behalf of Company by related party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consulting costs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(61,344)</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61,371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104,779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Phase 3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payroll</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19,115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48,835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(1,287,127)</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(316,845)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(12,057,220)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(15,308)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(15,308)</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issuance of notes payable to a related party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received in connection with debt modification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from issuance of preferred stock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Preferred stock deemed dividend paid at conversion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advances from related party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Repayment of advances from related party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Capital contributions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proceeds from purchase of common stock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exercise of warrants and stock options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for cash, net of offering costs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11,915,931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19,695,023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Deferred offering costs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(68,785)</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12,147,146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23,066,553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10,844,711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(289,308)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10,990,871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291,462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10,990,871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10,990,871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and adjustment to common stock and warrants to</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consulting firms for prepaid consulting fees</w:t>
            </w: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offering costs in connection with 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recorded in accounts payable</w:t>
            </w: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314,961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related party accounts payable into common stock</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56,087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Conversion of notes payable and accrued interest into</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1,905,137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3,435,314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Forgiveness of notes payable and accrued interest to</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shareholders</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Conversion of advances to notes payable to shareholders</w:t>
            </w: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of preferred stock discount</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Related party acquisition of Phase 3 liabilities</w:t>
            </w: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56,087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preferred stock into common stock</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36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IMPRIMIS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2012 and 2011 and the period from July 24, 1998 (Inception) through September 30, 2012</w:t>
      </w:r>
    </w:p>
    <w:p>
      <w:pPr>
        <w:spacing w:after="0" w:line="23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OVERVIEW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and Background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Imprimis Pharmaceuticals, Inc. (“Imprimis”, the “Company”, “we”, “us”, or “our”) is a specialty pharmaceutical company developing non-invasive, topically delivered products. Our innovative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our strategic relationship with Professional Compounding Centers of America, Inc. (“PCCA”) (see Note 4 and Note 6), one of the largest drug compounding organizations in the world, we expect to facilitate our future selection, formulation and development of potential product candidates. Our relationship with PCCA is exclusive and provides us with the opportunity to develop new products using PCCA’s proprietary drug formulations and drug delivery technologies, as well as access to an extensive database of market-oriented information related to a specific drug development opportunity. We plan to use our proprietary Accudel drug delivery technology, coupled with these licensed technologies, formulations and market data, to identify pharmaceutical development opportunities we perceive a significant unmet need for a new drug product. We are currently considering potential product candidates in the muscle relaxant and neuropathic pain fields, and we expect those areas may be our next avenues for additional product development.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28, 2012, the Company changed its name from Transdel Pharmaceuticals, Inc. to Imprimis Pharmaceuticals, Inc. All prior references to Transdel Pharmaceuticals, Inc. have been changed to Imprimis Pharmaceuticals, Inc. to reflect the change. On February 28, 2012, the Company effected a one-for-eight reverse stock split. All share and per share amounts and calculations in this report reflect the effects of that reverse stock split.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Imprimis has prepared the accompanying interim condensed unaudited consolidated financial statements in accordance with accounting principles generally accepted in the United States of America (“GAAP”) for interim financial information and with the instructions to Form 10-Q and Article 8 of Regulation S-</w:t>
      </w:r>
    </w:p>
    <w:p>
      <w:pPr>
        <w:jc w:val="both"/>
        <w:ind w:firstLine="8"/>
        <w:spacing w:after="0" w:line="253"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they do not include all of the information and footnotes required by GAAP for complete financial statements. In the opinion of management, all adjustments (consisting of only normal recurring accruals) considered necessary for a fair presentation have been included. Operating results for the three and nine months ended September 30, 2012 are not necessarily indicative of the results that may be expected for the year ending December 31, 2012. For further information, refer to the Company’s audited consolidated financial statements and footnotes thereto included in the Company’s Annual Report on Form 10-K for the year ended December 31, 2011.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 As a result of the Merger, the former owners of Transdel Holdings became the controlling stockholders of Imprimis. Accordingly, the merger of Transdel Holdings and Imprimis is a reverse merger that has been accounted for as a recapitalization of Transdel Holdings.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On June 20, 2011, Transdel Holdings was merged with Imprimis Pharmaceuticals, Inc., at which time Transdel Holdings ceased as a corporation, and Imprimis Pharmaceuticals, Inc. remains as the sole surviving corporation.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Stage Enterprise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development stage company as defined under Financial Accounting Standards Board (“FASB”) guidance.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condensed consolidated financial statements contemplate the realization of assets and the satisfaction of liabilities in the normal course of business. The Company is a development state enterprise and has incurred recurring operating losses, has had negative operating cash flows and has not recognized any significant revenues since July 24, 1998 (inception). In addition, the Company has a deficit accumulated during the development stage of approximately $22.7 million at September 30, 2012, and anticipates incurring further losses through the year 2012 and beyond. The Company has not yet generated commercial sales revenue and has funded its operating losses to date through debt and equity offerings and borrowings under its line of credit. The Company believes that its existing cash and cash equivalents will be sufficient to cover its cash flow requirements through the next twelve months.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expenses all costs related to research and development as they are incurred.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and Deferred Revenue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will recognize revenues in accordance with FASB guidance, which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2012, the Company recorded $100,000 in revenues for non-refundable royalty advances, which were previously deferred. The Company does not anticipate that it will generate any significant revenues until one or more of its drug candidates are approved by the U.S. Food and Drug Administration (“FDA”) and the Company is able to commercialize one or more of its product candidates. Also, effective sales and marketing support must be in place for either the drug candidates or any other products the Company may develop in order to generate any revenues. The FDA approval process is highly uncertain and the Company cannot estimate when it will generate revenues at this time from sales of its products.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is provided for the tax effects of transactions reported in the financial statements and consists of taxes currently due, plus deferred taxes. Deferred taxes are recognized for differences between the basis of assets and liabilities for financial statement and income tax purposes. The differences relate primarily to the effects of net operating loss carry forwards and differing basis, depreciation methods, and lives of depreciable assets. The deferred tax assets represent the future tax return consequences of those differences, which will be deductible when the assets are recovered.</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No income tax benefit (expense) was recognized for the nine months ended September 30, 2012 as a result of tax losses in this period and because deferred tax benefits, derived from the Company’s prior net operating losses, were previously fully reserved. At September 30, 2012, the Company had federal and California net operating loss carryforwards of approximately $14.1 million and $13.6 million, respectively. The use of our net operating losses may be restricted in future years due to the limitations pursuant to IRC Section 382 on changes in ownership.</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California. The Company’s tax years for 2000 and forward are subject to examination by the United States and state tax authorities due to the carry forward of unutilized net operating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include short-term, highly liquid investments with maturities of three months or less at the time of acquisition.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September 30, 2012, the Company had approximately $10.1 million in cash deposits in excess of FDIC limits.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Furniture and Equipment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Furniture and equipment is stated at cost less accumulated depreciation. Depreciation is calculated using the straight-line method over the estimated useful lives of three to five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Furniture and equipment, net, as of September 30, 2012 and December 31, 2011 consisted of the following:</w:t>
      </w:r>
    </w:p>
    <w:p>
      <w:pPr>
        <w:spacing w:after="0" w:line="313" w:lineRule="exact"/>
        <w:rPr>
          <w:sz w:val="20"/>
          <w:szCs w:val="20"/>
          <w:color w:val="auto"/>
        </w:rPr>
      </w:pPr>
    </w:p>
    <w:tbl>
      <w:tblPr>
        <w:tblLayout w:type="fixed"/>
        <w:tblInd w:w="8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7"/>
                <w:szCs w:val="17"/>
                <w:color w:val="auto"/>
              </w:rPr>
            </w:pPr>
          </w:p>
        </w:tc>
        <w:tc>
          <w:tcPr>
            <w:tcW w:w="9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vMerge w:val="continue"/>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26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Furniture and Equipment</w:t>
            </w:r>
          </w:p>
        </w:tc>
        <w:tc>
          <w:tcPr>
            <w:tcW w:w="2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shd w:val="clear" w:color="auto" w:fill="CCEEFF"/>
          </w:tcPr>
          <w:p>
            <w:pPr>
              <w:spacing w:after="0"/>
              <w:rPr>
                <w:sz w:val="20"/>
                <w:szCs w:val="20"/>
                <w:color w:val="auto"/>
              </w:rPr>
            </w:pPr>
          </w:p>
        </w:tc>
        <w:tc>
          <w:tcPr>
            <w:tcW w:w="26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13,218</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2012, the Company recorded depreciation expenses of $843 and $2,090, respectively, and during the three and nine months ended September 30, 2011, the Company recorded depreciation expenses of $0 and $338,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25, 2012, the Company filed with the Securities and Exchange Commission a registration statement in connection with a proposed offering of its common stock. At September 30, 2012, the Company had deferred offering costs of $383,746 for legal, accounting and other expenses directly related to the proposed offering. Any cash proceeds the Company may receive from the proposed offering will be netted against these deferred offering costs and any future costs directly associated with the offering. There is no obligation to consummate an offering and an offering may not occur.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Deferred Rent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is recorded as an adjustment to deferred rent. The deferred rent balance at September 30, 2012 was $1,734 and is included in accounts payable and accrued expenses in the accompanying unaudited condensed consolidated balance sheet.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207" w:lineRule="exact"/>
        <w:rPr>
          <w:sz w:val="20"/>
          <w:szCs w:val="20"/>
          <w:color w:val="auto"/>
        </w:rPr>
      </w:pPr>
    </w:p>
    <w:p>
      <w:pPr>
        <w:ind w:left="400" w:hanging="392"/>
        <w:spacing w:after="0" w:line="261" w:lineRule="auto"/>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for identical assets or liabilities in active markets. A quoted price in an active market provides the most reliable evidence of fair value and must be used to measure fair value whenever available.</w:t>
      </w:r>
    </w:p>
    <w:p>
      <w:pPr>
        <w:ind w:left="400" w:hanging="392"/>
        <w:spacing w:after="0" w:line="250" w:lineRule="auto"/>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jc w:val="both"/>
        <w:ind w:left="400" w:hanging="392"/>
        <w:spacing w:after="0" w:line="255" w:lineRule="auto"/>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the Company’s cash and cash equivalents, accounts payable, and accrued expenses approximate carrying values due to their short term maturities.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Conversion Features and Debt Discounts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convertible features of debt provide for a rate of conversion that is below market value. Such feature is normally characterized as a “beneficial conversion feature” (“BCF”). The relative fair values of the BCF were recorded as discounts from the face amount of the respective debt instrument. The Company amortized the discount using the effective interest method through maturity of such instruments.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share-based payments to employees, including grants of stock options to employees, directors and consultants and restricted stock grants, are recognized in the financial statements based upon their fair values.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consolidated balance sheets.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related to equity instruments granted to employees, directors and consultants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Nine</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0"/>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 selling, general and administrative</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180,630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298,854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104,675</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Employees - research and development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143,711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37,754</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 selling, general and administrative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331,264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4,041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898,679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6,733</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Consultants - selling, general and administrative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160,836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654,042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36,798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1,502,080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149,162</w:t>
            </w:r>
          </w:p>
        </w:tc>
      </w:tr>
      <w:tr>
        <w:trPr>
          <w:trHeight w:val="601"/>
        </w:trPr>
        <w:tc>
          <w:tcPr>
            <w:tcW w:w="20" w:type="dxa"/>
            <w:vAlign w:val="bottom"/>
          </w:tcPr>
          <w:p>
            <w:pPr>
              <w:spacing w:after="0"/>
              <w:rPr>
                <w:sz w:val="24"/>
                <w:szCs w:val="24"/>
                <w:color w:val="auto"/>
              </w:rPr>
            </w:pPr>
          </w:p>
        </w:tc>
        <w:tc>
          <w:tcPr>
            <w:tcW w:w="456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Basic and Diluted Loss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and diluted net loss applicable to common stock per share is computed using the weighted average number of common shares outstanding during the period. Common stock equivalents (prior to application of the treasury stock or, “if converted” method) from convertible notes, preferred stock, stock options, unvested restricted stock units (“RSUs”) and warrants were 8,345,388 and 395,846 at September 30, 2012 and 2011, respectively, and are excluded from the calculation of diluted net loss per share for all periods presented because the effect is anti-dilutive.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computation of basic and diluted earnings per common share for the three- and nine-month periods ended September 30, 2012 and September 30, 2011: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2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(1,245,826)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(85,400)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(3,930,507)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Deemed dividend to preferred stockholders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 loss attributable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(1,245,826)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(85,400)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(4,130,507)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(682,178)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Denominator – weighted average</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number of shares outstanding, basic and diluted</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31,099,103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18,642,566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1,989,490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deferred taxes and stock-based compensation issued to employees and non-employees. Actual results could differ from those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BANKRUPTCY PETITION AND ASSET PURCHASE AGREEMENT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26, 2011, the Company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the Company, as seller, and Cardium Healthcare, Inc., a wholly-owned subsidiary of Cardium Therapeutics, Inc., as purchaser (“Cardium”), entered into an Asset Purchase Agreement dated June 23, 2011 (the “Asset Purchase Agreement”) pursuant to which the Company agreed to sell substantially all of its assets pursuant to Sections 105, 363 and 365 of the Bankruptcy Code, subject to court approval and the satisfaction of certain conditions set forth in the Asset Purchase Agreement.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26, 2011, the Bankruptcy Court denied the Company’s motion to sell its assets pursuant to the Asset Purchase Agreement. On October 7, 2011, the Company terminated the Asset Purchase Agreement pursuant to its terms. On November 21, 2011, in connection with certain transactions with DermaStar International, LLC (“DermaStar”) described in Notes 4 and 5 below, the Company requested that the Bankruptcy Court dismiss the Chapter 11 Case and retain jurisdiction to decide matters related to claims brought in the Bankruptcy Case by the Purchaser. On December 8, 2011, the Bankruptcy Court entered an order dismissing the Chapter 11 Case. In connection with the dismissal of the Chapter 11 Case, the Bankruptcy Court, among other things, declined to retain jurisdiction over claim objection proceedings and found moot the Company’s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 (a) and 1112(b).</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NOTES PAYABLE – RELATED PARTY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DermaStar is a former control person of the Company and had the ability to direct or cause direction of management and policies of the Company through its ownership of the Company’s capital stock. Also, Dr. Robert Kammer, a director and the Chairman of the Board of the Company, and Mark L. Baum, Chief Executive Officer and a director of the Company, were managing members and partial owners of DermaStar. In July 2012, the Company was informed by DermaStar that it had dissolved and distributed all of its shares of the Company’s capital stock held by it to its members. As a result of that dissolution and distribution, DermaStar is no longer a control person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 April 2010</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5, 2010, the Company issued a Senior Convertible Promissory Note (the “Note”) to Alexej Ladonnikov in a private placement. The Note included an annual interest rate of 7.5% and (unless converted or prepaid, as noted below) all principal and interest was due and payable on its maturity date of April 5, 2012 (“Maturity Date”). At any time prior to the Maturity Date, the investor had the right to convert all or a portion of the outstanding principal and accrued interest at a conversion ratio of one share of the Company’s common stock for each $8 (the fair market value of the Company’s common stock on April 5, 2010) owed. Also, at any time prior to the Maturity Date, the Company had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$0 and $130,479 at September 30, 2012 and December 31, 2011, respectively, and interest expense on the Note for the three and nine months ended September 30, 2012 was $0 and $12,123, respectively, and for the three and nine months ended September 30, 2011 was $18,904 and $56,095, respectively. Following the Company’s bankruptcy petition filed June 26, 2011, as well as the change in ownership control following the issuance of Series A Convertible Preferred Stock to DermaStar, the entire unpaid principal sum of this Note, together with its accrued and unpaid interest became immediately due and payable.</w:t>
      </w:r>
    </w:p>
    <w:p>
      <w:pPr>
        <w:spacing w:after="0" w:line="22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January 2012, DermaStar acquired 80% of the Note in a private transaction with Mr. Ladonnikov. On January 25, 2012, the Board of Directors of the Company approved, and the Company entered into, separate waiver and settlement agreements with DermaStar and Mr. Ladonnikov, the two parties holding the Note.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each of the waiver and settlement agreements, the holders of the Note each agreed to forever waive their rights to (i) accelerate the entire unpaid principal sum of the Note and all accrued interest pursuant to Section 1 of the Note related to the Company’s bankruptcy petition filed June 26, 2011,</w:t>
      </w:r>
    </w:p>
    <w:p>
      <w:pPr>
        <w:jc w:val="both"/>
        <w:ind w:firstLine="8"/>
        <w:spacing w:after="0" w:line="255" w:lineRule="auto"/>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of the Senior Convertible Note Purchase Agreement dated April 5, 2010, regarding the designation and creation of the Series A Convertible Preferred Stock (“Series A Preferred Stock”) and (iii) certain conversion rights pursuant to Section 3 of the Note related to the change of control that resulted from the sale of the Series A Preferred Stock.</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terms of the waiver and settlement agreement by and between the Company and DermaStar, DermaStar and the Company agreed to the mandatory conversion of the eighty percent (80%) of the principal and accrued and unpaid interest of the Note held by DermaStar, at such time as (and not until) the Company has a sufficient number of authorized common shares to effect such a conversion, into common stock of the Company at a conversion price of approximately $0.13336 (“DermaStar Conversion Price”). Additionally, DermaStar agreed to a mandatory conversion of an additional $56,087 current accounts payable of the Company (“AP Conversion”) held by DermaStar, at such time as (and not until) the Company had a sufficient number of authorized common shares for such conversion. The AP Conversion was made at the DermaStar Conversion Price.</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28, 2012, the Company issued 7,274,812 common shares to DermaStar as payment in full for its 80% ownership of the Note ($800,000), its related accrued interest ($114,082) and $56,087 in the Company’s accounts payable. The Company has determined this to be a substantial modification to the debt instruments and has applied debt extinguishment accounting to record a loss on extinguishment of debt of $856,087 for the nine months ended September 30, 2012.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waiver and settlement agreement by and between the Company and Mr. Ladonnikov, Mr. Ladonnikov and the Company agreed to the mandatory conversion of the twenty percent (20%) of the principal and accrued and unpaid interest of the Note held by Mr. Ladonnikov, at such time as (and not until) the Company had a sufficient number of authorized common shares to effect such a conversion, into common stock of the Company at a conversion price of $0.12. Additionally, Mr. Ladonnikov agreed to make a one-time payment to the Company, at such time as the Note is converted into Company common stock, of $50,000.</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28, 2012, the Company received payment from Mr. Ladonnikov of $50,000 and issued 1,904,338 common shares to Mr. Ladonnikov as payment in full for his 20% ownership of the Note ($200,000) and its related accrued interest ($28,521). The Company has determined this to be a substantial modification to the debt instrument and has applied debt extinguishment accounting to record a loss on extinguishment of debt of $150,000 ($200,000 Note principal balance less $50,000 cash payment received) for the nine months ended September 30, 2012.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Line of Credit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21, 2011, the Company entered into a Secured Line of Credit Letter Agreement (the “Line of Credit Agreement”) with DermaStar. The Line of Credit Agreement became effective on December 10, 2011, in connection with the dismissal of the Chapter 11 Case by the Bankruptcy Court. The line of credit was secured by a blanket security interest in all of the Company’s assets, including its intellectual property. The Line of Credit Agreement provided for advances to the Company of up to an aggregate of $750,000 (each an “Advance” and collectively the “Loan”), subject to the satisfaction by the Company of certain conditions in connection with the initial Advance and each subsequent Advance. Each Advance was made pursuant to a promissory note in favor of DermaStar. The Company had received advances totaling $750,000 and $300,000 up to April 25, 2012 (the date of the conversion thereof) and December 31, 2011, respectively. The promissory notes accrued interest at 10% annually and had a maturity of one year after the effective dates of the applicable Advance. There was no accrued interest on the promissory notes at September 30, 2012 and interest expense for the three and nine months ended September 30, 2012 was $0 and $12,534, respectively.</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April 20, 2012, the aggregate principal balance owing under the Line of Credit was $750,000. Effective April 20, 2012, the Company and DermaStar entered into a Promissory Note Conversion Agreement (the “Conversion Agreement”) wherein the parties agreed that the entire outstanding principal balance of the promissory notes issued in favor of DermaStar pursuant to the Line of Credit Agreement and all related accrued interest, totaling $762,534, would be converted into shares of the Company’s common stock and warrants to purchase the Company’s common stock on the same terms as the issuance of such securities in the April Private Placement (as described in Note 4). Pursuant to the Conversion Agreement, on April 25, 2012 and upon conversion of the outstanding principal balance and unpaid interest under the Line of Credit Agreement, DermaStar was issued a total of 965,233 shares of the Company’s common stock and a related warrant to purchase up to an additional 241,308 shares of the Company’s common stock. The warrant has an exercise price of $1.185 per share and a three year term. The Line of Credit Agreement has been terminated.</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The addition of a conversion feature to the Line of Credit Agreement resulted in terms that were substantially different from the terms of the original agreement, and therefore, the conversion resulted in an extinguishment of debt. The relative fair value of the warrant issued to DermaStar was determined to be $137,383 using the Black-Scholes-Merton valuation model. The variables used in this pricing model included: (1) discount rate of 0.4% (2) expected warrant life of 3 years, (3) expected volatility of 350% and (4) zero expected dividends. In addition, the value of the effective BCF resulting from the Conversion Agreement was determined to be $51,940. The value of the debt discount was recorded as additional paid-in capital and as the Line of Credit is immediately convertible, the debt discount of $189,323 was immediately expensed as a loss on extinguishment of debt.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payable consist of the following:</w:t>
      </w:r>
    </w:p>
    <w:p>
      <w:pPr>
        <w:spacing w:after="0" w:line="313" w:lineRule="exact"/>
        <w:rPr>
          <w:sz w:val="20"/>
          <w:szCs w:val="20"/>
          <w:color w:val="auto"/>
        </w:rPr>
      </w:pPr>
    </w:p>
    <w:tbl>
      <w:tblPr>
        <w:tblLayout w:type="fixed"/>
        <w:tblInd w:w="8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convertible notes</w:t>
            </w:r>
          </w:p>
        </w:tc>
        <w:tc>
          <w:tcPr>
            <w:tcW w:w="27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7.5% convertible note</w:t>
            </w:r>
          </w:p>
        </w:tc>
        <w:tc>
          <w:tcPr>
            <w:tcW w:w="2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convertible notes payable</w:t>
            </w:r>
          </w:p>
        </w:tc>
        <w:tc>
          <w:tcPr>
            <w:tcW w:w="27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portion</w:t>
            </w:r>
          </w:p>
        </w:tc>
        <w:tc>
          <w:tcPr>
            <w:tcW w:w="27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STOCKHOLDERS’ EQUITY AND STOCK-BASED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28, 2012, the Company increased the number of authorized shares of capital stock to 400,000,000, and the number of authorized shares of common stock to 395,000,000 and effected a one-for-eight reverse stock split. All share and per share amounts and calculations in this report reflect the one-for-eight reverse stock split.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28, 2012, the Company issued 1,904,338 common shares to Alexej Ladonnikov as payment in full for his 20% ownership of the Note ($200,000) and its related accrued interest ($28,521).</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28, 2012, the Company issued 7,274,812 common shares to DermaStar as payment in full for its 80% ownership of the Note ($800,000), its related accrued interest ($114,082) and $56,087 in the Company’s accounts payable.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20, 2012, the Company entered into a Securities Purchase Agreement with certain accredited investors relating to the sale and issuance of an aggregate of 10,058,455 shares of its common stock and warrants to purchase up to 2,514,642 shares of its common stock at an exercise price of $1.185 per share, for an aggregate purchase price of approximately $7,950,000 (the “April Private Placement”). The April Private Placement closed on April 25, 2012, and the Company received proceeds, net of offering costs, of approximately $7,930,000.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25, 2012, the Company converted debt totaling $762,534 (including accrued interest of $12,534) owed to DermaStar, a related party, into 965,233 shares of the Company’s common stock and a related warrant to purchase 241,308 shares of the Company’s common stock at an exercise price of $1.185 per share on the same terms as the issuance of such securities in the April Private Placement (see Note 3).</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30, 2012, the Company entered into a License Agreement (the “PCCA License Agreement") and a Stock Purchase Agreement (the “PCCA Purchase Agreement”) in a strategic transaction with PCCA (the “PCCA Transaction”). Pursuant to the terms of the PCCA Purchase Agreement, on August 31, 2012, the Company issued and sold to PCCA 4,163,414 shares of its common stock at a per share purchase price of $0.96075, for aggregate proceeds, net of offering costs, of approximately $3,980,000.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2012, the Company had 5,000,000 shares of preferred stock, $0.001 par value, authorized and no shares of preferred stock issued and outstanding.</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Series A Preferred Stock - Converted</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12, 2011, the Company issued 10 shares of Series A Preferred Stock to DermaStar, a related party, in a private placement. The Series A Preferred Stock has the rights and preferences identified in the Certificate of Designation to our Amended and Restated Certificate of Incorporation filed with the Delaware Secretary of State on December 9, 2011. Among other things, the Certificate of Designation (i) authorizes 10 shares of the Company’s preferred stock to be designated as “Series A Convertible Preferred Stock”; (ii) grants the holders of the Series A Preferred Stock the right to convert into our common stock at a conversion price of approximately $0.013336, as adjusted; (iii) grants a liquidation preference of $10,000 per share of Series A Preferred Stock; (iv) provides that the holders of Series A Preferred Stock shall vote with the holders of our common stock on an “as converted basis”; and (v) provides that the affirmative vote of a majority of the outstanding shares of the Series A Preferred Stock is required to approve certain corporate matters including, among other things, changes to the rights of the holders of the Series A Preferred Stock, amendments to our Amended and Restated Certificate of Incorporation or Bylaws, issuance of priority or parity securities, issuance of debt securities, entry into certain fundamental transactions and increase or decrease in the size of our Board of Directors.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29, 2012, DermaStar converted the 10 shares of Series A Preferred Stock held by it into 7,498,500 shares of the Company’s common stock. In connection with the conversion, the Company paid to DermaStar $200,000 as partial consideration for the conversion pursuant to a conversion agreement. Immediately following the conversion of the Series A Preferred Stock, all 10 shares were retired to our treasury and cancelled. The Company recognized the $200,000 payment as additional consideration transferred in the transaction in excess of the fair value of the consideration issuable in accordance with the original conversion terms. As a result, the cash payment to DermaStar was recorded as a deemed preferred stock dividend. Accordingly, the Company recorded a deemed preferred stock dividend at the date of conversion, June 29, 2012, totaling $200,000, which represents an increase to reported net loss in arriving at net loss attributable to common stockholders.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RSU awards are granted subject to certain restrictions, including performance based conditions. The grant-date fair value of the RSUs, which has been determined based upon the market value of the Company’s shares on the grant date, is expensed over the vesting period.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2012, the Company granted to Mr. Baum, in connection with his services as the Chief Executive Officer, 800,000 RSUs pursuant to a Stand-alone Restricted Stock Unit Agreement (the “Baum RSUs”) outside of the Company’s 2007 Incentive Stock and Awards Plan, as amended on November 5, 2008, January 25, 2012 and July 18, 2012 (the “Plan”). The Baum RSUs are subject to certain performance-based vesting criteria, such that 200,000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3 clinical studies for its drug candidate,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Baum RSUs vest in full upon a change in control of the Company. The Company has accounted for the Baum RSUs based on an assumption of the full satisfaction of its performance-based vesting criteria.</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2012, the Company granted to Dr. Kammer, in connection with his services as a consultant and advisor to the Company, 200,000 RSUs, pursuant to a Stand-alone Restricted Stock Unit Agreement (the “Kammer RSUs”) outside of the Plan. The Kammer RSUs are subject to certain performance-based vesting criteria, such that all 200,000 RSUs will vest when the Company meets the primary endpoints of its Phase 3 clinical studies for its drug candidate, Impracor. The Kammer RSUs vest in full upon a change in control of the Company. The Company has accounted for the Kammer RSUs based on an assumption of the full satisfaction of its performance-based vesting criteria. In accordance with accounting guidance for share-based compensation to consultants, the unvested portion of the Kammer RSUs will be revalued on an interim basis until the performance-based vesting criteria is met. Once the performance-based vesting criteria is met, the fair value and total expense amount of the Kammer RSUs will be calculated based on the market value of the Company’s common stock on that day. On the date of issuance, July 18, 2012, the Kammer RSUs were valued at $130,000, and as of September 30, 2012, the revalued estimated fair value of the Kammer RSUs was $380,000.</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 summary of the Company’s RSU activity and related information for the nine months ended September 30, 2012 is as follows:</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96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9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 January 1, 2012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vested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RSUs cancelled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 September 30, 2012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grant-date fair value of RSUs granted during the nine month period ended September 30, 2012 was approximately $650,000. As of September 30, 2012, the total unrecognized compensation expense related to unvested RSUs was approximately $685,000 (including recognized and unrecognized expenses of the revalued fair value of the Kammer RSUs) which is expected to be recognized over a weighted-average period of 1 year, based on estimated vesting schedules.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17, 2007, the Company’s Board of Directors and stockholders adopted the Plan, which, as of September 30, 2012, provided for the issuance of a maximum of an aggregate of 12,000,000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and restricted stock. The Plan will be administered by the Company’s Board of Directors until such time as such authority has been delegated to a committee of the Board of Directors. On January 25, 2012, our stockholders approved an amendment to the Plan to increase the number of shares available for issuance under the Plan from 375,000 to 3,750,000 and to modify the definition of “fair market value” under the Plan, among other things. The approval became effective on February 26, 2012. Effective as of July 18, 2012, our board of directors and stockholders holding a majority of the Company’s outstanding voting power approved a further amendment to the Plan to increase the number of shares available for issuance under the Plan from 3,750,000 to 12,000,000 and to increase the per person limit on the maximum number of shares of the Company’s common stock that may be granted to an individual under the Plan in a calendar year.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Plan activity for the nine months ended September 30, 2012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December 31, 2011</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150,152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5,060,616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0.73</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(718,750)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0.67</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September 30, 2012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4,492,018</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5,072,416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 September 30, 2012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1,847,652</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2,038,108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expected to vest - September 30, 2012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4,227,582</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4,768,985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September 28, 2012, based on the closing price of the Company’s common stock of $1.90 on that date.</w:t>
      </w:r>
    </w:p>
    <w:p>
      <w:pPr>
        <w:spacing w:after="0" w:line="20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On January 25, 2012, the Board approved the grant to Dr. Balbir Brar, the Company’s President, of an option to purchase 1,125,000 shares of common stock under the Plan. The exercise price of the option is $0.736 and the option vests as follows: 1/36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of the unvested shares will vest on each of the 36 monthly periods following the date of the grant provided Dr. Brar continues to be employed by the Company as of the applicable vesting date.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5" w:name="page16"/>
    <w:bookmarkEnd w:id="15"/>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25, 2012, in connection with a senior advisory agreement, the Board approved the grant to Dr. Paul Finnegan, a director, an option to purchase up to 625,000 shares of common stock under the Plan. The exercise price of the option is $0.64. The option was originally scheduled to vest as follows: 250,000 shares on January 6, 2013, 250,000 shares on January 6, 2014 and 125,000 on January 6, 2015. On May 9, 2012, the Company entered into a termination agreement to terminate its senior advisory agreement with Dr. Finnegan, and, in connection therewith, entered into an amendment to Dr. Finnegan’s option agreement. The amendment to the option agreement modifies the vesting schedule of the option to provide that 40% of the shares covered by the grant will vest on September 30, 2012, 40% will vest on March 31, 2013 and 20% will vest on September 30, 2013, provided that Dr. Finnegan is serving as a director, employee or consultant at the time of such vesting. In connection with the termination of the senior advisory agreement, the option agreement was also modified to provide for the issuance of the option as compensation for Dr. Finnegan’s services as a director rather than a consultant. This option is accounted for as an employee stock option agreement, the final valuation of the option was determined at the date of modification and the remaining expense of the option agreement will be recognized ratably over the remaining vesting periods in accordance with the modified terms.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25, 2012, the Board approved a one-time stock option grant to Mr. Baum, the Company’s current Chief Executive Officer and a director, to purchase up to 625,000 shares of the Company’s common stock under the Plan. The option was issued to Mr. Baum for his uncompensated services as Chairman of the Board and significant ongoing services related, but not limited to, the Company’s emergence from Chapter 11 bankruptcy protection, negotiation with creditors, pursuit of additional financing opportunities and hiring of executive officers. The option vests in twelve equal monthly periods, commencing on January 25, 2012 and ending on January 25, 2013 and has an exercise price of $0.48.</w:t>
      </w:r>
    </w:p>
    <w:p>
      <w:pPr>
        <w:spacing w:after="0" w:line="21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January 25, 2012 the Board approved the grant to Andrew R. Boll, the Company’s Vice-President of Accounting and Public Reporting, of an option to purchase up to 75,000 shares of common stock under the Plan, which option was granted on February 1, 2012, the commencement date of Mr. Boll’s employment with the Company. The exercise price of the option is $0.736 and the option vests as follows: 1/36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of the unvested shares will vest on each of the 36 monthly periods following the date of the grant provided Mr. Boll continues to be employed by the Company as of the applicable vesting date.</w:t>
      </w:r>
    </w:p>
    <w:p>
      <w:pPr>
        <w:spacing w:after="0" w:line="22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January 25, 2012 the Board approved the grant to Dr. Joachim Schupp, the Company’s Chief Medical Officer, of an option to purchase up to 375,000 shares of common stock under the Plan, which option was granted on February 15, 2012, the commencement date of Dr. Schupp’s employment with the Company. The exercise price of the option is $0.72 and the option vests as follows: 1/36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of the unvested shares will vest on each of the 36 monthly periods following the date of the grant provided Dr. Schupp continues to be employed by the Company as of the applicable vesting date.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2012, the Board of Directors approved the issuance of options to purchase 125,000 shares of the Company’s common stock to each of the Company’s directors, including the Company’s employee and non-employee directors, under the Plan. Each of the options has an exercise price of $0.90 per share. The options have a term of five years and vest quarterly over a one year period, such that the option to purchase 31,250 shares vests on each of June 30, 2012, September 30, 2012, December 31, 2012 and March 31,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April 1, 2012, in recognition and consideration for his services as a director to the Company during 2010 and 2011, the Board approved the issuance to Dr.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Abrams of an additional option to purchase 300,000 shares of the Company’s common stock with an exercise price of $0.90 per share under the Plan.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option has a ten year term and vests monthly over a one year period.</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 2012, the Company granted to Mr. Baum an option to purchase up to 300,000 shares of the Company’s common stock at an exercise price of $0.90 per share under the Plan. The option terminates on March 31, 2017 and vests over a two year period, with 75,000 options vesting immediately upon issuance and an additional 9,375 options vesting monthly for the next twenty four months thereafter.</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as of the close of business on July 25, 2012, Dr. Brar submitted his resignation as a director on the Board of Directors of the Company. Dr. Brar continues in his capacity as the President of the Company. At the time of his resignation as a director, options to purchase 31,250 shares had vested under Dr. Brar’s April 1, 2012 option grant related to his Board service, and all unvested shares subject to the option were forfeited. Dr. Brar was granted an extension of 240 days from his resignation date to exercise the 31,250 vested shares.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On July 26, 2012, the Board of Directors of the Company appointed Stephen G. Austin, CPA, as a new director on the Board of Directors of the Company. In connection with his appointment as a director, the Board approved the issuance to Mr. Austin of an option to purchase up to 85,616 shares of the Company’s common stock under the Plan. Such option has an exercise price of $0.90 per share, has a term of five years, and vests monthly over a period of one year commencing on January 1, 2013.</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table below illustrates the fair value per share determined by the Black-Scholes-Merton option pricing model with the following assumptions used for the grants issued to employees and directors during the nine months ended September 30, 2012:</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0"/>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2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(in years)</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219-360%</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0.31-1.03%</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April 1, 2012, the Company entered into an advisory agreement with director Dr. Robert Kammer (the “Advisory Agreement”) pursuant to which Dr. Kammer will provide certain services to the Company in addition to his services as a director, including, but not limited to, providing management and advice regarding the operations of the registration clinical trials including start-up and on-going clinical operational and development activities, manufacturing and quality control of the clinical and commercial supplies, project and operational management, assistance in the identification of new drug delivery technologies that may be available for acquisition or license and assistance in the development of the Company’s intellectual property. As part of Dr. Kammer’s compensation under the Advisory Agreement, the Company granted to Dr. Kammer on April 1, 2012 an option to purchase up to 300,000 shares of the Company’s common stock at an exercise price of $0.90 per share under the Plan. The option terminates on March 31, 2017 and vests over a two year period, with 75,000 options vesting immediately upon issuance and an additional 9,375 options vesting monthly for the next twenty four months thereafter. In accordance with accounting guidance for share-based compensation to consultants, the unvested portion of the option will be revalued on an interim basis until the termination of the Advisory Agreement. The Advisory Agreement is to terminate on the earlier of the completion of the services or the second anniversary of the date of the agreement. As of September 30, 2012, the revalued aggregate estimated fair value of the stock option, based on the Black-Scholes-Merton pricing model, was $338,420.</w:t>
      </w:r>
    </w:p>
    <w:p>
      <w:pPr>
        <w:spacing w:after="0" w:line="21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table below illustrates the fair value per share determined by the Black-Scholes-Merton option pricing model with the following assumptions used for the grants issued to consultants during the nine months ended September 30, 2012:</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0"/>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(in years)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- 361%</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0.62%-1.03%</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outstanding options have been granted to the employees, directors and consultants at exercise prices that range from $0.48 to $16.00, the estimated fair market value of the common stock on the dates of issuance. These options have expiration dates that range from 4 – 10 years from their grant date and vest immediately, monthly, quarterly, or on an annual basis for a period of up to five years. The Company uses the Black-Scholes-Merton option pricing model to estimate the grant-date fair value of share-based awards. The Black-Scholes-Merton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limited historical data on employee exercises and post-vesting employment termination behavior. The expected volatility is based on the historical volatilities of the common stock of the Company.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7" w:name="page18"/>
    <w:bookmarkEnd w:id="1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issued options to purchase up to 5,060,616 shares of the Company’s common stock during the nine months ended September 30, 2012. The weighted average fair value per share of grants issued during the nine months ended September 30, 2012 was $0.65.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2012, there was approximately $1,800,000 of total unrecognized compensation expense related to unvested stock options under the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expense is expected to be recognized over the weighted-average remaining vesting period of 1.42 years.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Stock Based Compensation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additional compensation to Dr. Kammer under his Advisory Agreement, Dr. Kammer is to be compensated $10,000 per month in the form of common stock issued outside of the Plan, based on a $0.90 price per share being allocated to each dollar of payment due to Dr. Kammer. Upon the completion of a financing transaction yielding not less than $15 million to the Company, Dr. Kammer may unilaterally choose to be paid in either cash or common stock, based on the same $0.90 price per share. Dr. Kammer and the Company have agreed that the common stock issuable to Dr. Kammer as compensation under his advisory agreement is to be accrued and issued on a quarterly or annual basis; accordingly, as of the date hereof no such shares have been issued to Dr. Kammer. The balance due to Dr. Kammer at September 30, 2012 under the Advisory Agreement was $71,667 (share equivalent of 66,667 common shares) and is included in accounts payable and accrued expenses in the accompanying unaudited condensed consolidated balance sheet.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WARRANTS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25, 2012, at the closing of the April Private Placement (see Note 4), the Company issued warrants to certain accredited investors to purchase up to an aggregate amount of 2,514,642 shares of common stock with an exercise price of $1.185. The warrants have an initial exercise date of April 25, 2012 and a three-year term. Also on April 25, 2012, in connection with the Conversion Agreement (see Note 3) between the Company and DermaStar, a related party, the Company issued to DermaStar a warrant to purchase up to 241,308 shares of the Company’s common stock with an exercise price of $1.185 per share. The warrant has an initial exercise date of April 25, 2012 and a three-year term.</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issued as part of the April Private Placement and to DermaStar have mandatory exercise provisions providing that the Company may require the holders of the warrants to exercise the warrants in full but not in part within twenty (20) business days after the date of a written notice delivered by the Company to each holder of a warrant; provided that (i) the value weighted average price of the Company’s common stock for ten (10) consecutive trading days is equal to or greater than the exercise price, (ii) the Company has received a Filing Review Notification (commonly referred to as a “74 Day Letter”) from the U.S. Food and Drug Administration regarding the status of the Company’s Impracor topical non-steroidal anti-inflammatory drug, and (iii) sufficient shares of the Company’s common stock are authorized and reserved for issuance upon full exercise of the warrants.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of the warrants for the nine months ended September 30, 2012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0" w:type="dxa"/>
            <w:vAlign w:val="bottom"/>
          </w:tcPr>
          <w:p>
            <w:pPr>
              <w:spacing w:after="0"/>
              <w:rPr>
                <w:sz w:val="13"/>
                <w:szCs w:val="13"/>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 January 1, 2012</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95,498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2,755,950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(64,745)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and exercisable - September 30, 2012</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2,786,703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of the outstanding warrants in years - September 30, 2012</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2"/>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88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its office facilities under a noncancelable operating lease, which expires on February 28, 2014, with a monthly amount due of $2,972 for the first 12 months beginning March 1, 2012, and $3,715 due monthly for the next 12 months. For the remaining fiscal year 2012, the Company’s lease commitment is approximately $8,900.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Indemnities and Guarantees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condensed consolidated balance sheets.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PCCA License Agreement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PCCA License Agreement entered in connection with the PCCA Transaction (Note 4), effective August 30, 2012, PCCA has granted to the Company and its affiliates certain exclusive rights under PCCA’s proprietary formulations, other technologies and data, and the Company has agreed to pay to PCCA certain royalties on net sales relating to the sale of certain future products, which royalties range from 4.5% to 9% for each product, subject to certain minimum royalty payments. PCCA may terminate the PCCA License Agreement if the Company fails to commence efforts to research and develop future products within certain time periods, as set forth in the PCCA License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Cosmetic License Agreements - Terminated</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20, 2009, the Company and JH Direct, LLC (“JH Direct”) entered into a licensing agreement providing JH Direct with the exclusive worldwide rights to the Company’s anti-cellulite cosmetic product which utilizes the Company’s patented transdermal delivery system technology, Accudel. Under the terms of the agreement, JH Direct must pay the Company initial royalty advances and a continuing licensing royalty on the worldwide sales of the anti-cellulite product. The Company received non-refundable royalty advances totaling $100,000 from JH Direct. During the nine months ended September 30, 2012, management of the Company concluded that JH Direct had abandoned its efforts to commercialize the anti-cellulite cream and the Company exercised its rights to terminate the agreement in January 2012, at which time all revenues from this agreement were recognized in full. The Company does not expect to receive any additional funds from JH Direct under this contract.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The information contained in this Quarterly Report on Form 10-Q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2011 and subsequent reports on Form 8-K, which discuss our business in greater detail. Unless the context indicates otherwise, the “Company”, “we”, “us”, and “our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Item 2 and elsewhere in this report refer to Imprimis Pharmaceuticals, Inc., a Delaware corporation.</w:t>
      </w:r>
    </w:p>
    <w:p>
      <w:pPr>
        <w:spacing w:after="0" w:line="2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contains forward-looking statements regarding future events and our future performance. These forward-looking statements involve risk and uncertainties that could cause actual results to differ materially from those expected or projected. For this purpose, any statements contained herein regarding our strategy, future operations, financial position, future revenues, projected costs and expenses, prospects, plans and objectives of management, other than statements of historical facts, are forward-looking statements. The words “anticipate,” “believes,” “estimates,” “intends,” “may,” “plans,” “will,” “would” and similar expressions are intended to identify forward-looking statements, although not all forward-looking statements contain these identifying words. Such statements reflect our current views with respect to future events. We cannot guarantee that we actually will achieve the plans, intentions, or expectations disclosed in our forward-looking statements. There are a number of important factors that could cause actual results or events to differ materially from those disclosed in the expressed or implied forward-looking statements we make. These important factors include our ability to successfully resume operations and implement our business plan following dismissal of the Chapter 11 Case; our ability to raise capital; the cost of any capital we are able to raise; our ability to hire, retain and otherwise engage qualified personnel to execute our business plan; the success of the design and execution of our clinical trials; our ability to research and successfully develop our product candidates; our ability to continue as a going concern; our limited operating history; the ability of competitors to access the market we intend to serve; the ongoing market need for the technologies and products we are developing; and the other risks and uncertainties described under the heading “Risk Factors” in Part II, Item 1A of this Quarterly Report and in similar discussions in our other SEC filings. Although we may elect to update forward-looking statements in the future, we specifically disclaim any obligation to do so, even if our estimates change. Readers should not rely on any of our forward-looking statements as representing our views as of any date subsequent to the date of this Quarterly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Imprimis Pharmaceuticals, Inc. is a specialty pharmaceutical company developing non-invasive, topically delivered products. Our innovative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Through our strategic relationship with Professional Compounding Centers of America, Inc. (“PCCA”), one of the largest drug compounding organizations in the world, we expect to facilitate our future selection, formulation and development of potential product candidates. Our relationship with PCCA is exclusive and provides us with the opportunity to develop new products using PCCA’s proprietary drug formulations and drug delivery technologies, as well as access to an extensive database of market-oriented information related to a specific drug development opportunity. We plan to use our proprietary Accudel drug delivery technology, coupled with these licensed technologies, formulations and market data, to identify pharmaceutical development opportunities where we perceive a significant unmet need for a new drug product. We are currently considering potential product candidates in the muscle relaxant and neuropathic pain fields, and we expect those areas may be our next avenues for additional product development.</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28, 2012, we changed our name from Transdel Pharmaceuticals, Inc. to Imprimis Pharmaceuticals, Inc. Also on February 28, 2012, we effected a one-for-eight reverse split of our issued and outstanding common stock. The information in this report and the accompanying condensed consolidated financial statements have been retroactively adjusted to reflect the effects of the one-for-eight reverse stock split</w:t>
      </w:r>
      <w:r>
        <w:rPr>
          <w:rFonts w:ascii="Times New Roman" w:cs="Times New Roman" w:eastAsia="Times New Roman" w:hAnsi="Times New Roman"/>
          <w:sz w:val="18"/>
          <w:szCs w:val="18"/>
          <w:b w:val="1"/>
          <w:bCs w:val="1"/>
          <w:color w:val="auto"/>
        </w:rPr>
        <w: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20" w:name="page21"/>
    <w:bookmarkEnd w:id="2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incurred recurring operating losses, have had negative operating cash flows and have not recognized any significant revenues since July 24, 1998 (inception). In addition, we have a deficit accumulated during the development stage of approximately $22.7 million at September 30, 2012. We have not yet generated commercial sales revenue from any of our product candidates and we will incur further losses through the 2012 fiscal year and beyond as we continue the clinical development of our drug candidates, including Impracor, and conduct preclinical studies on other programs. Our research and development activities are budgeted to expand over time, and will require further capital resources to fund the continued operation of our business model for a long enough period to achieve profitable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Operations</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next twelve months, our current operating plan is focused on the development of our lead product candidate, Impracor, for the indication of acute musculoskeletal pain, inflammation and swelling associated with soft tissue injuries, and limited development of other potential product candidates and pursuit of co-development opportunities in other therapeutic areas, in each case utilizing our Accudel platform technology.</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26, 2011 we filed a voluntary petition for reorganization relief under Chapter 11 of the United States Bankruptcy Code in the United States Bankruptcy Court for the Southern District of California (the “Bankruptcy Court”), Case No. 11-10497-11 (the “Chapter 11 Case”). Following the filing of the Chapter 11 Case with the Bankruptcy Court, we suspended our operations and terminated nearly all of our employees. Since the dismissal of the Chapter 11 Case in December 2011, as further described below, we have engaged a new management team, appointed new directors to fill certain vacancies on our Board and worked towards re-initiating our Phase 3 clinical trials for Impracor. However, we have a limited operating history since the dismissal of the Chapter 11 Case, and we may not be successful in our efforts to resume our operations. Prior to the filing of the Chapter 11 Case, we were unable to successfully pursue our business plan and continue our clinical trials due to a lack of funding. Given our operating history, we may be unable to obtain additional funds, when necessary, maintain an effective management team, or hire and retain further qualified individuals. As a result, we may be unable to successfully pursue our business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Program for Impracor</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Impracor to be approved by the U.S. Food and Drug Administration (the “FDA”), an additional two confirmatory Phase 3 trials with exposure of at least 300 to 500 patients and supportive dermal safety studies are required. In September 2012, as required by the FDA, we began routine supportive trials in healthy patients to study the absorption (blood levels) of ketoprofen during concurrent exercise and heat exposure, as well as the relative bioavailability of Impracor or topical ketoprofen versus oral ketoprofen. We expect that all clinical studies will be executed with the professional help of clinical research organizations (“CROs”) with experience in clinical trials of similar design. We are in the process of selecting and negotiating arrangements with potential CROs and other third parties in order to initiate our Phase 3 clinical trials.</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plan to commence two Phase 3 studies of Impracor in patients experiencing pain from osteoarthritis flare in their knees. The FDA has indicated that the osteoarthritis flare study design is an acceptable clinical model of acute pain. The Phase 3 program is being planned to encompass two double-blind placebo controlled Phase 3 osteoarthritis flare trials in approximately 330 to 360 patients each in 35 to 50 sites throughout the United States. Following an NSAID wash-out period, the proposed design study has the patients dosed with placebo or Impracor three times daily for 14 days. The primary endpoint for both trials is expected to employ well accepted pain measurements, which will be measured on day 7. It is expected that the planned trials, if successful, would provide sufficient evidence of efficacy and safety data for subsequent filing of a New Drug Application (“NDA”) with the FDA.</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successful completion of our clinical trials, we plan to file a NDA for marketing authorization for Impracor under Section 505(b)(2) of the Hatch-Waxman Act of 1984, a regulatory route towards FDA approval, which allows referencing our submission to previously established safety and/or effectiveness of already approved ketoprofen products in other dosage forms. We believe that this route provides the most attractive path for Impracor to reach the market.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timing of Phase 3 trials and the other supportive studies will be dependent on obtaining adequate financing to support the execution of these activities and for other working capital expenditures, as well as feedback from the FDA. We began certain supportive studies in September 2012 and, subject to the availability of sufficient funding, we intend to commence Phase 3 trials in early 2013. Assuming successful completion and outcome of the additional Phase 3 trials, we would expect to file a NDA for Impracor in 2014.</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expect that Impracor, if approved by the FDA, could become one of the first NSAID cream products available by prescription in the United States for the topical treatment of acute musculoskeletal pain.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Product Development Program</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the clinical success of Impracor will facilitate the use of the Accudel delivery technology in other products. We have identified development opportunities for potential products in pain management and other therapeutic areas utilizing the Accudel platform technology and we are exploring potential commercial relationships for these identified product candidates. In particular, we are currently considering potential new drug candidates in the muscle relaxant and neuropathic pain fields, and we expect those to be our next avenues for new product development. We estimate that pre-Phase 3 clinical studies for these two potential product candidates could each be completed approximately 18 to 24 months after their commencement, and that costs for such development would range from approximately $2 million to $2.5 million for each proposed drug candidate.</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expect our new relationship with PCCA to facilitate our future selection, development and formulation of potential product candidates. We plan to use our proprietary Accudel drug delivery technology, coupled with these licensed technologies, formulations and market data, to identify pharmaceutical development opportunities where there is a significant unmet need for a new drug product. We are currently considering potential product candidates in the muscle relaxant and neuropathic pain fields, and we expect those areas may be our next avenues for additional product development.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past our product development program has included cosmetic and cosmeceutical products utilizing our patented transdermal delivery system technology, Accudel. Our lead product candidate was an anti-cellulite formulation, for which we have initial clinical information supporting the beneficial effects of this cosmetic product on skin appearance. Our potential pipeline of cosmetic products includes hyperpigmentation and anti-aging formulations. We remain interested in pursuing this business opportunity and continue to consider entering into new relationships with third parties. We may also pursue the out-licensing of our Accudel drug delivery technology for the development and commercialization of additional innovative drug and cosmeceutical products.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Bankruptcy Petition and Dismissal</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26, 2011 we filed the Chapter 11 Case with the Bankruptcy Court. In connection with the Chapter 11 Case, we, as seller, and Cardium Healthcare, Inc., a wholly-owned subsidiary of Cardium Therapeutics, Inc., as purchaser (“Cardium”), entered into an Asset Purchase Agreement dated June 23, 2011 (the “Asset Purchase Agreement”) pursuant to which we agreed to sell substantially all of our assets pursuant to Sections 105, 363 and 365 of the Bankruptcy Code, subject to court approval and the satisfaction of certain conditions set forth in the Asset Purchase Agreement. 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Chapter 11 Case. The Asset Purchase Agreement was terminable by the parties under a number of circumstances, including failure to obtain certain Bankruptcy Court orders by agreed dates.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Chapter 11 Case by Cardium. On December 8,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of Cardium. The dismissal of the Chapter 11 Case was based upon the provisions of both 11 U.S.C. Sections 305(a) and 1112(b).</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Line of Credit</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21, 2011, we entered into a Secured Line of Credit Letter Agreement (the “Line of Credit Agreement”) with DermaStar International, LLC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w:t>
      </w:r>
    </w:p>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25, 2012, the entire outstanding principal balance and all accrued and unpaid interest under the line of credit, an aggregate of $762,534, was converted into 965,233 shares of common stock and warrants to purchase 241,308 shares of common stock at the offering price and on the terms of the April Private Placement (as defined and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Change in Control – Issuance of Preferred Stock</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partial consideration for and in connection with the Line of Credit Agreement, on November 21, 2011 we executed a Securities Purchase Agreement (the “Series A Purchase Agreement”) with DermaStar, pursuant to which we agreed to issue 10 shares of newly-designated Series A Convertible Preferred Stock (the “Series A Preferred Stock”) to DermaStar for an aggregate purchase price of $100,000. The Series A Purchase Agreement, as amended, became effective on December 9, 2011, in connection with the dismissal of the Chapter 11 Case by the Bankruptcy Court on December 8, 2011. On December 12, 2011, we and DermaStar consummated the transactions contemplated by the Series A Purchase Agreement. The shares of Series A Preferred Stock issued to DermaStar in the offering were convertible into 7,498,500 shares of our common stock. Upon issuance of the Series A Preferred Stock, DermaStar, and its members individually, became control persons of the Company. We appointed DermaStar Managing Members Mark L. Baum and Robert J. Kammer to our Board of Directors in December 2011.</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29, 2012, DermaStar converted the 10 shares of Series A Preferred Stock held by it into 7,498,500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with the Holders of the Company’s 7.5% Convertible Promissory Note</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5, 2010, we issued a $1,000,000 7.5% Convertible Promissory Note (the “Convertible Note”) to Alexej Ladonnikov. 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$0.13336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$0.12. Mr. Ladonnikov also agreed to make a one-time payment of $50,000 to us at such time as the Convertible Note was converted into common stock.</w:t>
      </w:r>
    </w:p>
    <w:p>
      <w:pPr>
        <w:spacing w:after="0" w:line="2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9,179,150 shares of common stock, and the Convertible Note was terminated. Mr. Ladonnikov made the required one-time payment of $50,000 to us at the time of the conversion.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Management and Board of Directors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Chapter 11 Case, our management team has undergone significant changes. The Board accepted the resignation of John N. Bonfiglio, Ph.D. as our Chief Executive Officer and President, effective May 13, 2011. On the same date, the Board appointed John T. Lomoro to serve as the Company’s Principal Executive Officer. Effective September 16, 2011, the Board accepted the resignation of John T. Lomoro as Principal Executive Officer, Chief Financial Officer and Treasurer of the Company. On the same date, the Board appointed Terry Nida, the Company’s Chief Business Officer, to serve as the Company’s Principal Executive Officer and Principal Financial Officer. Effective December 16, 2011, Terry Nida resigned as Principal Executive Officer and Principal Financial Officer of the Company.</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2012, we began assembling a new management team. Effective January 1, 2012, the Board appointed Balbir Brar, D.V.M., Ph.D. as President of the Company. Effective February 1, 2012, the Board appointed Andrew R. Boll as Vice-President of Accounting and Public Reporting and Principal Accounting and Financial Officer of the Company. Effective February 15, 2012, the Board appointed Joachim Schupp, M.D. as Chief Medical Officer of the Company. Dr. Schupp had previously served as our Chief Medical Officer and Dr. Brar had previously served as our Vice President of Research and Development. Mr. Baum served as our Chairman of the Board of Directors and principal executive officer beginning in December 2011. On April 1, 2012, the Board appointed Mr. Baum as our Chief Executive Officer and Mr. Baum stepped down as our Chairman of the Board. He continues to serve as a director.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23" w:name="page24"/>
    <w:bookmarkEnd w:id="2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has also undergone significant change. Effective December 16, 2011, Anthony S. Thornley resigned from our Board of Directors, and Mr. Baum and Dr. Kammer, managing members of DermaStar, joined the Board of Directors. Effective February 15, 2012, Paul Finnegan, M.D. and Dr. Brar, our President, were appointed as directors of the Company. On April 1, 2012, Dr. Kammer began serving as the Chairman of the Board of Directors. On July 26, 2012, Stephen Austin, CPA, was appointed as a director of the Company and Dr. Brar, who continues to serve as our President, resigned as a director. We currently have five directors, as follows: Jeffrey Abrams, M.D., Mr. Austin, Mr. Baum, Dr. Kammer and Dr. Finnegan.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Private Placement</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20, 2012, we entered into a Securities Purchase Agreement with certain accredited investors relating to the sale and issuance of an aggregate of 10,058,455 shares of our common stock and warrants to purchase up to 2,514,642 shares of common stock at an exercise price of $1.185 per share, for an aggregate gross purchase price of approximately $7.95 million (the “April Private Placement”). We closed the April Private Placement on April 25, 2012. The securities sold in the April Private Placement were sold in reliance on the exemption from the registration requirements of the Securities Act of 1933 (the “Securities Act”) afforded by Section 4(2) of the Securities Act and Rule 506 of Regulation D.</w:t>
      </w:r>
    </w:p>
    <w:p>
      <w:pPr>
        <w:spacing w:after="0" w:line="21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20 business days after all of the following conditions have been satisfied: (i) the volume weighted average price of the our common stock for 10 consecutive trading days is equal to or greater than the exercise price of the warrants; (ii) we have received a Filing Review Notification from the FDA regarding the status of Impracor; and (iii) sufficient shares of common stock are authorized and reserved for issuance upon full exercise of the warrants.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PCCA Transaction</w:t>
      </w:r>
    </w:p>
    <w:p>
      <w:pPr>
        <w:spacing w:after="0" w:line="254" w:lineRule="exact"/>
        <w:rPr>
          <w:sz w:val="20"/>
          <w:szCs w:val="20"/>
          <w:color w:val="auto"/>
        </w:rPr>
      </w:pPr>
    </w:p>
    <w:p>
      <w:pPr>
        <w:jc w:val="both"/>
        <w:ind w:firstLine="724"/>
        <w:spacing w:after="0" w:line="282" w:lineRule="auto"/>
        <w:rPr>
          <w:sz w:val="20"/>
          <w:szCs w:val="20"/>
          <w:color w:val="auto"/>
        </w:rPr>
      </w:pPr>
      <w:r>
        <w:rPr>
          <w:rFonts w:ascii="Times New Roman" w:cs="Times New Roman" w:eastAsia="Times New Roman" w:hAnsi="Times New Roman"/>
          <w:sz w:val="18"/>
          <w:szCs w:val="18"/>
          <w:color w:val="auto"/>
        </w:rPr>
        <w:t>On August 30, 2012, we entered into a License Agreement (the “PCCA License Agreement") and a Stock Purchase Agreement (the “PCCA Purchase Agreement”) in a strategic transaction with PCCA (the “PCCA Transaction”).</w:t>
      </w:r>
    </w:p>
    <w:p>
      <w:pPr>
        <w:spacing w:after="0" w:line="189" w:lineRule="exact"/>
        <w:rPr>
          <w:sz w:val="20"/>
          <w:szCs w:val="20"/>
          <w:color w:val="auto"/>
        </w:rPr>
      </w:pPr>
    </w:p>
    <w:p>
      <w:pPr>
        <w:jc w:val="both"/>
        <w:ind w:firstLine="694"/>
        <w:spacing w:after="0" w:line="261" w:lineRule="auto"/>
        <w:rPr>
          <w:sz w:val="20"/>
          <w:szCs w:val="20"/>
          <w:color w:val="auto"/>
        </w:rPr>
      </w:pPr>
      <w:r>
        <w:rPr>
          <w:rFonts w:ascii="Times New Roman" w:cs="Times New Roman" w:eastAsia="Times New Roman" w:hAnsi="Times New Roman"/>
          <w:sz w:val="18"/>
          <w:szCs w:val="18"/>
          <w:color w:val="auto"/>
        </w:rPr>
        <w:t>Pursuant to the terms of the PCCA License Agreement, effective August 30, 2012, PCCA has granted to us and our affiliates certain exclusive rights under PCCA’s proprietary formulations, other technologies and data, and we have agreed to pay to PCCA certain royalties on net sales relating to the sale of certain future products, which royalties range from 4.5% to 9% for each product, subject to certain minimum royalty payments. PCCA may terminate the PCCA License Agreement if we fail to commence efforts to research and develop future products within certain time periods.</w:t>
      </w:r>
    </w:p>
    <w:p>
      <w:pPr>
        <w:spacing w:after="0" w:line="207" w:lineRule="exact"/>
        <w:rPr>
          <w:sz w:val="20"/>
          <w:szCs w:val="20"/>
          <w:color w:val="auto"/>
        </w:rPr>
      </w:pPr>
    </w:p>
    <w:p>
      <w:pPr>
        <w:jc w:val="both"/>
        <w:ind w:firstLine="697"/>
        <w:spacing w:after="0" w:line="261" w:lineRule="auto"/>
        <w:rPr>
          <w:sz w:val="20"/>
          <w:szCs w:val="20"/>
          <w:color w:val="auto"/>
        </w:rPr>
      </w:pPr>
      <w:r>
        <w:rPr>
          <w:rFonts w:ascii="Times New Roman" w:cs="Times New Roman" w:eastAsia="Times New Roman" w:hAnsi="Times New Roman"/>
          <w:sz w:val="18"/>
          <w:szCs w:val="18"/>
          <w:color w:val="auto"/>
        </w:rPr>
        <w:t>Pursuant to the terms of the PCCA Purchase Agreement, closed on August 31, 2012, we issued and sold to PCCA 4,163,414 shares of our common stock at a per share purchase price of $0.96075, for aggregate gross proceeds to us of $4,000,000. The PCCA Purchase Agreement does not grant to PCCA any registration rights with respect to the shares purchased and sold thereunder. The shares sold to PCCA were sold in reliance on the exemption from the registration requirements of the Securities Act afforded by Section 4(2) thereof.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period to period comparisons of our financial results and our interim results are not necessarily indicative of future results.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Nine Months Ended September 30, 2012, Compared to the Three and Nine Months Ended September 30, 2011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No revenues were recognized during the three months ended September 30, 2012 and 2011. For the nine months ended September 30, 2012 we recognized $100,000 in revenues, compared to no revenues recognized during the same period in the prior year. These revenues were non-refundable royalty advances, unrelated to product sales, paid to the Company in December 2010 and April 2011. The revenues stem from our terminated license agreement which had provided JH Direct rights to our anti-cellulite cosmetic product. This agreement was terminated in January 2012, and we do not expect any other revenues to be recognized from it.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selling, general and administrative expenses include personnel costs including wages and stock-based compensation, corporate facility expenses, investor relations, consulting, insurance, legal and accounting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regarding selling, general and administrative expenses.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9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946,381</w:t>
            </w: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66,496</w:t>
            </w: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879,885</w:t>
            </w:r>
          </w:p>
        </w:tc>
        <w:tc>
          <w:tcPr>
            <w:tcW w:w="26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2,240,004</w:t>
            </w:r>
          </w:p>
        </w:tc>
        <w:tc>
          <w:tcPr>
            <w:tcW w:w="50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514,529</w:t>
            </w:r>
          </w:p>
        </w:tc>
        <w:tc>
          <w:tcPr>
            <w:tcW w:w="3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1,725,475</w:t>
            </w: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2012, there was an increase of $879,885 and $1,725,475, respectively, in selling, general and administrative expenses, as compared to the same periods in the prior year. The increase in selling, general and administrative expenses is largely attributable to the resumption of our operations in December 2011, following the winding down and ceasing operations during these periods in 2011, including the suspension of payroll beginning in March 2011. Selling, general and administrative expenses during the three and nine months ended September 30, 2012 were primarily due to the hiring of new personnel, consultants and management, legal and accounting fees associated with complying with our SEC reporting obligations and fees and expenses related to financing activities. A significant portion of the increase in personnel costs is associated with stock-based compensation for the three and nine months ended September 30, 2012, which increased $194,685 and $1,246,961, respectively, as compared to the same periods in the prior 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primarily include expenses related to the Impracor clinical program. These costs are comprised of expenses for our first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regarding research and development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2011</w:t>
            </w:r>
          </w:p>
        </w:tc>
        <w:tc>
          <w:tcPr>
            <w:tcW w:w="1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303,666</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68"/>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303,666</w:t>
            </w:r>
          </w:p>
        </w:tc>
        <w:tc>
          <w:tcPr>
            <w:tcW w:w="26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580,240</w:t>
            </w:r>
          </w:p>
        </w:tc>
        <w:tc>
          <w:tcPr>
            <w:tcW w:w="300" w:type="dxa"/>
            <w:vAlign w:val="bottom"/>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111,554</w:t>
            </w:r>
          </w:p>
        </w:tc>
        <w:tc>
          <w:tcPr>
            <w:tcW w:w="3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468,686</w:t>
            </w: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2012, there was an increase of $303,666 and $468,686, respectively, in research and development expense as compared to the same periods in the prior year. The increase was primarily related to the hiring of new personnel and consultants in 2012 for the planning and development of additional Phase 3 studies of our Impracor clinical program, and costs related to supportive safety studies for Impracor, which began in September 2012. A significant portion of the increase in research and development personnel costs is associated with stock-based compensation for the three and nine months ended September 30, 2012, which increased $61,299 and $105,957, respectively, as compared to the same periods in the prior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Interest expense was $0 and $24,658 for the three and nine months ended September 30, 2012, respectively, compared to $18,904 and $56,095 for the three and nine months ended September 30, 2011, respectively. The 10% promissory notes issued under our Line of Credit Agreement with DermaStar accounted for $0 and $12,535 of interest expense during the three and nine months ended September 30, 2012, respectively, and $0 during the same periods in the prior year. The 7.5% Convertible Note with a principal balance of $1,000,000, issued in April 2010 (and converted to shares of our common stock in February 2012) accounted for $0 and $12,123 of interest expense during the three and nine months ended September 30, 2012, respectively, and $18,904 and $56,095 during the three and nine months ended September 30, 2011, respectively.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Loss from extinguishment of debt was $0 and $1,195,410 for the three and nine months ended September 30, 2012, respectively. As further described above under the heading “Recent Developments”, effective as of January 25, 2012, we entered into separate waiver and settlement agreements with DermaStar and Alexej Ladonnikov, the two holders of the Convertible Note. Pursuant to the waiver and settlement agreements, on February 28, 2012, the entire outstanding balance and all accrued but unpaid interest owing under the Convertible Note and the accounts payable held by DermaStar were converted into an aggregate of 9,179,150 shares of our common stock, and the Convertible Note was terminated. On February 28, 2012, we received payment from Mr. Ladonnikov of $50,000 and issued 1,904,338 shares of common stock to Mr. Ladonnikov as payment in full for his 20% ownership of the Convertible Note ($200,000) and its related accrued interest ($28,521). We determined this to be a substantial modification to the debt instrument and applied debt extinguishment accounting to record a loss on extinguishment of debt of $150,000 ($200,000 Note principal balance less $50,000 cash payment) for the nine months ended September 30, 2012. On February 28, 2012, we issued 7,274,812 shares of our common stock to DermaStar as payment in full for its 80% ownership of the Convertible Note ($800,000), its related accrued interest ($114,082) and $56,087 in accounts payable. We determined this to be a substantial modification to the debt instrument and applied debt extinguishment accounting to record a loss on extinguishment of debt of $856,087 for the nine months ended September 30, 2012.</w:t>
      </w:r>
    </w:p>
    <w:p>
      <w:pPr>
        <w:spacing w:after="0" w:line="2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further described above under the heading “Recent Developments”, on April 20, 2012, DermaStar agreed to convert the promissory notes issued under the Line of Credit Agreement and their related accrued interest, totaling $762,534, into 965,233 shares of our common stock and a related warrant to purchase up to an additional 241,308 shares of our common stock at an exercise price of $1.185 per share. We determined this to be a substantial modification to the debt instrument and applied debt extinguishment accounting to record a loss on extinguishment of debt of $189,323 for the nine months ended September 30, 2012.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losses attributable to common stockholders for the three and nine months ended September 30, 2012, were $1,245,826 and $4,130,507, respectively, or $(0.04) and $(0.22), respectively, per basic and diluted share, compared to net losses attributable to common stockholders for the three and nine months ended September 30, 2011 of $85,400 and $682,178, respectively, or $(0.04) and $(0.34), respectively, per basic and diluted share.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cash on hand at September 30, 2012 was $10,990,871 as compared to $2,154 at September 30, 2011. The increase in cash on hand is primarily attributable to aggregate net proceeds of approximately $11,916,000 received from our issuance of securities in the April Private Placement and the PCCA Transaction during the nine months ended September 30, 2012, and the $750,000 drawn under our Line of Credit Agreement with DermaStar between December 2011 and April 2012. Since inception through September 30, 2012, we have incurred aggregate losses of approximately $22,351,000. These losses are primarily due to selling, general and administrative and research and development expenses incurred in connection with developing and seeking regulatory approval for our lead drug, Impracor. Historically, our operations have been financed through capital contributions and debt and equity financings.</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further described under the heading “Recent Developments” above, on June 26, 2011, we filed a voluntary petition for reorganization relief under Chapter 11 of the U.S. Bankruptcy Code. Thereafter, we suspended our operations and terminated almost all of our employees. After receiving certain commitments from DermaStar to provide funding to us under a secured line of credit (as further described above under the heading “Recent Developments” and below), on November 21, 2011 we requested that the Bankruptcy Court dismiss the Chapter 11 Case. The Bankruptcy Court entered an order dismissing the Chapter 11 Case on December 8, 2011. Since December 9, 2011, we have focused on resuming the operation of our business, including assembling a management team and hiring employees.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further described above under the heading “Recent Developments,” on April 5, 2010 we issued a $1,000,000 7.5% Convertible Promissory Note. Effective as of January 25, 2012, we entered into separate waiver and settlement agreements with DermaStar and Alexej Ladonnikov, the two holders of the Convertible Note. Pursuant to the waiver and settlement agreements, on February 28, 2012, the entire outstanding balance and all accrued but unpaid interest owing under the Convertible Note and $56,087 in accounts payable held by DermaStar were converted into 9,179,150 shares of common stock, and the Convertible Note was terminated. In addition, Mr. Ladonnikov made a one-time payment of $50,000 to us at the time of the conversion.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further described above under the heading “Recent Developments,” on November 21, 2011 we entered into the Line of Credit Agreement with DermaStar. The Line of Credit Agreement provided for advances of up to an aggregate of $750,000, subject to the satisfaction by us of certain conditions in connection with each advance. Interest under the line of credit accrued at 10% per annum. As of December 31, 2011 and up to April 25, 2012 (the date of the conversion thereof), we had requested advances of $300,000 and $750,000, respectively, under the line of credit. On April 25, 2012, the entire outstanding principal balance and all accrued and unpaid interest under the line of credit, an aggregate of $762,534, was converted into 965,233 shares of common stock and warrants to purchase 241,308 shares of our common stock. The line of credit was terminated upon the completion of the conversion.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Private Placement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further described above under the heading “Recent Developments,” on April 25, 2012 we closed a private placement of securities with certain accredited investors for the sale and issuance of 10,058,455 shares of common stock and warrants to purchase up to 2,514,642 shares of common stock at an exercise price of $1.185 per share, for aggregate proceeds, net of offering costs, to us of approximately $7,930,000.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PCCA Transaction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PCCA Purchase Agreement that we entered into with PCCA in connection with the PCCA Transaction, on August 31, 2012, we issued and sold to PCCA 4,163,414 shares of our common stock at a per share purchase price of $0.96075, for aggregate net proceeds to us of approximately $3,980,000.</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provides detailed information about our net cash flow for the nine months ended September 30, 2012 and 2011.</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5700" w:type="dxa"/>
            <w:vAlign w:val="bottom"/>
            <w:gridSpan w:val="2"/>
            <w:vMerge w:val="continue"/>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(1,287,127)</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12,147,146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10,844,711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(289,308)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10,990,871</w:t>
            </w:r>
          </w:p>
        </w:tc>
        <w:tc>
          <w:tcPr>
            <w:tcW w:w="1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$1,287,127 for the nine months ended September 30, 2012, as compared to $316,845 used in operating activities during the same period for the prior year. The increase in net cash used in operating activities was mainly due to resuming the operation of our business, including assembling a management team and hiring employees, planning and development of additional Phase 3 studies and the reduction of our historical working capital debt.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2012 and 2011 was $15,308 and $0, respectively. The increase in investing activities during the nine months ended September 30, 2012 was due primarily to our move into our new office space and our acquisition of furniture and office equipment to furnish that office space.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2012 and 2011 was $12,147,146 and $27,537, respectively. The increase in cash is primarily attributable to aggregate proceeds, net of offering costs, of approximately $7,930,000 received from the April Private Placement, $3,980,000 from the PCCA Purchase Agreement, and the $450,000 drawn under our Line of Credit Agreement with DermaStar between January 2012 and April 2012.</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to use our current cash position to begin executing on our business plan, including starting additional clinical studies related to our Accudel technology, and otherwise fund our operations. Management believes we have sufficient cash reserves to execute our business plan for the next twelve months. If we are not able to generate significant revenues and attain profitable operations, we will need to seek additional financing, including equity or debt financing, funding from a corporate partnership or licensing arrangement or any similar financing. In addition, estimates of our operating expenses and working capital requirements could be incorrect, and we could be required to seek additional financing earlier than we anticipate.</w:t>
      </w:r>
    </w:p>
    <w:p>
      <w:pPr>
        <w:spacing w:after="0" w:line="21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will require additional funds in order to fully conduct our planned clinical trials and any other studies that may be required to obtain regulatory approval to market Impracor, to pursue additional pharmaceutical development programs and to explore other co-development opportunities. If adequate financing is not available, we may not be able to obtain regulatory approval to market Impracor or develop any additional products. We may seek funds from equity or debt financings, a corporate partnership or licensing arrangement (as we did with the PCCA Transaction), or any other similar financing. Any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be unable to obtain financing when necessary as a result of, among other things, general economic conditions, conditions in the pharmaceuticals industry or as a result of our operating history, including our recent bankruptcy proceedings. In addition, the fact that we are not and have never been profitable and will require additional funds to complete our planned clinical trials could further impact the availability or cost of future financings. There is no assurance that sufficient financing will be available to us, or, if available, will be on terms that would be acceptable to us. If we are unable to raise funds to satisfy our capital needs on a timely basis, then we may not be able to obtain regulatory approval to market Impracor or develop any additional products or otherwise pursue our business plan, and we may be required to cease operations.</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reported in the Report of Independent Registered Public Accounting Firm on our December 31, 2011 consolidated financial statements, we have incurred recurring losses from operations and have an accumulated deficit that raised substantial doubt about our ability to continue as a going concern. At September 30, 2012, the Company had increased its cash position by approximately $11 million as compared to our cash position at December 31, 2011. As of the date of this Quarterly Report, management believes we have sufficient cash reserves to support our operating plan and fund operating cash flow requirements through the next twelve months.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Our most critical accounting policies and estimates that may materially impact our results of operations include:</w:t>
      </w:r>
    </w:p>
    <w:p>
      <w:pPr>
        <w:spacing w:after="0" w:line="25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All share-based payments to employees, including grants of employee stock options and restricted stock grants,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in the consolidated financial statements are based upon their fair values. We use the Black-Scholes-Merton option pricing model to estimate the grant-date fair value of share-based awards. Fair value is determined at the date of grant. The financial statement effect of forfeitures is estimated at the time of grant and revised, if necessary, if the actual effect differs from those estimates.</w:t>
      </w:r>
    </w:p>
    <w:p>
      <w:pPr>
        <w:spacing w:after="0" w:line="20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condensed consolidated balance sheets.</w:t>
      </w:r>
    </w:p>
    <w:p>
      <w:pPr>
        <w:spacing w:after="0" w:line="21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As part of the process of preparing our consolidated financial statements, we must estimate our actual current tax liabilities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expense all costs related to research and development as they are incurred.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our inception, except for standard operating leases we have not engaged in any off-balance sheet arrangements, including the use of structured finance, special purpose entities or variable interest entities. 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are material to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are no recent accounting pronouncements issued by the FASB that management believes have had or are reasonably likely to have a material impact on our present or future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under the Securities Exchange Act of 1934, as amended (the “Exchange Act”)) that are designed to ensure that information that would be required to be disclosed in Exchange Act reports is recorded, processed, summarized and reported within the time period specified in the rules and forms of the Securities and Exchange Commission (the “SEC”), and that such information is accumulated and communicated to our management, including to our principal executive officer and principal accounting and financial officer, as appropriate, to allow timely decisions regarding required disclosure.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of the Exchange Act, as of September 30, 2012. Based on that evaluation, our principal executive officer and principal financial officer have concluded that, as of September 30, 2012, our disclosure controls and procedures were not effective because of the existence of unremediated material weaknesses, as described in Item 9A of our Annual Report on Form 10-K for the fiscal year ended December 31, 2011.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2012, we continued to pursue certain actions to remediate material weaknesses in our internal control over financial reporting described in our Annual Report on Form 10-K for the fiscal year ended December 31, 2011. We have begun to implement, or expect to implement, the following corrective actions during the year ending December 31, 2012:</w:t>
      </w:r>
    </w:p>
    <w:p>
      <w:pPr>
        <w:spacing w:after="0" w:line="203" w:lineRule="exact"/>
        <w:rPr>
          <w:sz w:val="20"/>
          <w:szCs w:val="20"/>
          <w:color w:val="auto"/>
        </w:rPr>
      </w:pPr>
    </w:p>
    <w:p>
      <w:pPr>
        <w:jc w:val="both"/>
        <w:ind w:left="500" w:hanging="204"/>
        <w:spacing w:after="0" w:line="258"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established an Audit Committee, comprised of independent directors. On July 26, 2012, we appointed Stephen Austin, CPA, to our Board of Directors. The Board has determined that Mr. Austin is a “financial expert,” as the SEC has defined that term in Item 407 of Regulation S-K. Mr. Austin serves on the Audit Committee as its chairman. The Audit Committee operates independently of our Board of Directors as contemplated by the charter for that committee, and is tasked with, among other things, oversight of selection of our independent registered public accounting firm and the audit of our financial statements.</w:t>
      </w:r>
    </w:p>
    <w:p>
      <w:pPr>
        <w:spacing w:after="0" w:line="210" w:lineRule="exact"/>
        <w:rPr>
          <w:rFonts w:ascii="Times New Roman" w:cs="Times New Roman" w:eastAsia="Times New Roman" w:hAnsi="Times New Roman"/>
          <w:sz w:val="18"/>
          <w:szCs w:val="18"/>
          <w:color w:val="auto"/>
        </w:rPr>
      </w:pPr>
    </w:p>
    <w:p>
      <w:pPr>
        <w:jc w:val="both"/>
        <w:ind w:left="500" w:hanging="204"/>
        <w:spacing w:after="0" w:line="261"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process of adopting and implementing procedures designed to ensure better coordination, oversight and communication among our finance, human resources, and legal functions to ensure that no one person or department would have complete control in the accounting and financial reporting process. We have hired qualified consultants to assist us in the remediation of our material weaknesses, and implementation of effective controls following the guidance issued by the Committee of Sponsoring Organizations of the Treadway Commission, or COSO.</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date of this Quarterly Report, our remediation efforts continue related to each of the material weaknesses described in our Annual Report on Form 10-K for the year ended December 31, 2011. Those material weaknesses will not be considered remediated until (1) the procedures described above have been designed, appropriately controlled and implemented for a sufficient period of time, and (2) we have sufficient evidence that those procedures and related controls are operating effectively.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our ongoing remediation efforts described above, there have been no changes in our internal control over financial reporting that occurred during the quarter ended September 30, 2012 that have materially affected, or are reasonably likely to materially affect, our internal control over financial reporting.</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not aware of any pending legal proceedings to which we are a party or of which any of our property is subject the adverse outcome of which, individually or in the aggregate, would have a material adverse effect on our financial position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report and our other filings with the SEC. Our business, financial condition, results of operations and stock price could be materially adversely affected by any of these risks. Additional risks not presently known to us or that we currently deem immaterial may also impair our business financial condition, results of operations and stock price. This Quarterly Report contains forward-looking statements.</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since the dismissal of our voluntary petition for reorganization relief under Chapter 11 of the Bankruptcy Code in December 2011, and we may be unable to successfully resume our operations and implement our business plan.</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(“DermaStar”), we requested that the Bankruptcy Court dismiss the Chapter 11 Case. On December 8, 2011, the Bankruptcy Court entered an order dismissing the Chapter 11 Case, and since that date we have engaged a new management team, appointed new directors to fill certain vacancies on our Board and worked towards re-initiating our Phase 3 clinical trials for Impracor. However, we have a limited operating history since the dismissal of the Chapter 11 Case, and we may not be successful in our efforts to resume our operations. We did not receive any type of discharge of debts, claims or obligations in the Chapter 11 Case, and prior unknown or contingent liabilities could have a material adverse effect on our financial condition. Prior to the filing of the Chapter 11 Case, we were unable to successfully pursue our business plan due to a lack of funding. We will require additional capital to pursue our clinical trials and maintain our operations. We may be unable to obtain such funds when necessary. In addition, by September 2011 we employed no full-time employees and had retained the consulting services of one former employee in order to manage any matters related to the Chapter 11 Case. We have had to re-assemble an executive management team and a research and development team, and other employees to assist with our general operations. We currently have five employees, a number of whom are former employees, and we will need to hire additional employees in order to execute our business plan. Given our operating history, we may be unable to maintain an effective management team, or hire and retain the additional qualified individuals we will need. As a result, we may be unable to successfully pursue our business plan.</w:t>
      </w:r>
    </w:p>
    <w:p>
      <w:pPr>
        <w:spacing w:after="0" w:line="22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raise additional capital in order to continue operating our business, and such additional funds may not be available on acceptable terms or at all.</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believe we have sufficient cash reserves to execute our business plan for the next twelve months, we must raise additional funds in order to continue operating our business and fully execute our business plans. We will likely need significant additional capital, which we may seek to raise through, among other things, public and private equity offerings and debt financing. If we are not able to generate significant revenues and attain profitable operations, we will need to continue to seek further additional financing. In addition, estimates of our operating expenses and working capital requirements could be incorrect, and we could be required to seek additional financing earlier than we anticipate. We expect to continue to fund our operations primarily through equity and debt financings in the future, and could also pursue finding from corporate partnerships or licensing arrangements (as we did with the PCCA Transaction) or similar financings. If additional capital is not available when necessary, we may not be able to continue to operate our business pursuant to our business plan or we may have to discontinue our operations entirely.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31" w:name="page32"/>
    <w:bookmarkEnd w:id="3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our total expenditures over the next 12 months to be approximately $9.3 million. However, our estimate of total expenditures could increase if we encounter unanticipated difficulties. In addition, our estimates of the amount of cash necessary to fund our business may prove to be wrong and we could spend our available financial resources much faster than we currently expect. If we do not have sufficient funds to continue to develop our business, we will be forced to delay, scale back or eliminate some or all of our proposed operations. If any of these events were to occur, there is a substantial risk that our business would fail. Sources of additional funds may not be available on acceptable terms or at all. Weak economic and capital market conditions could result in increased difficulties in raising capital for our operations. We may not be able to raise money through the sale of our equity securities or through borrowing funds on terms we find acceptable, or at all. If we cannot raise the funds that we need, we will be unable to continue our operations, and our stockholders could lose their entire investment in our company.</w:t>
      </w:r>
    </w:p>
    <w:p>
      <w:pPr>
        <w:spacing w:after="0" w:line="2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issue equity or convertible debt securities to raise additional funds, our existing stockholders may experience substantial dilution, and the new equity or debt securities may have rights, preferences and privileges senior to those of our existing stockholders. In addition, if we raise additional funds through collaboration and licensing arrangements, we may be required to relinquish potentially valuable rights to our product candidates or proprietary technologies, or grant licenses on terms that are not favorable to us. If we incur additional debt, it may increase our leverage relative to our earnings or to our equity capitalization, requiring us to pay additional interest expenses. Obtaining commercial loans, assuming those loans would be available, would increase our liabilities and future cash commitments.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20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losses in the research and development of Impracor and our Accudel technology since inception. We may never generate revenue or become profitable.</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incurred losses in every year of our operations, including net losses of $(953,936) and $(2,531,228) for the years ended December 31, 2011 and 2010, respectively. As of September 30, 2012, our accumulated deficit was $(22,651,240). In addition, we expect to incur increasing operating losses for the foreseeable future as we continue to incur costs for research and development and clinical trials, and in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in-license rights to particular drugs or active ingredients for use in cosmetic products. The license fees for such drugs or active ingredients may increase our costs.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we continue to engage in the development of Impracor and develop other products, we may never be able to achieve or sustain market acceptance, profitability or positive cash flow. Our ultimate success will depend on many factors, including whether Impracor receives FDA approval. We cannot be certain that we will receive FDA approval for Impracor, or that we will reach the level of sales and revenues necessary to achieve and sustain profitability. Unless we raise additional capital, we will not be able to execute our business plan or fund business operations. Furthermore, we will be forced to reduce our expenses and cash expenditures to a material extent, which would impair or delay our ability to execute our business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correctly estimate our future operating expenses, which could lead to cash shortfalls.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operating expenses may fluctuate significantly in the future as a result of a variety of factors, many of which are outside of our control. These factors include:</w:t>
      </w:r>
    </w:p>
    <w:p>
      <w:pPr>
        <w:spacing w:after="0" w:line="189" w:lineRule="exact"/>
        <w:rPr>
          <w:sz w:val="20"/>
          <w:szCs w:val="20"/>
          <w:color w:val="auto"/>
        </w:rPr>
      </w:pPr>
    </w:p>
    <w:p>
      <w:pPr>
        <w:ind w:left="980" w:hanging="19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resources required to develop, conduct clinical trials and obtain regulatory approvals for our drug candidates;</w:t>
      </w:r>
    </w:p>
    <w:p>
      <w:pPr>
        <w:spacing w:after="0" w:line="252" w:lineRule="exact"/>
        <w:rPr>
          <w:rFonts w:ascii="Times New Roman" w:cs="Times New Roman" w:eastAsia="Times New Roman" w:hAnsi="Times New Roman"/>
          <w:sz w:val="18"/>
          <w:szCs w:val="18"/>
          <w:color w:val="auto"/>
        </w:rPr>
      </w:pPr>
    </w:p>
    <w:p>
      <w:pPr>
        <w:ind w:left="980" w:right="20" w:hanging="198"/>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rebuild our management team following the dismissal of the Chapter 11 Case, including attracting and retaining personnel with the skills required for effective operations; and</w:t>
      </w:r>
    </w:p>
    <w:p>
      <w:pPr>
        <w:spacing w:after="0" w:line="188" w:lineRule="exact"/>
        <w:rPr>
          <w:rFonts w:ascii="Times New Roman" w:cs="Times New Roman" w:eastAsia="Times New Roman" w:hAnsi="Times New Roman"/>
          <w:sz w:val="18"/>
          <w:szCs w:val="18"/>
          <w:color w:val="auto"/>
        </w:rPr>
      </w:pPr>
    </w:p>
    <w:p>
      <w:pPr>
        <w:ind w:left="980" w:hanging="198"/>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defending and enforcing patent claims and other patent related costs, including litigation costs and the results of such litigation.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estimates of our operating expenses prove to be wrong, we could spend our available financial resources much faster than we currently expect. If we do not have sufficient funds to continue to develop our business, we will be forced to delay, scale back or eliminate some or all of our proposed operations.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report of our independent registered public accounting firm on our 2011 consolidated financial statements contains a going concern modification, and we will need additional financing to execute our business plan, fund our operations and to continue as a going concern.</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limited remaining funds to support our operations. We have prepared our consolidated financial statements for the fiscal year ended December 31, 2011 and the nine months ended September 30, 2012 on a going-concern basis, which contemplates the realization of assets and the satisfaction of liabilities in the normal course of business. The report of our independent registered public accounting firm included in our December 31, 2011 consolidated financial statements includes an explanatory paragraph stating that the recurring losses incurred from operations and a working capital deficiency raise substantial doubt about our ability to continue as a going concern. In the nine months ended September 30, 2012, we received approximate proceeds, net of related costs, of approximately $7.93 million in the April Private Placement and $3.98 million in connection with the PCCA Transaction. We expect to use those funds to pursue obtaining regulatory approval to market Impracor and pursue our business plan, but we will need to secure additional funds in order to complete our clinical trials and pursue other product development opportunities. As a result of such transactions and in light of our current cash and cash equivalents position as of the date of this report, we expect to have adequate resources in order to operate our business through the next twelve months. However, our auditors may have doubt about our ability to continue as a going concern in future periods, and our financial statements relating to those periods may not be prepared on a going-concern basis based on any such doubts. Further, even with our current cash position as a result of our recent financings, we will need to secure additional funds in order to complete our clinical trials and pursue other product development opportunities. If adequate financing is not available, we will not be able to meet FDA requirements to obtain regulatory approval to market Impracor. In addition, if one or more of the risks discussed in these risk factors occur or our expenses exceed our expectations, we may be required to raise further additional funds sooner than anticipated. The inclusion of a going concern modification in our independent registered public accounting firm’s report for the year ended December 31, 2011, or in any future report, may materially and adversely affect our stock price or our ability to raise new capital.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clinical trials may not demonstrate the safety and efficacy of our product candidates.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extensive government regulations. The process of obtaining FDA approval is costly, time consuming, uncertain and subject to unanticipated delays. Before obtaining regulatory approvals for the sale of any of our product candidates, we must demonstrate through preclinical studies and clinical trials that the product candidate is safe and effective for each intended use. Preclinical and clinical studies may fail to demonstrate the safety and effectiveness of our product candidates.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candidate, the approval may be limited to specific indications or limited with respect to its distribution, which could limit revenues.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FDA or other regulatory agencies may not approve any product candidates developed by us on a timely basis or at all, and, if granted, such approval may subject the marketing of our product candidates to certain limits on indicated use. In particular, the outcome of the final analyses of the data from the Phase 3 clinical trials for Impracor may vary from our initial conclusions or the FDA may not agree with our interpretation of such results or may challenge the adequacy of our clinical trial design or the execution of the clinical trial. The FDA has required two adequate and well controlled Phase 3 clinical trials for Impracor before we can submit a New Drug Application under Section 505(b)(2) of the Hatch-Waxman Act of 1984. We have not yet initiated these Phase 3 clinical trials, although in September 2012 we commenced certain supportive studies relating to Impracor that are also required by the FDA. The results of any future clinical trials or studies may not be favorable and we may never receive regulatory approval for Impracor. Any limitation on use imposed by the FDA or delay in or failure to obtain FDA approvals of product candidates developed by us would adversely affect our ability to generate product revenue, as well as the price of our common stock.</w:t>
      </w:r>
    </w:p>
    <w:p>
      <w:pPr>
        <w:spacing w:after="0" w:line="21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conduct or completion of our clinical and non-clinical trials for Impracor or the analysis of the data from our clinical or non-clinical trials may adversely affect our business.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w:t>
      </w:r>
    </w:p>
    <w:p>
      <w:pPr>
        <w:spacing w:after="0" w:line="203" w:lineRule="exact"/>
        <w:rPr>
          <w:sz w:val="20"/>
          <w:szCs w:val="20"/>
          <w:color w:val="auto"/>
        </w:rPr>
      </w:pPr>
    </w:p>
    <w:p>
      <w:pPr>
        <w:ind w:left="980" w:hanging="19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FDA to approve the scope or design of our clinical or non-clinical trials or manufacturing plans;</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volunteers in clinical trials;</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deficient quality of materials necessary for the performance of clinical or non-clinical trials;</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of clinical or non-clinical studies; and</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side effects experienced by study participants in clinical trials relating to a specific product.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33" w:name="page34"/>
    <w:bookmarkEnd w:id="3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may be other circumstances other than the ones described above, over which we may have no control that could materially delay the successful completion of our clinical and non-clinical studies.Furthermore, we expect to rely on CROs to ensure the proper and timely conduct of our clinical trials, and while we expect to enter into agreements governing their committed activities, we have limited influence over their actual performance.</w:t>
      </w:r>
    </w:p>
    <w:p>
      <w:pPr>
        <w:spacing w:after="0" w:line="19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patents are determined to be unenforceable or expire, or if we are unable to obtain new patents based on current patent applications or for future inventions, we may not be able to prevent others from using our intellectual property.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success will depend in part on our ability to:</w:t>
      </w:r>
    </w:p>
    <w:p>
      <w:pPr>
        <w:spacing w:after="0" w:line="252" w:lineRule="exact"/>
        <w:rPr>
          <w:sz w:val="20"/>
          <w:szCs w:val="20"/>
          <w:color w:val="auto"/>
        </w:rPr>
      </w:pPr>
    </w:p>
    <w:p>
      <w:pPr>
        <w:ind w:left="980" w:hanging="19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protection with respect to our products;</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third parties from infringing upon our proprietary rights;</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trade secrets;</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upon the patents and proprietary rights of others; and</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licenses to patents or proprietary rights held by third parties if infringement would otherwise occur.</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obtained a patent from the United States Patent and Trademark Office on our Accudel technology in 1998, which affords protection of Accudel through 2016 in the United States. We may not be successful in our efforts to extend the date of our patent protection beyond 2016. Failure to maintain or extend the patent could adversely affect our business. We will only be able to protect our drug candidates and our technologies from unauthorized use by third parties to the extent that valid and enforceable patents cover them.</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patent and intellectual property positions of specialty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patent applications in the U.S. are confidential for a period of time until they are published, and publication of discoveries in scientific or patent literature typically lags actual discoveries by several months. As a result, we cannot be certain that the inventors listed in any patent or patent application owned by us were the first to conceive of the inventions covered by such patents and patent applications or that such inventors were the first to file patent applications for such inventions.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may rely on unpatented trade secrets and know-how and continuing technological innovation to develop and maintain our competitive position, which we seek to protect, in part, by confidentiality agreements with current employees, consultants, collaborators and others. We also have invention or patent assignment agreements with our current employees and certain consultants. There can be no assurance, however, that binding agreements will not be breached, that we will have adequate remedies for any breach, or that trade secrets will not otherwise become known or be independently discovered by competitors. In addition, there can be no assurance that inventions relevant to us will not be developed by a person not bound by an invention assignment agreement with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development program may not be successful.</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development of Impracor, we expect to pursue development of potential products in pain management and other therapeutic areas. In particular, we are currently considering potential new product candidates in the muscle relaxant and neuropathic pain fields. We also expect to utilize our relationship with PCCA to identify development opportunities where we perceive an unmet need for a new drug product, and thereby facilitate our future selection, formulation and development of potential product candidates. In addition, our product development program has included cosmetic products, which utilizes the basis of our patented transdermal delivery system technology, Accudel. Since our primary focus will remain seeking FDA approval for Impracor, we currently expect to use limited resources on our other development programs.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None of our potential pharmaceutical product candidates have commenced any clinical trials and there are a number of FDA requirements that we must satisfy in order to commence clinical trials. These requirements will require substantial time, effort and financial resources. We may never satisfy these requirements. In addition, prior to commencing any trials of a drug candidate, we must evaluate whether a market exists for the drug candidate. This is costly and time consuming, and any market studies we rely on may not be accurate. We may expend significant capital and other resources on a drug candidate and find that no commercial market exists for the drug. Further, our relationship with PCCA, on which we intend to rely to facilitate our evaluation of the potential market for future products we may develop, is terminable if we fail to commence efforts to research and develop future products within certain time periods, as set forth in the PCCA License Agreement. We may not be able to meet such requirements within the required time periods or at all, and our relationship with PCCA could be terminated. If we do commence clinical trials of our other potential product candidates, such product candidates may never be approved by the FDA. Even if we are not required to obtain FDA pre-market approval for our potential cosmeceutical product candidates, we will still be subject to a number of federal and state regulations, including regulation by the FDA and the Federal Trade Commission on any marketing claims we make, and we may be unable to satisfy these requirements. Any cosmeceutical products we develop may cause undesirable side effects that could limit their use, require their removal from the market and subject us to adverse regulatory action and product liability claims. As a result, we may never successfully develop and obtain approval to market and sell any of our potential product candidates. Even if we do develop and obtain approval to market and sell such product candidates, we may be unable to compete against the many products and treatments currently being offered or under development by other established, well known and well-financed cosmetic, health care and pharmaceutical companies.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approved, failure to comply with continuing federal and state regulations could result in the loss of approvals to market our drugs.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w:t>
      </w:r>
    </w:p>
    <w:p>
      <w:pPr>
        <w:spacing w:after="0" w:line="216" w:lineRule="exact"/>
        <w:rPr>
          <w:sz w:val="20"/>
          <w:szCs w:val="20"/>
          <w:color w:val="auto"/>
        </w:rPr>
      </w:pPr>
    </w:p>
    <w:p>
      <w:pPr>
        <w:ind w:left="980" w:hanging="19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our regulatory approval;</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terminate any of our ongoing clinical trials;</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filed by us;</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 the facilities of our contract manufacturers; or</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require a product recall.</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Regulatory review also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We may not be able to obtain the labeling claims necessary or desirable for product promotion.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approved, there is no guarantee that the market will accept our products. If we are not successful in introducing our products or if the market does not accept our products, our business, financial position and results of operations may be materially adversely affected and the market price for our common stock would decline.</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development, manufacture, and sale of pharmaceutical and cosmetic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receiving additional patents based on our intellectual property strategy.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undertaken an effort to examine our intellectual property assets and have or shall file certain patents in certain jurisdictions, with the goal of attaining additional protections for our technologies and any related future products. The applications we have filed or we expect to file may never yield patents that protect our inventions and intellectual property assets. Failure to obtain additional patents may limit our protection against generic drug manufacturers and other parties who may seek to copy or otherwise produce products substantially similar to ours using technologies that may be substantially similar to those we own.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technologies could potentially conflict with the rights of others.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dependent on outside manufacturers in the event that we successfully develop our product candidates into commercial products; therefore, we will have limited control of the manufacturing process, access to raw materials, timing for delivery of finished products and costs. One manufacturer may constitute the sole source of one or more of our products.</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third party manufacturers will manufacture all of our products, in the event that we successfully develop our product candidates into commercial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36" w:name="page37"/>
    <w:bookmarkEnd w:id="3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all of our products, in the event that we successfully develop our product candidates into commercial products, will be manufactured by third parties, we have a limited ability to control the manufacturing process, access to raw materials, the timing for delivery of finished products or costs related to this process. There can be no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or failure to meet FDA standards. Increases in the prices we pay our manufacturers, interruptions in our supply of products or lapses in quality could adversely impact our financial condition.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rely on our outside manufacturers to assist us in the preparation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employ personnel or possess the facilities necessary to conduct many of the activities associated with our programs. We expect to engage consultants, advisors, CROs and others to design, conduct, analyze and interpret the results of studies in connection with the research and development of our product candidates. As a result, many important aspects of our product candidates’ development are outside our direct control. Such third parties may not perform all of their obligations under arrangements with us or may not perform those obligations satisfactorily.</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CROs with whom we expect to contract for execution of our clinical studies will play a significant role in the conduct of our anticipated clinical studies or assist with our analysis of completed studies and to develop corresponding regulatory strategies. Individuals working at the CROs with whom we expect to contract, as well as investigators at the sites at which our studies are conducted, are not our employees, and we cannot control the amount or timing of resources that they devote to our programs. If these CROs fail to devote sufficient time and resources to our studies, or if their performance is substandard, it would delay the approval of our applications to regulatory agencies and the introduction of our products. Failure of these CROs to meet their obligations could adversely affect development of our product candidates and as a result could have a material adverse effect on our business, financial condition and results of operations. Moreover, these CROs may have relationships with other commercial entities, some of which may compete with us. If they assist our competitors at our expense, it could harm our competitive position.</w:t>
      </w:r>
    </w:p>
    <w:p>
      <w:pPr>
        <w:spacing w:after="0" w:line="20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internal sales and marketing resources and may have to rely on third parties in the event that we successfully commercialize our product.</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our key personnel or attract additional professional staff, we may be unable to maintain or expand our business.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we described elsewhere in this report, we terminated all of our employees following our filing of the Chapter 11 Case.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scientific nature of our business, our ability to develop products and to compete will remain highly dependent, in large part, upon our ability to attract and retain qualified scientific, technical and commercial personnel. The loss of, or the failure to recruit, key scientific, technical and commercial personnel could have a material adverse effect on our business. While we have consulting agreements with certain key individuals and institutions, we may not succeed in retaining personnel or their services under existing agreements or otherwise. There is intense competition for qualified personnel in the pharmaceutical industry, and we may be unable to continue to attract and retain the qualified personnel necessary for the development of our business.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252"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compete with other companies that develop rival products to our products, then we may never gain market share or achieve profitability.</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transdermal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better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spacing w:after="0" w:line="21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keep up with the rapid technological change in the biotechnology and pharmaceutical industries, which could make our products obsolete and reduce our potential revenues.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generate revenues will be diminished if we fail to obtain acceptable prices or an adequate level of reimbursement from third-party payors.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healthcare industry that are beyond our control may be detrimental to our business.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healthcare industry is changing rapidly as consumers, governments, medical professionals and the pharmaceutical industry examine ways to broaden medical coverage while controlling the increase in healthcare costs. In 2009 and 2010, the U.S. Congress adopted legislation regarding health insurance, which has been signed into law. As a result of this new legislation, substantial changes could be made to the current system of paying for healthcare in the United States, including changes made in order to extend medical benefits to those who currently lack insurance coverage. Extending coverage to a large population could substantially change the structure of the health insurance system and the methodology for reimbursing medical services, drugs and devices. These structural changes could entail modifications to the existing system of private payers and government programs, such as Medicare, Medicaid and State Children’s Health Insurance Program, creation of a government-sponsored healthcare insurance source, or some combination of both, as well as other changes. Restructuring the coverage of medical care in the United States could impact the reimbursement for prescribed drugs, biopharmaceuticals, medical devices, or our product candidates and could put pressure on the prices of pharmaceutical products, which could adversely affect our business or products.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as a result of equity or convertible debt offerings we may effect in the future.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inception we have funded our operations primarily through equity and debt financings and we expect to continue to do so in the future. Any future equity or convertible debt offerings we may effect will dilute your ownership interest in the Company. To the extent any of the warrants and options we have issued are ultimately exercised, you will sustain future dilution. We may also acquire or license other technologies or finance strategic alliances by issuing equity, as we did in connection with our recent stock issuance and licensing arrangement with PCCA, which may result in additional dilution to our stockholders.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common stock by our stockholders, or the perception that such sales may occur, could depress our stock price.</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Sales of our common stock in the public market could lower the market price of our common stock. Sales may also make it more difficult for us to sell equity securities or equity-related securities in the future at a time and price that our management deems acceptable or at all.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market price of our common stock could decline as a result of sales by, or the perceived possibility of sales by, our existing stockholders. We have completed a number of private placements of our common stock and other securities over the last year. Future sales of common stock by significant stockholders, including those who acquired their shares in private placements or who are affiliates, or the perception that such sales may occur, could depress the price of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shares of our common stock may not develop or be sustained.</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Trading in our common stock, which is traded in the over-the-counter market, is sporadic and volatile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cannot predict the extent to which an active public market for our common stock will develop or be sustained. We have filed an application for the listing of our common stock on The NASDAQ Capital Market. However, approval of our application is contingent upon a number of factors and events, including without limitation whether our proposed public offering is consummated and, if so, the final terms of that offering. Accordingly, our common stock continues to trade on the over-the-counter-market. Even if our common stock begins to trade on The NASDAQ Capital Market in the future, we may not be able to meet the requirements for continued listing going forward. Our common stock has historically been sporadically or “thinly-traded,” and as a consequence there may be extended periods when trading activity in our shares is minimal, as compared to a seasoned issuer with a large and steady volume of trading activity. As a result of this lack of liquidity, the trading of relatively small quantities of shares may disproportionately influence the price of those shares in either direction. The market for our common shares is also characterized by significant price volatility compared to seasoned issuers, and we expect that such volatility will continue. It is possible that a broader or more active public trading market for our common stock will not develop or be sustained.</w:t>
      </w:r>
    </w:p>
    <w:p>
      <w:pPr>
        <w:spacing w:after="0" w:line="21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their significant stock ownership, some of our existing stockholders will be able to exert control over us and our significant corporate decisions, and sales by management and the Board of Directors from time to time could have an adverse effect on our stock price.</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executive officers and directors own or have the right to acquire within 60 days, in the aggregate, approximately 23% of the shares of common stock outstanding following such issuance to them. In addition, four individual stockholders hold an additional approximately 45% of our common stock. The sale of even a portion of these shares will likely have a material adverse effect on our stock price. In addition, these persons, acting together, have the ability to exercise significant influence over the outcome of all matters submitted to our stockholders for approval, including the election and removal of directors and any significant transaction involving us, as well as control our management and affairs. Since our stock ownership is concentrated among a limited number of holders and our Amended and Restated Certificate of Incorporation and Bylaws permit our stockholders to act by written consent, a limited number of stockholders may approve stockholder actions without holding a meeting of stockholders and could control the outcome of actions requiring stockholder approval. This concentration of ownership may harm the market price of our common stock by, among other things:</w:t>
      </w:r>
    </w:p>
    <w:p>
      <w:pPr>
        <w:spacing w:after="0" w:line="212" w:lineRule="exact"/>
        <w:rPr>
          <w:sz w:val="20"/>
          <w:szCs w:val="20"/>
          <w:color w:val="auto"/>
        </w:rPr>
      </w:pPr>
    </w:p>
    <w:p>
      <w:pPr>
        <w:ind w:left="1300" w:hanging="19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control of our company;</w:t>
      </w:r>
    </w:p>
    <w:p>
      <w:pPr>
        <w:spacing w:after="0" w:line="252" w:lineRule="exact"/>
        <w:rPr>
          <w:rFonts w:ascii="Times New Roman" w:cs="Times New Roman" w:eastAsia="Times New Roman" w:hAnsi="Times New Roman"/>
          <w:sz w:val="18"/>
          <w:szCs w:val="18"/>
          <w:color w:val="auto"/>
        </w:rPr>
      </w:pPr>
    </w:p>
    <w:p>
      <w:pPr>
        <w:ind w:left="1300" w:hanging="19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our company;</w:t>
      </w:r>
    </w:p>
    <w:p>
      <w:pPr>
        <w:spacing w:after="0" w:line="252" w:lineRule="exact"/>
        <w:rPr>
          <w:rFonts w:ascii="Times New Roman" w:cs="Times New Roman" w:eastAsia="Times New Roman" w:hAnsi="Times New Roman"/>
          <w:sz w:val="18"/>
          <w:szCs w:val="18"/>
          <w:color w:val="auto"/>
        </w:rPr>
      </w:pPr>
    </w:p>
    <w:p>
      <w:pPr>
        <w:ind w:left="1300" w:hanging="19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enter into transactions or agreements that are not in the best interests of all stockholders; or</w:t>
      </w:r>
    </w:p>
    <w:p>
      <w:pPr>
        <w:spacing w:after="0" w:line="252" w:lineRule="exact"/>
        <w:rPr>
          <w:rFonts w:ascii="Times New Roman" w:cs="Times New Roman" w:eastAsia="Times New Roman" w:hAnsi="Times New Roman"/>
          <w:sz w:val="18"/>
          <w:szCs w:val="18"/>
          <w:color w:val="auto"/>
        </w:rPr>
      </w:pPr>
    </w:p>
    <w:p>
      <w:pPr>
        <w:ind w:left="1300" w:hanging="19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our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fail to maintain an effective system of internal controls, we may not be able to accurately report our financial results or prevent fraud.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described in our periodic reports filed with the SEC, including Item 4 of Item I of this Quarterly Report on Form 10-Q for the period ended September 30, 2012 and our Annual Report on Form 10-K for the fiscal year ended December 31, 2011, we have identified material weaknesses in our internal controls and procedures. As a result, we have concluded that our disclosure controls and procedures were not effective as of the end of the period covered by these reports. We have implemented, and continue to implement, actions to address these weaknesses and to enhance the reliability and effectiveness of our internal controls and operations; however, the measures we have taken to date and any future measures may not remediate the material weaknesses discussed in our periodic reports. In addition, we may not be able to maintain adequate controls over our financial processes and reporting in the future. We may discover additional material weaknesses, which we may not successfully remediate on a timely basis or at all. Any failure to remediate any material weaknesses identified by us or to implement required new or improved controls, or difficulties encountered in their implementation, could cause us to fail to meet our reporting obligations or result in material misstatements in our consolidated financial statements. Inadequate internal controls could also cause investors to lose confidence in our reported financial information, which could have a negative impact on the trading price of our stock. Moreover, we will be required to expend significant resources to design, implement and maintain a system of internal controls that is adequate to satisfy our reporting obligations as a public company. The costs associated with external consultants, as well as internal resources are significant and difficult to predict. As a result, our business, results of operations, financial condition and cash flows could be adversely affected.</w:t>
      </w: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could fluctuate widely in response to various factors, many of which are beyond our control, including the following:</w:t>
      </w:r>
    </w:p>
    <w:p>
      <w:pPr>
        <w:spacing w:after="0" w:line="189" w:lineRule="exact"/>
        <w:rPr>
          <w:sz w:val="20"/>
          <w:szCs w:val="20"/>
          <w:color w:val="auto"/>
        </w:rPr>
      </w:pPr>
    </w:p>
    <w:p>
      <w:pPr>
        <w:ind w:left="980" w:hanging="19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pharmaceutical industry and markets;</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pressures;</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working capital financing;</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competitors in our market;</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52" w:lineRule="exact"/>
        <w:rPr>
          <w:rFonts w:ascii="Times New Roman" w:cs="Times New Roman" w:eastAsia="Times New Roman" w:hAnsi="Times New Roman"/>
          <w:sz w:val="18"/>
          <w:szCs w:val="18"/>
          <w:color w:val="auto"/>
        </w:rPr>
      </w:pPr>
    </w:p>
    <w:p>
      <w:pPr>
        <w:ind w:left="980" w:hanging="198"/>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“public float” in the hands of a small number of persons whose sales or lack of sales could result in positive or negative pricing pressure on the market price for our common stock;</w:t>
      </w:r>
    </w:p>
    <w:p>
      <w:pPr>
        <w:spacing w:after="0" w:line="188"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that fall below expectations;</w:t>
      </w:r>
    </w:p>
    <w:p>
      <w:pPr>
        <w:spacing w:after="0" w:line="252" w:lineRule="exact"/>
        <w:rPr>
          <w:rFonts w:ascii="Times New Roman" w:cs="Times New Roman" w:eastAsia="Times New Roman" w:hAnsi="Times New Roman"/>
          <w:sz w:val="18"/>
          <w:szCs w:val="18"/>
          <w:color w:val="auto"/>
        </w:rPr>
      </w:pPr>
    </w:p>
    <w:p>
      <w:pPr>
        <w:ind w:left="980" w:hanging="198"/>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strategic relationship with our contract manufacturers or with other third parties (including PCCA) and clinical and non-clinical research organizations;</w:t>
      </w:r>
    </w:p>
    <w:p>
      <w:pPr>
        <w:spacing w:after="0" w:line="188"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or regulatory developments; or</w:t>
      </w:r>
    </w:p>
    <w:p>
      <w:pPr>
        <w:spacing w:after="0" w:line="252" w:lineRule="exact"/>
        <w:rPr>
          <w:rFonts w:ascii="Times New Roman" w:cs="Times New Roman" w:eastAsia="Times New Roman" w:hAnsi="Times New Roman"/>
          <w:sz w:val="18"/>
          <w:szCs w:val="18"/>
          <w:color w:val="auto"/>
        </w:rPr>
      </w:pPr>
    </w:p>
    <w:p>
      <w:pPr>
        <w:ind w:left="980" w:hanging="19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40" w:name="page41"/>
    <w:bookmarkEnd w:id="40"/>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the right to issue shares of preferred stock. If we were to issue preferred stock, it is likely to have rights, preferences and privileges superior to those of our common stock.</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authorized to issue 5,000,000 shares of “blank check” preferred stock, with such rights, preferences and privileges as may be determined from time-to-time by our board of directors. Following the conversion of our Series A Preferred Stock on June 29, 2012, we have no shares of preferred stock issued and outstanding. Our board of directors is empowered, without stockholder approval, to issue preferred stock in one or more series, and to fix for any series the dividend rights, dissolution or liquidation preferences, redemption prices, conversion rights, voting rights, and other rights, preferences and privileges for the preferred stock. We have no immediate plans to issue shares of preferred stock. The issuance of shares of preferred stock, depending on the rights, preferences and privileges attributable to the preferred stock, could adversely reduce the voting rights and powers of the common stock and the portion of our assets allocated for distribution to common stock holders in a liquidation event, and could also result in dilution in the book value per share of our then-outstanding common stock. The preferred stock could also be utilized, under certain circumstances, as a method for raising additional capital or discouraging, delaying or preventing a change in control of the company.</w:t>
      </w:r>
    </w:p>
    <w:p>
      <w:pPr>
        <w:spacing w:after="0" w:line="21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future. Any return on investment may be limited to the value of our common stock.</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Offers or availability for sale of a substantial number of shares of our common stock may cause the price of our common stock to decline.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3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10.1</w:t>
            </w:r>
          </w:p>
        </w:tc>
        <w:tc>
          <w:tcPr>
            <w:tcW w:w="103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License Agreement, dated as of August 30, 2012, by and between Imprimis Pharmaceuticals, Inc. and Professional Compounding Centers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America, Inc. (incorporated herein by reference to Exhibit 10.1 to the Current Report on Form 8-K of Imprimis Pharmaceuticals, Inc. filed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with the Securities and Exchange Commission on August 31,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10.2</w:t>
            </w:r>
          </w:p>
        </w:tc>
        <w:tc>
          <w:tcPr>
            <w:tcW w:w="103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Stock Purchase Agreement, dated as of August 30, 2012, by and between Imprimis Pharmaceuticals, Inc. and Professional Compounding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Centers of America, Inc. (incorporated herein by reference to Exhibit 10.2 to the Current Report on Form 8-K of Imprimis Pharmaceuticals,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 filed with the Securities and Exchange Commission on August 31,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10.3</w:t>
            </w:r>
          </w:p>
        </w:tc>
        <w:tc>
          <w:tcPr>
            <w:tcW w:w="103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Amendment to Advisory Agreement, dated July 24, 2012, by and between Imprimis Pharmaceuticals, Inc. and Dr. Robert Kammer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(incorporated by reference to Exhibit 10.32 to the Company’s Registration Statement on Form S-1 (File No. 333-182846) filed on July 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10.4</w:t>
            </w:r>
          </w:p>
        </w:tc>
        <w:tc>
          <w:tcPr>
            <w:tcW w:w="103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Amended and Restated Employment Agreement, dated July 24, 2012, by and between Imprimis Pharmaceuticals, Inc. and Mark L. Baum,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Esq. (incorporated herein by reference to Exhibit 10.30 to the Company’s Registration Statement on Form S-1 (File No. 333-182846) filed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July 25,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10.5</w:t>
            </w:r>
          </w:p>
        </w:tc>
        <w:tc>
          <w:tcPr>
            <w:tcW w:w="103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w w:val="99"/>
              </w:rPr>
              <w:t>Stand-alone Restricted Stock Unit Agreement, dated July 18, 2012, granted by Imprimis Pharmaceuticals, Inc. to Mark L. Baum (incorporated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herein by reference to Exhibit 10.40 to the Company’s Registration Statement on Form S-1 (File No. 333-182846) filed on July 25,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10.6</w:t>
            </w:r>
          </w:p>
        </w:tc>
        <w:tc>
          <w:tcPr>
            <w:tcW w:w="103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Stand-alone Restricted Stock Unit Agreement, dated July 18, 2012, granted by Imprimis Pharmaceuticals, Inc. to Robert J. Kammer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(incorporated herein by reference to Exhibit 10.41 to the Company’s Registration Statement on Form S-1 (File No. 333-182846) filed on July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25, 2012)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31.</w:t>
              </w:r>
              <w:r>
                <w:rPr>
                  <w:rFonts w:ascii="Times New Roman" w:cs="Times New Roman" w:eastAsia="Times New Roman" w:hAnsi="Times New Roman"/>
                  <w:sz w:val="18"/>
                  <w:szCs w:val="18"/>
                  <w:b w:val="1"/>
                  <w:bCs w:val="1"/>
                  <w:u w:val="single" w:color="auto"/>
                  <w:color w:val="0000EE"/>
                </w:rPr>
                <w:t>1</w:t>
              </w:r>
            </w:hyperlink>
            <w:r>
              <w:rPr>
                <w:rFonts w:ascii="Times New Roman" w:cs="Times New Roman" w:eastAsia="Times New Roman" w:hAnsi="Times New Roman"/>
                <w:sz w:val="18"/>
                <w:szCs w:val="18"/>
                <w:b w:val="1"/>
                <w:bCs w:val="1"/>
                <w:color w:val="000000"/>
              </w:rPr>
              <w:t>*</w:t>
            </w:r>
          </w:p>
        </w:tc>
        <w:tc>
          <w:tcPr>
            <w:tcW w:w="103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w w:val="99"/>
              </w:rPr>
              <w:t>Certification of Mark L. Baum, Esq., Principal Executive Officer, pursuant to Rule 13a-14(a) or 15d-14(a) of the Securities and Exchange Act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 1934, as adopted pursuant to Section 302 of the Sarbanes- 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6">
              <w:r>
                <w:rPr>
                  <w:rFonts w:ascii="Times New Roman" w:cs="Times New Roman" w:eastAsia="Times New Roman" w:hAnsi="Times New Roman"/>
                  <w:sz w:val="18"/>
                  <w:szCs w:val="18"/>
                  <w:b w:val="1"/>
                  <w:bCs w:val="1"/>
                  <w:color w:val="0000EE"/>
                </w:rPr>
                <w:t>31.</w:t>
              </w:r>
              <w:r>
                <w:rPr>
                  <w:rFonts w:ascii="Times New Roman" w:cs="Times New Roman" w:eastAsia="Times New Roman" w:hAnsi="Times New Roman"/>
                  <w:sz w:val="18"/>
                  <w:szCs w:val="18"/>
                  <w:b w:val="1"/>
                  <w:bCs w:val="1"/>
                  <w:u w:val="single" w:color="auto"/>
                  <w:color w:val="0000EE"/>
                </w:rPr>
                <w:t>2</w:t>
              </w:r>
            </w:hyperlink>
            <w:r>
              <w:rPr>
                <w:rFonts w:ascii="Times New Roman" w:cs="Times New Roman" w:eastAsia="Times New Roman" w:hAnsi="Times New Roman"/>
                <w:sz w:val="18"/>
                <w:szCs w:val="18"/>
                <w:b w:val="1"/>
                <w:bCs w:val="1"/>
                <w:color w:val="000000"/>
              </w:rPr>
              <w:t>*</w:t>
            </w:r>
          </w:p>
        </w:tc>
        <w:tc>
          <w:tcPr>
            <w:tcW w:w="103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of Andrew R. Boll, Principal Financial and Accounting Officer, pursuant to Rule 13a-14(a) or 15d-14(a) of the Securities and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Exchange Act of 1934, as adopted pursuant to Section 302 of the Sarbanes- 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7">
              <w:r>
                <w:rPr>
                  <w:rFonts w:ascii="Times New Roman" w:cs="Times New Roman" w:eastAsia="Times New Roman" w:hAnsi="Times New Roman"/>
                  <w:sz w:val="18"/>
                  <w:szCs w:val="18"/>
                  <w:b w:val="1"/>
                  <w:bCs w:val="1"/>
                  <w:color w:val="0000EE"/>
                </w:rPr>
                <w:t>32.</w:t>
              </w:r>
              <w:r>
                <w:rPr>
                  <w:rFonts w:ascii="Times New Roman" w:cs="Times New Roman" w:eastAsia="Times New Roman" w:hAnsi="Times New Roman"/>
                  <w:sz w:val="18"/>
                  <w:szCs w:val="18"/>
                  <w:b w:val="1"/>
                  <w:bCs w:val="1"/>
                  <w:u w:val="single" w:color="auto"/>
                  <w:color w:val="0000EE"/>
                </w:rPr>
                <w:t>1</w:t>
              </w:r>
            </w:hyperlink>
            <w:r>
              <w:rPr>
                <w:rFonts w:ascii="Times New Roman" w:cs="Times New Roman" w:eastAsia="Times New Roman" w:hAnsi="Times New Roman"/>
                <w:sz w:val="18"/>
                <w:szCs w:val="18"/>
                <w:b w:val="1"/>
                <w:bCs w:val="1"/>
                <w:color w:val="000000"/>
              </w:rPr>
              <w:t>*</w:t>
            </w:r>
          </w:p>
        </w:tc>
        <w:tc>
          <w:tcPr>
            <w:tcW w:w="103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executed by Mark 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Baum, Esq.,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8">
              <w:r>
                <w:rPr>
                  <w:rFonts w:ascii="Times New Roman" w:cs="Times New Roman" w:eastAsia="Times New Roman" w:hAnsi="Times New Roman"/>
                  <w:sz w:val="18"/>
                  <w:szCs w:val="18"/>
                  <w:b w:val="1"/>
                  <w:bCs w:val="1"/>
                  <w:color w:val="0000EE"/>
                </w:rPr>
                <w:t>32.</w:t>
              </w:r>
              <w:r>
                <w:rPr>
                  <w:rFonts w:ascii="Times New Roman" w:cs="Times New Roman" w:eastAsia="Times New Roman" w:hAnsi="Times New Roman"/>
                  <w:sz w:val="18"/>
                  <w:szCs w:val="18"/>
                  <w:b w:val="1"/>
                  <w:bCs w:val="1"/>
                  <w:u w:val="single" w:color="auto"/>
                  <w:color w:val="0000EE"/>
                </w:rPr>
                <w:t>2</w:t>
              </w:r>
            </w:hyperlink>
            <w:r>
              <w:rPr>
                <w:rFonts w:ascii="Times New Roman" w:cs="Times New Roman" w:eastAsia="Times New Roman" w:hAnsi="Times New Roman"/>
                <w:sz w:val="18"/>
                <w:szCs w:val="18"/>
                <w:b w:val="1"/>
                <w:bCs w:val="1"/>
                <w:color w:val="000000"/>
              </w:rPr>
              <w:t>*</w:t>
            </w:r>
          </w:p>
        </w:tc>
        <w:tc>
          <w:tcPr>
            <w:tcW w:w="103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executed by Andrew</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 Boll, Principal Financial and Accounting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101.INS**</w:t>
            </w:r>
          </w:p>
        </w:tc>
        <w:tc>
          <w:tcPr>
            <w:tcW w:w="10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101.SCH**</w:t>
            </w:r>
          </w:p>
        </w:tc>
        <w:tc>
          <w:tcPr>
            <w:tcW w:w="10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101.CAL**</w:t>
            </w:r>
          </w:p>
        </w:tc>
        <w:tc>
          <w:tcPr>
            <w:tcW w:w="10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101.DEF**</w:t>
            </w:r>
          </w:p>
        </w:tc>
        <w:tc>
          <w:tcPr>
            <w:tcW w:w="10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101.LAB**</w:t>
            </w:r>
          </w:p>
        </w:tc>
        <w:tc>
          <w:tcPr>
            <w:tcW w:w="10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101.PRE**</w:t>
      </w:r>
      <w:r>
        <w:rPr>
          <w:sz w:val="20"/>
          <w:szCs w:val="20"/>
          <w:color w:val="auto"/>
        </w:rPr>
        <w:tab/>
      </w:r>
      <w:r>
        <w:rPr>
          <w:rFonts w:ascii="Times New Roman" w:cs="Times New Roman" w:eastAsia="Times New Roman" w:hAnsi="Times New Roman"/>
          <w:sz w:val="17"/>
          <w:szCs w:val="17"/>
          <w:color w:val="auto"/>
        </w:rPr>
        <w:t>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w:t>
      </w: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 w:lineRule="exact"/>
        <w:rPr>
          <w:sz w:val="20"/>
          <w:szCs w:val="20"/>
          <w:color w:val="auto"/>
        </w:rPr>
      </w:pPr>
    </w:p>
    <w:p>
      <w:pPr>
        <w:jc w:val="both"/>
        <w:ind w:left="460" w:hanging="452"/>
        <w:spacing w:after="0" w:line="255"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406T of Regulation S-T,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except as expressly set forth by specific reference in such filing.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November 14, 2012</w:t>
      </w:r>
      <w:r>
        <w:rPr>
          <w:sz w:val="20"/>
          <w:szCs w:val="20"/>
          <w:color w:val="auto"/>
        </w:rPr>
        <w:tab/>
      </w:r>
      <w:r>
        <w:rPr>
          <w:rFonts w:ascii="Times New Roman" w:cs="Times New Roman" w:eastAsia="Times New Roman" w:hAnsi="Times New Roman"/>
          <w:sz w:val="18"/>
          <w:szCs w:val="18"/>
          <w:color w:val="auto"/>
        </w:rPr>
        <w:t>By: /s/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25298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Mark L. Baum, Esq.</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252984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of Accounting and Public Reporting</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5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10.1</w:t>
            </w:r>
          </w:p>
        </w:tc>
        <w:tc>
          <w:tcPr>
            <w:tcW w:w="10340" w:type="dxa"/>
            <w:vAlign w:val="bottom"/>
            <w:gridSpan w:val="3"/>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License Agreement, dated as of August 30, 2012, by and between Imprimis Pharmaceuticals, Inc. and Professional Compounding Centers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America, Inc. (incorporated herein by reference to Exhibit 10.1 to the Current Report on Form 8-K of Imprimis Pharmaceuticals, Inc. filed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with the Securities and Exchange Commission on August 31,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10.2</w:t>
            </w:r>
          </w:p>
        </w:tc>
        <w:tc>
          <w:tcPr>
            <w:tcW w:w="10340" w:type="dxa"/>
            <w:vAlign w:val="bottom"/>
            <w:gridSpan w:val="3"/>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Stock Purchase Agreement, dated as of August 30, 2012, by and between Imprimis Pharmaceuticals, Inc. and Professional Compounding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Centers of America, Inc. (incorporated herein by reference to Exhibit 10.2 to the Current Report on Form 8-K of Imprimis Pharmaceuticals,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 filed with the Securities and Exchange Commission on August 31,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10.3</w:t>
            </w:r>
          </w:p>
        </w:tc>
        <w:tc>
          <w:tcPr>
            <w:tcW w:w="10340" w:type="dxa"/>
            <w:vAlign w:val="bottom"/>
            <w:gridSpan w:val="3"/>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Amendment to Advisory Agreement, dated July 24, 2012, by and between Imprimis Pharmaceuticals, Inc. and Dr. Robert Kammer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(incorporated by reference to Exhibit 10.32 to the Company’s Registration Statement on Form S-1 (File No. 333-182846) filed on July 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2012)</w:t>
            </w:r>
          </w:p>
        </w:tc>
        <w:tc>
          <w:tcPr>
            <w:tcW w:w="1400" w:type="dxa"/>
            <w:vAlign w:val="bottom"/>
            <w:shd w:val="clear" w:color="auto" w:fill="CCEEFF"/>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10.4</w:t>
            </w:r>
          </w:p>
        </w:tc>
        <w:tc>
          <w:tcPr>
            <w:tcW w:w="10340" w:type="dxa"/>
            <w:vAlign w:val="bottom"/>
            <w:gridSpan w:val="3"/>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Amended and Restated Employment Agreement, dated July 24, 2012, by and between Imprimis Pharmaceuticals, Inc. and Mark L. Baum,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Esq. (incorporated herein by reference to Exhibit 10.30 to the Company’s Registration Statement on Form S-1 (File No. 333-182846) filed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July 25,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10.5</w:t>
            </w:r>
          </w:p>
        </w:tc>
        <w:tc>
          <w:tcPr>
            <w:tcW w:w="10340" w:type="dxa"/>
            <w:vAlign w:val="bottom"/>
            <w:gridSpan w:val="3"/>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w w:val="99"/>
              </w:rPr>
              <w:t>Stand-alone Restricted Stock Unit Agreement, dated July 18, 2012, granted by Imprimis Pharmaceuticals, Inc. to Mark L. Baum (incorporated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herein by reference to Exhibit 10.40 to the Company’s Registration Statement on Form S-1 (File No. 333-182846) filed on July 25,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10.6</w:t>
            </w:r>
          </w:p>
        </w:tc>
        <w:tc>
          <w:tcPr>
            <w:tcW w:w="10340" w:type="dxa"/>
            <w:vAlign w:val="bottom"/>
            <w:gridSpan w:val="3"/>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Stand-alone Restricted Stock Unit Agreement, dated July 18, 2012, granted by Imprimis Pharmaceuticals, Inc. to Robert J. Kammer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(incorporated herein by reference to Exhibit 10.41 to the Company’s Registration Statement on Form S-1 (File No. 333-182846) filed on July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25, 2012)</w:t>
            </w:r>
          </w:p>
        </w:tc>
        <w:tc>
          <w:tcPr>
            <w:tcW w:w="1400" w:type="dxa"/>
            <w:vAlign w:val="bottom"/>
            <w:shd w:val="clear" w:color="auto" w:fill="CCEEFF"/>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31.</w:t>
              </w:r>
              <w:r>
                <w:rPr>
                  <w:rFonts w:ascii="Times New Roman" w:cs="Times New Roman" w:eastAsia="Times New Roman" w:hAnsi="Times New Roman"/>
                  <w:sz w:val="18"/>
                  <w:szCs w:val="18"/>
                  <w:b w:val="1"/>
                  <w:bCs w:val="1"/>
                  <w:u w:val="single" w:color="auto"/>
                  <w:color w:val="0000EE"/>
                </w:rPr>
                <w:t>1</w:t>
              </w:r>
            </w:hyperlink>
            <w:r>
              <w:rPr>
                <w:rFonts w:ascii="Times New Roman" w:cs="Times New Roman" w:eastAsia="Times New Roman" w:hAnsi="Times New Roman"/>
                <w:sz w:val="18"/>
                <w:szCs w:val="18"/>
                <w:b w:val="1"/>
                <w:bCs w:val="1"/>
                <w:color w:val="000000"/>
              </w:rPr>
              <w:t>*</w:t>
            </w:r>
          </w:p>
        </w:tc>
        <w:tc>
          <w:tcPr>
            <w:tcW w:w="10340" w:type="dxa"/>
            <w:vAlign w:val="bottom"/>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w w:val="99"/>
              </w:rPr>
              <w:t>Certification of Mark L. Baum, Esq., Principal Executive Officer, pursuant to Rule 13a-14(a) or 15d-14(a) of the Securities and Exchange Act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 1934, as adopted pursuant to Section 302 of the Sarbanes- 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6">
              <w:r>
                <w:rPr>
                  <w:rFonts w:ascii="Times New Roman" w:cs="Times New Roman" w:eastAsia="Times New Roman" w:hAnsi="Times New Roman"/>
                  <w:sz w:val="18"/>
                  <w:szCs w:val="18"/>
                  <w:b w:val="1"/>
                  <w:bCs w:val="1"/>
                  <w:color w:val="0000EE"/>
                </w:rPr>
                <w:t>31.</w:t>
              </w:r>
              <w:r>
                <w:rPr>
                  <w:rFonts w:ascii="Times New Roman" w:cs="Times New Roman" w:eastAsia="Times New Roman" w:hAnsi="Times New Roman"/>
                  <w:sz w:val="18"/>
                  <w:szCs w:val="18"/>
                  <w:b w:val="1"/>
                  <w:bCs w:val="1"/>
                  <w:u w:val="single" w:color="auto"/>
                  <w:color w:val="0000EE"/>
                </w:rPr>
                <w:t>2</w:t>
              </w:r>
            </w:hyperlink>
            <w:r>
              <w:rPr>
                <w:rFonts w:ascii="Times New Roman" w:cs="Times New Roman" w:eastAsia="Times New Roman" w:hAnsi="Times New Roman"/>
                <w:sz w:val="18"/>
                <w:szCs w:val="18"/>
                <w:b w:val="1"/>
                <w:bCs w:val="1"/>
                <w:color w:val="000000"/>
              </w:rPr>
              <w:t>*</w:t>
            </w:r>
          </w:p>
        </w:tc>
        <w:tc>
          <w:tcPr>
            <w:tcW w:w="10340" w:type="dxa"/>
            <w:vAlign w:val="bottom"/>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of Andrew R. Boll, Principal Financial and Accounting Officer, pursuant to Rule 13a-14(a) or 15d-14(a) of the Securities and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Exchange Act of 1934, as adopted pursuant to Section 302 of the Sarbanes- 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7">
              <w:r>
                <w:rPr>
                  <w:rFonts w:ascii="Times New Roman" w:cs="Times New Roman" w:eastAsia="Times New Roman" w:hAnsi="Times New Roman"/>
                  <w:sz w:val="18"/>
                  <w:szCs w:val="18"/>
                  <w:b w:val="1"/>
                  <w:bCs w:val="1"/>
                  <w:color w:val="0000EE"/>
                </w:rPr>
                <w:t>32.</w:t>
              </w:r>
              <w:r>
                <w:rPr>
                  <w:rFonts w:ascii="Times New Roman" w:cs="Times New Roman" w:eastAsia="Times New Roman" w:hAnsi="Times New Roman"/>
                  <w:sz w:val="18"/>
                  <w:szCs w:val="18"/>
                  <w:b w:val="1"/>
                  <w:bCs w:val="1"/>
                  <w:u w:val="single" w:color="auto"/>
                  <w:color w:val="0000EE"/>
                </w:rPr>
                <w:t>1</w:t>
              </w:r>
            </w:hyperlink>
            <w:r>
              <w:rPr>
                <w:rFonts w:ascii="Times New Roman" w:cs="Times New Roman" w:eastAsia="Times New Roman" w:hAnsi="Times New Roman"/>
                <w:sz w:val="18"/>
                <w:szCs w:val="18"/>
                <w:b w:val="1"/>
                <w:bCs w:val="1"/>
                <w:color w:val="000000"/>
              </w:rPr>
              <w:t>*</w:t>
            </w:r>
          </w:p>
        </w:tc>
        <w:tc>
          <w:tcPr>
            <w:tcW w:w="10340" w:type="dxa"/>
            <w:vAlign w:val="bottom"/>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executed by Mark 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Baum, Esq.,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8">
              <w:r>
                <w:rPr>
                  <w:rFonts w:ascii="Times New Roman" w:cs="Times New Roman" w:eastAsia="Times New Roman" w:hAnsi="Times New Roman"/>
                  <w:sz w:val="18"/>
                  <w:szCs w:val="18"/>
                  <w:b w:val="1"/>
                  <w:bCs w:val="1"/>
                  <w:color w:val="0000EE"/>
                </w:rPr>
                <w:t>32.</w:t>
              </w:r>
              <w:r>
                <w:rPr>
                  <w:rFonts w:ascii="Times New Roman" w:cs="Times New Roman" w:eastAsia="Times New Roman" w:hAnsi="Times New Roman"/>
                  <w:sz w:val="18"/>
                  <w:szCs w:val="18"/>
                  <w:b w:val="1"/>
                  <w:bCs w:val="1"/>
                  <w:u w:val="single" w:color="auto"/>
                  <w:color w:val="0000EE"/>
                </w:rPr>
                <w:t>2</w:t>
              </w:r>
            </w:hyperlink>
            <w:r>
              <w:rPr>
                <w:rFonts w:ascii="Times New Roman" w:cs="Times New Roman" w:eastAsia="Times New Roman" w:hAnsi="Times New Roman"/>
                <w:sz w:val="18"/>
                <w:szCs w:val="18"/>
                <w:b w:val="1"/>
                <w:bCs w:val="1"/>
                <w:color w:val="000000"/>
              </w:rPr>
              <w:t>*</w:t>
            </w:r>
          </w:p>
        </w:tc>
        <w:tc>
          <w:tcPr>
            <w:tcW w:w="10340" w:type="dxa"/>
            <w:vAlign w:val="bottom"/>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executed by Andrew</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 Boll, Principal Financial and Accounting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101.INS**</w:t>
            </w:r>
          </w:p>
        </w:tc>
        <w:tc>
          <w:tcPr>
            <w:tcW w:w="10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101.SCH**</w:t>
            </w:r>
          </w:p>
        </w:tc>
        <w:tc>
          <w:tcPr>
            <w:tcW w:w="10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101.CAL**</w:t>
            </w:r>
          </w:p>
        </w:tc>
        <w:tc>
          <w:tcPr>
            <w:tcW w:w="10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101.DEF**</w:t>
            </w:r>
          </w:p>
        </w:tc>
        <w:tc>
          <w:tcPr>
            <w:tcW w:w="10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101.LAB**</w:t>
            </w:r>
          </w:p>
        </w:tc>
        <w:tc>
          <w:tcPr>
            <w:tcW w:w="10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101.PRE**</w:t>
      </w:r>
      <w:r>
        <w:rPr>
          <w:sz w:val="20"/>
          <w:szCs w:val="20"/>
          <w:color w:val="auto"/>
        </w:rPr>
        <w:tab/>
      </w:r>
      <w:r>
        <w:rPr>
          <w:rFonts w:ascii="Times New Roman" w:cs="Times New Roman" w:eastAsia="Times New Roman" w:hAnsi="Times New Roman"/>
          <w:sz w:val="17"/>
          <w:szCs w:val="17"/>
          <w:color w:val="auto"/>
        </w:rPr>
        <w:t>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w:t>
      </w: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 w:lineRule="exact"/>
        <w:rPr>
          <w:sz w:val="20"/>
          <w:szCs w:val="20"/>
          <w:color w:val="auto"/>
        </w:rPr>
      </w:pPr>
    </w:p>
    <w:p>
      <w:pPr>
        <w:jc w:val="both"/>
        <w:ind w:left="460" w:hanging="452"/>
        <w:spacing w:after="0" w:line="255"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406T of Regulation S-T,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CHIEF EXECUTIVE OFFICER UNDER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 Baum, Chief Executive Officer of Imprimis Pharmaceuticals, Inc., certify that:</w:t>
      </w:r>
    </w:p>
    <w:p>
      <w:pPr>
        <w:spacing w:after="0" w:line="225" w:lineRule="exact"/>
        <w:rPr>
          <w:sz w:val="20"/>
          <w:szCs w:val="20"/>
          <w:color w:val="auto"/>
        </w:rPr>
      </w:pPr>
    </w:p>
    <w:p>
      <w:pPr>
        <w:ind w:left="1000" w:hanging="492"/>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Imprimis Pharmaceuticals, Inc.;</w:t>
      </w:r>
    </w:p>
    <w:p>
      <w:pPr>
        <w:spacing w:after="0" w:line="225" w:lineRule="exact"/>
        <w:rPr>
          <w:rFonts w:ascii="Times New Roman" w:cs="Times New Roman" w:eastAsia="Times New Roman" w:hAnsi="Times New Roman"/>
          <w:sz w:val="18"/>
          <w:szCs w:val="18"/>
          <w:color w:val="auto"/>
        </w:rPr>
      </w:pPr>
    </w:p>
    <w:p>
      <w:pPr>
        <w:jc w:val="both"/>
        <w:ind w:left="1000" w:hanging="492"/>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000" w:hanging="492"/>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000" w:hanging="492"/>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380" w:hanging="494"/>
        <w:spacing w:after="0" w:line="266" w:lineRule="auto"/>
        <w:tabs>
          <w:tab w:leader="none" w:pos="13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80" w:hanging="494"/>
        <w:spacing w:after="0" w:line="266" w:lineRule="auto"/>
        <w:tabs>
          <w:tab w:leader="none" w:pos="13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80" w:hanging="494"/>
        <w:spacing w:after="0" w:line="282" w:lineRule="auto"/>
        <w:tabs>
          <w:tab w:leader="none" w:pos="13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80" w:hanging="494"/>
        <w:spacing w:after="0" w:line="266" w:lineRule="auto"/>
        <w:tabs>
          <w:tab w:leader="none" w:pos="13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left="1000" w:hanging="492"/>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80" w:hanging="494"/>
        <w:spacing w:after="0" w:line="282" w:lineRule="auto"/>
        <w:tabs>
          <w:tab w:leader="none" w:pos="13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or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80" w:hanging="494"/>
        <w:spacing w:after="0" w:line="282" w:lineRule="auto"/>
        <w:tabs>
          <w:tab w:leader="none" w:pos="13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Date: November 14, 2012</w:t>
      </w:r>
      <w:r>
        <w:rPr>
          <w:sz w:val="20"/>
          <w:szCs w:val="20"/>
          <w:color w:val="auto"/>
        </w:rPr>
        <w:tab/>
      </w:r>
      <w:r>
        <w:rPr>
          <w:rFonts w:ascii="Times New Roman" w:cs="Times New Roman" w:eastAsia="Times New Roman" w:hAnsi="Times New Roman"/>
          <w:sz w:val="17"/>
          <w:szCs w:val="17"/>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Mark L. Baum, Esq.</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 UNDER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R. Boll, Principal Accounting and Financial Officer of Imprimis Pharmaceuticals, Inc., certify that:</w:t>
      </w:r>
    </w:p>
    <w:p>
      <w:pPr>
        <w:spacing w:after="0" w:line="225" w:lineRule="exact"/>
        <w:rPr>
          <w:sz w:val="20"/>
          <w:szCs w:val="20"/>
          <w:color w:val="auto"/>
        </w:rPr>
      </w:pPr>
    </w:p>
    <w:p>
      <w:pPr>
        <w:ind w:left="1000" w:hanging="492"/>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Imprimis Pharmaceuticals, Inc.;</w:t>
      </w:r>
    </w:p>
    <w:p>
      <w:pPr>
        <w:spacing w:after="0" w:line="225" w:lineRule="exact"/>
        <w:rPr>
          <w:rFonts w:ascii="Times New Roman" w:cs="Times New Roman" w:eastAsia="Times New Roman" w:hAnsi="Times New Roman"/>
          <w:sz w:val="18"/>
          <w:szCs w:val="18"/>
          <w:color w:val="auto"/>
        </w:rPr>
      </w:pPr>
    </w:p>
    <w:p>
      <w:pPr>
        <w:jc w:val="both"/>
        <w:ind w:left="1000" w:hanging="492"/>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000" w:hanging="492"/>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000" w:hanging="492"/>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380" w:hanging="494"/>
        <w:spacing w:after="0" w:line="266" w:lineRule="auto"/>
        <w:tabs>
          <w:tab w:leader="none" w:pos="13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80" w:hanging="494"/>
        <w:spacing w:after="0" w:line="266" w:lineRule="auto"/>
        <w:tabs>
          <w:tab w:leader="none" w:pos="13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80" w:hanging="494"/>
        <w:spacing w:after="0" w:line="282" w:lineRule="auto"/>
        <w:tabs>
          <w:tab w:leader="none" w:pos="13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80" w:hanging="494"/>
        <w:spacing w:after="0" w:line="266" w:lineRule="auto"/>
        <w:tabs>
          <w:tab w:leader="none" w:pos="13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left="1000" w:hanging="492"/>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80" w:hanging="494"/>
        <w:spacing w:after="0" w:line="282" w:lineRule="auto"/>
        <w:tabs>
          <w:tab w:leader="none" w:pos="13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or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80" w:hanging="494"/>
        <w:spacing w:after="0" w:line="282" w:lineRule="auto"/>
        <w:tabs>
          <w:tab w:leader="none" w:pos="13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Date: November 14, 2012</w:t>
      </w:r>
      <w:r>
        <w:rPr>
          <w:sz w:val="20"/>
          <w:szCs w:val="20"/>
          <w:color w:val="auto"/>
        </w:rPr>
        <w:tab/>
      </w:r>
      <w:r>
        <w:rPr>
          <w:rFonts w:ascii="Times New Roman" w:cs="Times New Roman" w:eastAsia="Times New Roman" w:hAnsi="Times New Roman"/>
          <w:sz w:val="17"/>
          <w:szCs w:val="17"/>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Vice-President of Accounting and Public Reporting</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ectPr>
          <w:pgSz w:w="11900" w:h="16838" w:orient="portrait"/>
          <w:cols w:equalWidth="0" w:num="1">
            <w:col w:w="11420"/>
          </w:cols>
          <w:pgMar w:left="240" w:top="117"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Mark L. Baum, Chief Executive Officer of Imprimis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DOES HEREBY CERTIFY that:</w:t>
      </w:r>
    </w:p>
    <w:p>
      <w:pPr>
        <w:spacing w:after="0" w:line="252" w:lineRule="exact"/>
        <w:rPr>
          <w:sz w:val="20"/>
          <w:szCs w:val="20"/>
          <w:color w:val="auto"/>
        </w:rPr>
      </w:pPr>
    </w:p>
    <w:p>
      <w:pPr>
        <w:ind w:left="660" w:right="20" w:hanging="229"/>
        <w:spacing w:after="0" w:line="286" w:lineRule="auto"/>
        <w:tabs>
          <w:tab w:leader="none" w:pos="7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fiscal quarter ended September 30, 2012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fully complies with the requirements of Section 13(a) of the Securities Exchange Act of 1934; and</w:t>
      </w:r>
    </w:p>
    <w:p>
      <w:pPr>
        <w:spacing w:after="0" w:line="185" w:lineRule="exact"/>
        <w:rPr>
          <w:rFonts w:ascii="Times New Roman" w:cs="Times New Roman" w:eastAsia="Times New Roman" w:hAnsi="Times New Roman"/>
          <w:sz w:val="18"/>
          <w:szCs w:val="18"/>
          <w:color w:val="auto"/>
        </w:rPr>
      </w:pPr>
    </w:p>
    <w:p>
      <w:pPr>
        <w:ind w:left="700" w:hanging="269"/>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 of the Company.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executed this statement this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of November, 2012.</w:t>
      </w:r>
    </w:p>
    <w:p>
      <w:pPr>
        <w:spacing w:after="0" w:line="17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9673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Mark L. Baum, Esq.</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Imprimis Pharmaceuticals, Inc. and will be retained by Imprimis Pharmaceuticals, Inc. and furnished to the Securities and Exchange Commission or its staff upon request.</w:t>
      </w:r>
    </w:p>
    <w:p>
      <w:pPr>
        <w:spacing w:after="0" w:line="189"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117"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30" w:lineRule="exact"/>
        <w:rPr>
          <w:sz w:val="20"/>
          <w:szCs w:val="20"/>
          <w:color w:val="auto"/>
        </w:rPr>
      </w:pPr>
    </w:p>
    <w:p>
      <w:pPr>
        <w:ind w:right="720" w:firstLine="648"/>
        <w:spacing w:after="0" w:line="286" w:lineRule="auto"/>
        <w:rPr>
          <w:sz w:val="20"/>
          <w:szCs w:val="20"/>
          <w:color w:val="auto"/>
        </w:rPr>
      </w:pPr>
      <w:r>
        <w:rPr>
          <w:rFonts w:ascii="Times New Roman" w:cs="Times New Roman" w:eastAsia="Times New Roman" w:hAnsi="Times New Roman"/>
          <w:sz w:val="18"/>
          <w:szCs w:val="18"/>
          <w:color w:val="auto"/>
        </w:rPr>
        <w:t>The undersigned, Andrew R. Boll, Principal Accounting and Financial Officer of Imprimis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DOES HEREBY CERTIFY that:</w:t>
      </w:r>
    </w:p>
    <w:p>
      <w:pPr>
        <w:spacing w:after="0" w:line="182" w:lineRule="exact"/>
        <w:rPr>
          <w:sz w:val="20"/>
          <w:szCs w:val="20"/>
          <w:color w:val="auto"/>
        </w:rPr>
      </w:pPr>
    </w:p>
    <w:p>
      <w:pPr>
        <w:ind w:left="660" w:right="20" w:hanging="229"/>
        <w:spacing w:after="0" w:line="286" w:lineRule="auto"/>
        <w:tabs>
          <w:tab w:leader="none" w:pos="7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fiscal quarter ended September 30, 2012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fully complies with the requirements of Section 13(a) of the Securities Exchange Act of 1934; and</w:t>
      </w:r>
    </w:p>
    <w:p>
      <w:pPr>
        <w:spacing w:after="0" w:line="185" w:lineRule="exact"/>
        <w:rPr>
          <w:rFonts w:ascii="Times New Roman" w:cs="Times New Roman" w:eastAsia="Times New Roman" w:hAnsi="Times New Roman"/>
          <w:sz w:val="18"/>
          <w:szCs w:val="18"/>
          <w:color w:val="auto"/>
        </w:rPr>
      </w:pPr>
    </w:p>
    <w:p>
      <w:pPr>
        <w:ind w:left="700" w:hanging="269"/>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 of the Company.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executed this statement this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of November, 2012.</w:t>
      </w:r>
    </w:p>
    <w:p>
      <w:pPr>
        <w:spacing w:after="0" w:line="14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17145</wp:posOffset>
            </wp:positionV>
            <wp:extent cx="316420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64205" cy="1714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Vice-President of Accounting and Public Reporting</w:t>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200" w:lineRule="exact"/>
        <w:rPr>
          <w:sz w:val="20"/>
          <w:szCs w:val="20"/>
          <w:color w:val="auto"/>
        </w:rPr>
      </w:pPr>
    </w:p>
    <w:p>
      <w:pPr>
        <w:spacing w:after="0" w:line="25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Imprimis Pharmaceuticals, Inc. and will be retained by Imprimis Pharmaceuticals, Inc. and furnished to the Securities and Exchange Commission or its staff upon request.</w:t>
      </w:r>
    </w:p>
    <w:p>
      <w:pPr>
        <w:spacing w:after="0" w:line="189"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upperLetter"/>
      <w:start w:val="24"/>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lowerRoman"/>
      <w:start w:val="2"/>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2020-02-25T12:46:30Z</dcterms:created>
  <dcterms:modified xsi:type="dcterms:W3CDTF">2020-02-25T12:46:30Z</dcterms:modified>
</cp:coreProperties>
</file>