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9"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IMPRIMIS PHARMACEUTICALS,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Common Stock, $0.001 par value</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45323A 102</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July 12, 2012</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right="3119"/>
        <w:spacing w:after="0" w:line="251" w:lineRule="auto"/>
        <w:rPr>
          <w:sz w:val="20"/>
          <w:szCs w:val="20"/>
          <w:color w:val="auto"/>
        </w:rPr>
      </w:pPr>
      <w:r>
        <w:rPr>
          <w:rFonts w:ascii="Arial" w:cs="Arial" w:eastAsia="Arial" w:hAnsi="Arial"/>
          <w:sz w:val="22"/>
          <w:szCs w:val="22"/>
          <w:color w:val="auto"/>
        </w:rPr>
        <w:t>Check the appropriate box to designate the rule pursuant to which this Schedule is filed:</w:t>
      </w:r>
    </w:p>
    <w:p>
      <w:pPr>
        <w:sectPr>
          <w:pgSz w:w="11900" w:h="16838" w:orient="portrait"/>
          <w:cols w:equalWidth="0" w:num="1">
            <w:col w:w="10219"/>
          </w:cols>
          <w:pgMar w:left="240" w:top="706" w:right="1440" w:bottom="1440" w:gutter="0" w:footer="0" w:header="0"/>
        </w:sectPr>
      </w:pPr>
    </w:p>
    <w:p>
      <w:pPr>
        <w:spacing w:after="0" w:line="306" w:lineRule="exact"/>
        <w:rPr>
          <w:sz w:val="24"/>
          <w:szCs w:val="24"/>
          <w:color w:val="auto"/>
        </w:rPr>
      </w:pPr>
    </w:p>
    <w:p>
      <w:pPr>
        <w:jc w:val="right"/>
        <w:spacing w:after="0"/>
        <w:rPr>
          <w:sz w:val="20"/>
          <w:szCs w:val="20"/>
          <w:color w:val="auto"/>
        </w:rPr>
      </w:pP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448945</wp:posOffset>
            </wp:positionH>
            <wp:positionV relativeFrom="paragraph">
              <wp:posOffset>-92710</wp:posOffset>
            </wp:positionV>
            <wp:extent cx="107315" cy="107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215265</wp:posOffset>
            </wp:positionV>
            <wp:extent cx="107315" cy="107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340" w:lineRule="exact"/>
        <w:rPr>
          <w:sz w:val="24"/>
          <w:szCs w:val="24"/>
          <w:color w:val="auto"/>
        </w:rPr>
      </w:pPr>
    </w:p>
    <w:p>
      <w:pPr>
        <w:ind w:left="860" w:hanging="109"/>
        <w:spacing w:after="0"/>
        <w:tabs>
          <w:tab w:leader="none" w:pos="860" w:val="left"/>
        </w:tabs>
        <w:numPr>
          <w:ilvl w:val="0"/>
          <w:numId w:val="1"/>
        </w:numPr>
        <w:rPr>
          <w:rFonts w:ascii="Arial" w:cs="Arial" w:eastAsia="Arial" w:hAnsi="Arial"/>
          <w:sz w:val="11"/>
          <w:szCs w:val="11"/>
          <w:color w:val="auto"/>
        </w:rPr>
      </w:pPr>
      <w:r>
        <w:rPr>
          <w:rFonts w:ascii="Arial" w:cs="Arial" w:eastAsia="Arial" w:hAnsi="Arial"/>
          <w:sz w:val="11"/>
          <w:szCs w:val="11"/>
          <w:color w:val="FFFFFF"/>
        </w:rPr>
        <w:t>.</w:t>
      </w:r>
    </w:p>
    <w:p>
      <w:pPr>
        <w:spacing w:after="0" w:line="315" w:lineRule="exact"/>
        <w:rPr>
          <w:rFonts w:ascii="Arial" w:cs="Arial" w:eastAsia="Arial" w:hAnsi="Arial"/>
          <w:sz w:val="11"/>
          <w:szCs w:val="11"/>
          <w:color w:val="auto"/>
        </w:rPr>
      </w:pPr>
    </w:p>
    <w:p>
      <w:pPr>
        <w:ind w:left="700"/>
        <w:spacing w:after="0"/>
        <w:rPr>
          <w:rFonts w:ascii="Arial" w:cs="Arial" w:eastAsia="Arial" w:hAnsi="Arial"/>
          <w:sz w:val="11"/>
          <w:szCs w:val="11"/>
          <w:color w:val="auto"/>
        </w:rPr>
      </w:pPr>
      <w:r>
        <w:rPr>
          <w:rFonts w:ascii="Arial" w:cs="Arial" w:eastAsia="Arial" w:hAnsi="Arial"/>
          <w:sz w:val="1"/>
          <w:szCs w:val="1"/>
          <w:color w:val="auto"/>
        </w:rPr>
        <w:drawing>
          <wp:inline distT="0" distB="0" distL="0" distR="0">
            <wp:extent cx="12700" cy="1073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drawing>
          <wp:inline distT="0" distB="0" distL="0" distR="0">
            <wp:extent cx="12700" cy="107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448945</wp:posOffset>
            </wp:positionH>
            <wp:positionV relativeFrom="paragraph">
              <wp:posOffset>-106680</wp:posOffset>
            </wp:positionV>
            <wp:extent cx="10731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270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-12065</wp:posOffset>
            </wp:positionV>
            <wp:extent cx="10731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6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68"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35" w:lineRule="exact"/>
        <w:rPr>
          <w:sz w:val="24"/>
          <w:szCs w:val="24"/>
          <w:color w:val="auto"/>
        </w:rPr>
      </w:pPr>
    </w:p>
    <w:p>
      <w:pPr>
        <w:sectPr>
          <w:pgSz w:w="11900" w:h="16838" w:orient="portrait"/>
          <w:cols w:equalWidth="0" w:num="2">
            <w:col w:w="900" w:space="60"/>
            <w:col w:w="9259"/>
          </w:cols>
          <w:pgMar w:left="240" w:top="706" w:right="1440" w:bottom="1440" w:gutter="0" w:footer="0" w:header="0"/>
          <w:type w:val="continuous"/>
        </w:sectPr>
      </w:pPr>
    </w:p>
    <w:p>
      <w:pPr>
        <w:spacing w:after="0" w:line="32" w:lineRule="exact"/>
        <w:rPr>
          <w:sz w:val="24"/>
          <w:szCs w:val="24"/>
          <w:color w:val="auto"/>
        </w:rPr>
      </w:pPr>
    </w:p>
    <w:p>
      <w:pPr>
        <w:jc w:val="both"/>
        <w:ind w:right="1779"/>
        <w:spacing w:after="0" w:line="29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jc w:val="both"/>
        <w:ind w:right="179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351145"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type w:val="continuous"/>
        </w:sectPr>
      </w:pPr>
    </w:p>
    <w:bookmarkStart w:id="1" w:name="page2"/>
    <w:bookmarkEnd w:id="1"/>
    <w:tbl>
      <w:tblPr>
        <w:tblLayout w:type="fixed"/>
        <w:tblInd w:w="50" w:type="dxa"/>
        <w:tblCellMar>
          <w:top w:w="0" w:type="dxa"/>
          <w:left w:w="0" w:type="dxa"/>
          <w:bottom w:w="0" w:type="dxa"/>
          <w:right w:w="0" w:type="dxa"/>
        </w:tblCellMar>
      </w:tblPr>
      <w:tr>
        <w:trPr>
          <w:trHeight w:val="216"/>
        </w:trPr>
        <w:tc>
          <w:tcPr>
            <w:tcW w:w="2860" w:type="dxa"/>
            <w:vAlign w:val="bottom"/>
            <w:tcBorders>
              <w:top w:val="single" w:sz="8" w:color="3F3F3F"/>
              <w:left w:val="single" w:sz="8" w:color="3F3F3F"/>
              <w:bottom w:val="single" w:sz="8" w:color="3F3F3F"/>
              <w:right w:val="single" w:sz="8" w:color="3F3F3F"/>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7"/>
                <w:szCs w:val="17"/>
                <w:b w:val="1"/>
                <w:bCs w:val="1"/>
                <w:color w:val="auto"/>
              </w:rPr>
              <w:t>45323A 102</w:t>
            </w:r>
          </w:p>
        </w:tc>
        <w:tc>
          <w:tcPr>
            <w:tcW w:w="3060" w:type="dxa"/>
            <w:vAlign w:val="bottom"/>
            <w:tcBorders>
              <w:top w:val="single" w:sz="8" w:color="3F3F3F"/>
            </w:tcBorders>
          </w:tcPr>
          <w:p>
            <w:pPr>
              <w:ind w:left="1320"/>
              <w:spacing w:after="0"/>
              <w:rPr>
                <w:sz w:val="20"/>
                <w:szCs w:val="20"/>
                <w:color w:val="auto"/>
              </w:rPr>
            </w:pPr>
            <w:r>
              <w:rPr>
                <w:rFonts w:ascii="Arial" w:cs="Arial" w:eastAsia="Arial" w:hAnsi="Arial"/>
                <w:sz w:val="17"/>
                <w:szCs w:val="17"/>
                <w:b w:val="1"/>
                <w:bCs w:val="1"/>
                <w:color w:val="auto"/>
              </w:rPr>
              <w:t>13G</w:t>
            </w:r>
          </w:p>
        </w:tc>
        <w:tc>
          <w:tcPr>
            <w:tcW w:w="2740" w:type="dxa"/>
            <w:vAlign w:val="bottom"/>
            <w:tcBorders>
              <w:top w:val="single" w:sz="8" w:color="3F3F3F"/>
            </w:tcBorders>
          </w:tcPr>
          <w:p>
            <w:pPr>
              <w:ind w:left="1440"/>
              <w:spacing w:after="0"/>
              <w:rPr>
                <w:sz w:val="20"/>
                <w:szCs w:val="20"/>
                <w:color w:val="auto"/>
              </w:rPr>
            </w:pPr>
            <w:r>
              <w:rPr>
                <w:rFonts w:ascii="Arial" w:cs="Arial" w:eastAsia="Arial" w:hAnsi="Arial"/>
                <w:sz w:val="17"/>
                <w:szCs w:val="17"/>
                <w:b w:val="1"/>
                <w:bCs w:val="1"/>
                <w:color w:val="auto"/>
                <w:w w:val="88"/>
              </w:rPr>
              <w:t>Page 2 of 5 Pages</w:t>
            </w: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5518150" cy="1187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8150" cy="1187450"/>
                    </a:xfrm>
                    <a:prstGeom prst="rect">
                      <a:avLst/>
                    </a:prstGeom>
                    <a:noFill/>
                  </pic:spPr>
                </pic:pic>
              </a:graphicData>
            </a:graphic>
          </wp:anchor>
        </w:drawing>
      </w:r>
    </w:p>
    <w:p>
      <w:pPr>
        <w:ind w:left="260" w:hanging="211"/>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w:t>
      </w:r>
    </w:p>
    <w:p>
      <w:pPr>
        <w:spacing w:after="0" w:line="217"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b w:val="1"/>
          <w:bCs w:val="1"/>
          <w:color w:val="auto"/>
        </w:rPr>
        <w:t>Donald Miloni</w:t>
      </w:r>
    </w:p>
    <w:p>
      <w:pPr>
        <w:sectPr>
          <w:pgSz w:w="11900" w:h="16838" w:orient="portrait"/>
          <w:cols w:equalWidth="0" w:num="1">
            <w:col w:w="10219"/>
          </w:cols>
          <w:pgMar w:left="240" w:top="386" w:right="1440"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2. Check the Appropriate Box if a Member of a Group (see instructions)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(b)</w:t>
      </w:r>
    </w:p>
    <w:p>
      <w:pPr>
        <w:spacing w:after="0"/>
        <w:rPr>
          <w:sz w:val="20"/>
          <w:szCs w:val="20"/>
          <w:color w:val="auto"/>
        </w:rPr>
      </w:pPr>
      <w:r>
        <w:rPr>
          <w:sz w:val="1"/>
          <w:szCs w:val="1"/>
          <w:color w:val="auto"/>
        </w:rPr>
        <w:drawing>
          <wp:inline distT="0" distB="0" distL="0" distR="0">
            <wp:extent cx="12700" cy="161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61925"/>
                    </a:xfrm>
                    <a:prstGeom prst="rect">
                      <a:avLst/>
                    </a:prstGeom>
                    <a:noFill/>
                    <a:ln>
                      <a:noFill/>
                    </a:ln>
                  </pic:spPr>
                </pic:pic>
              </a:graphicData>
            </a:graphic>
          </wp:inline>
        </w:drawing>
        <w:drawing>
          <wp:inline distT="0" distB="0" distL="0" distR="0">
            <wp:extent cx="12700" cy="1498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7"/>
          <w:szCs w:val="17"/>
          <w:color w:val="auto"/>
        </w:rPr>
        <w:t>3. SEC Use Only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4. Citizenship or Place of Organization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FFFFFF"/>
        </w:rPr>
        <w: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FFFFFF"/>
        </w:rPr>
        <w:t>.</w:t>
      </w:r>
    </w:p>
    <w:p>
      <w:pPr>
        <w:spacing w:after="0" w:line="707" w:lineRule="exact"/>
        <w:rPr>
          <w:sz w:val="20"/>
          <w:szCs w:val="20"/>
          <w:color w:val="auto"/>
        </w:rPr>
      </w:pPr>
    </w:p>
    <w:p>
      <w:pPr>
        <w:sectPr>
          <w:pgSz w:w="11900" w:h="16838" w:orient="portrait"/>
          <w:cols w:equalWidth="0" w:num="2">
            <w:col w:w="8420" w:space="200"/>
            <w:col w:w="1599"/>
          </w:cols>
          <w:pgMar w:left="240" w:top="386" w:right="1440"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514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Borders>
              <w:top w:val="single" w:sz="8" w:color="3F3F3F"/>
            </w:tcBorders>
          </w:tcPr>
          <w:p>
            <w:pPr>
              <w:spacing w:after="0"/>
              <w:rPr>
                <w:sz w:val="19"/>
                <w:szCs w:val="19"/>
                <w:color w:val="auto"/>
              </w:rPr>
            </w:pPr>
          </w:p>
        </w:tc>
        <w:tc>
          <w:tcPr>
            <w:tcW w:w="200" w:type="dxa"/>
            <w:vAlign w:val="bottom"/>
            <w:tcBorders>
              <w:top w:val="single" w:sz="8" w:color="3F3F3F"/>
            </w:tcBorders>
          </w:tcPr>
          <w:p>
            <w:pPr>
              <w:jc w:val="right"/>
              <w:spacing w:after="0"/>
              <w:rPr>
                <w:sz w:val="20"/>
                <w:szCs w:val="20"/>
                <w:color w:val="auto"/>
              </w:rPr>
            </w:pPr>
            <w:r>
              <w:rPr>
                <w:rFonts w:ascii="Arial" w:cs="Arial" w:eastAsia="Arial" w:hAnsi="Arial"/>
                <w:sz w:val="17"/>
                <w:szCs w:val="17"/>
                <w:color w:val="auto"/>
                <w:w w:val="84"/>
              </w:rPr>
              <w:t>5.</w:t>
            </w:r>
          </w:p>
        </w:tc>
        <w:tc>
          <w:tcPr>
            <w:tcW w:w="6680" w:type="dxa"/>
            <w:vAlign w:val="bottom"/>
            <w:tcBorders>
              <w:top w:val="single" w:sz="8" w:color="3F3F3F"/>
            </w:tcBorders>
          </w:tcPr>
          <w:p>
            <w:pPr>
              <w:ind w:left="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200" w:type="dxa"/>
            <w:vAlign w:val="bottom"/>
            <w:tcBorders>
              <w:bottom w:val="single" w:sz="8" w:color="3F3F3F"/>
            </w:tcBorders>
          </w:tcPr>
          <w:p>
            <w:pPr>
              <w:spacing w:after="0"/>
              <w:rPr>
                <w:sz w:val="24"/>
                <w:szCs w:val="24"/>
                <w:color w:val="auto"/>
              </w:rPr>
            </w:pPr>
          </w:p>
        </w:tc>
        <w:tc>
          <w:tcPr>
            <w:tcW w:w="6680" w:type="dxa"/>
            <w:vAlign w:val="bottom"/>
            <w:tcBorders>
              <w:bottom w:val="single" w:sz="8" w:color="3F3F3F"/>
            </w:tcBorders>
          </w:tcPr>
          <w:p>
            <w:pPr>
              <w:ind w:left="40"/>
              <w:spacing w:after="0"/>
              <w:rPr>
                <w:sz w:val="20"/>
                <w:szCs w:val="20"/>
                <w:color w:val="auto"/>
              </w:rPr>
            </w:pPr>
            <w:r>
              <w:rPr>
                <w:rFonts w:ascii="Arial" w:cs="Arial" w:eastAsia="Arial" w:hAnsi="Arial"/>
                <w:sz w:val="17"/>
                <w:szCs w:val="17"/>
                <w:b w:val="1"/>
                <w:bCs w:val="1"/>
                <w:color w:val="auto"/>
              </w:rPr>
              <w:t>4,469,289</w:t>
            </w:r>
            <w:r>
              <w:rPr>
                <w:rFonts w:ascii="Arial" w:cs="Arial" w:eastAsia="Arial" w:hAnsi="Arial"/>
                <w:sz w:val="28"/>
                <w:szCs w:val="28"/>
                <w:b w:val="1"/>
                <w:bCs w:val="1"/>
                <w:color w:val="auto"/>
                <w:vertAlign w:val="superscript"/>
              </w:rPr>
              <w:t>1</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80" w:type="dxa"/>
            <w:vAlign w:val="bottom"/>
            <w:tcBorders>
              <w:bottom w:val="single" w:sz="8" w:color="3F3F3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restart"/>
          </w:tcPr>
          <w:p>
            <w:pPr>
              <w:ind w:left="180"/>
              <w:spacing w:after="0"/>
              <w:rPr>
                <w:sz w:val="20"/>
                <w:szCs w:val="20"/>
                <w:color w:val="auto"/>
              </w:rPr>
            </w:pPr>
            <w:r>
              <w:rPr>
                <w:rFonts w:ascii="Arial" w:cs="Arial" w:eastAsia="Arial" w:hAnsi="Arial"/>
                <w:sz w:val="17"/>
                <w:szCs w:val="17"/>
                <w:color w:val="auto"/>
              </w:rPr>
              <w:t>Number of Shares</w:t>
            </w:r>
          </w:p>
        </w:tc>
        <w:tc>
          <w:tcPr>
            <w:tcW w:w="6880" w:type="dxa"/>
            <w:vAlign w:val="bottom"/>
            <w:gridSpan w:val="2"/>
          </w:tcPr>
          <w:p>
            <w:pPr>
              <w:ind w:left="60"/>
              <w:spacing w:after="0"/>
              <w:rPr>
                <w:sz w:val="20"/>
                <w:szCs w:val="20"/>
                <w:color w:val="auto"/>
              </w:rPr>
            </w:pPr>
            <w:r>
              <w:rPr>
                <w:rFonts w:ascii="Arial" w:cs="Arial" w:eastAsia="Arial" w:hAnsi="Arial"/>
                <w:sz w:val="17"/>
                <w:szCs w:val="17"/>
                <w:color w:val="auto"/>
              </w:rPr>
              <w:t>6. Shared Voting Power</w:t>
            </w:r>
          </w:p>
        </w:tc>
        <w:tc>
          <w:tcPr>
            <w:tcW w:w="0" w:type="dxa"/>
            <w:vAlign w:val="bottom"/>
          </w:tcPr>
          <w:p>
            <w:pPr>
              <w:spacing w:after="0"/>
              <w:rPr>
                <w:sz w:val="1"/>
                <w:szCs w:val="1"/>
                <w:color w:val="auto"/>
              </w:rPr>
            </w:pPr>
          </w:p>
        </w:tc>
      </w:tr>
      <w:tr>
        <w:trPr>
          <w:trHeight w:val="144"/>
        </w:trPr>
        <w:tc>
          <w:tcPr>
            <w:tcW w:w="1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1820" w:type="dxa"/>
            <w:vAlign w:val="bottom"/>
          </w:tcPr>
          <w:p>
            <w:pPr>
              <w:ind w:left="180"/>
              <w:spacing w:after="0"/>
              <w:rPr>
                <w:sz w:val="20"/>
                <w:szCs w:val="20"/>
                <w:color w:val="auto"/>
              </w:rPr>
            </w:pPr>
            <w:r>
              <w:rPr>
                <w:rFonts w:ascii="Arial" w:cs="Arial" w:eastAsia="Arial" w:hAnsi="Arial"/>
                <w:sz w:val="17"/>
                <w:szCs w:val="17"/>
                <w:color w:val="auto"/>
              </w:rPr>
              <w:t>Beneficially</w:t>
            </w:r>
          </w:p>
        </w:tc>
        <w:tc>
          <w:tcPr>
            <w:tcW w:w="200" w:type="dxa"/>
            <w:vAlign w:val="bottom"/>
          </w:tcPr>
          <w:p>
            <w:pPr>
              <w:spacing w:after="0"/>
              <w:rPr>
                <w:sz w:val="21"/>
                <w:szCs w:val="21"/>
                <w:color w:val="auto"/>
              </w:rPr>
            </w:pPr>
          </w:p>
        </w:tc>
        <w:tc>
          <w:tcPr>
            <w:tcW w:w="6680" w:type="dxa"/>
            <w:vAlign w:val="bottom"/>
          </w:tcPr>
          <w:p>
            <w:pPr>
              <w:ind w:left="80"/>
              <w:spacing w:after="0" w:line="247" w:lineRule="exact"/>
              <w:rPr>
                <w:sz w:val="20"/>
                <w:szCs w:val="20"/>
                <w:color w:val="auto"/>
              </w:rPr>
            </w:pPr>
            <w:r>
              <w:rPr>
                <w:rFonts w:ascii="Arial" w:cs="Arial" w:eastAsia="Arial" w:hAnsi="Arial"/>
                <w:sz w:val="17"/>
                <w:szCs w:val="17"/>
                <w:b w:val="1"/>
                <w:bCs w:val="1"/>
                <w:color w:val="auto"/>
              </w:rPr>
              <w:t>1,748,277</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54"/>
        </w:trPr>
        <w:tc>
          <w:tcPr>
            <w:tcW w:w="1820" w:type="dxa"/>
            <w:vAlign w:val="bottom"/>
            <w:vMerge w:val="restart"/>
          </w:tcPr>
          <w:p>
            <w:pPr>
              <w:ind w:left="180"/>
              <w:spacing w:after="0" w:line="158" w:lineRule="exact"/>
              <w:rPr>
                <w:sz w:val="20"/>
                <w:szCs w:val="20"/>
                <w:color w:val="auto"/>
              </w:rPr>
            </w:pPr>
            <w:r>
              <w:rPr>
                <w:rFonts w:ascii="Arial" w:cs="Arial" w:eastAsia="Arial" w:hAnsi="Arial"/>
                <w:sz w:val="17"/>
                <w:szCs w:val="17"/>
                <w:color w:val="auto"/>
              </w:rPr>
              <w:t>Owned by</w:t>
            </w:r>
          </w:p>
        </w:tc>
        <w:tc>
          <w:tcPr>
            <w:tcW w:w="200" w:type="dxa"/>
            <w:vAlign w:val="bottom"/>
            <w:tcBorders>
              <w:bottom w:val="single" w:sz="8" w:color="3F3F3F"/>
            </w:tcBorders>
          </w:tcPr>
          <w:p>
            <w:pPr>
              <w:spacing w:after="0"/>
              <w:rPr>
                <w:sz w:val="4"/>
                <w:szCs w:val="4"/>
                <w:color w:val="auto"/>
              </w:rPr>
            </w:pPr>
          </w:p>
        </w:tc>
        <w:tc>
          <w:tcPr>
            <w:tcW w:w="6680" w:type="dxa"/>
            <w:vAlign w:val="bottom"/>
            <w:tcBorders>
              <w:bottom w:val="single" w:sz="8" w:color="3F3F3F"/>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20" w:type="dxa"/>
            <w:vAlign w:val="bottom"/>
            <w:vMerge w:val="continue"/>
          </w:tcPr>
          <w:p>
            <w:pPr>
              <w:spacing w:after="0" w:line="20" w:lineRule="exact"/>
              <w:rPr>
                <w:sz w:val="1"/>
                <w:szCs w:val="1"/>
                <w:color w:val="auto"/>
              </w:rPr>
            </w:pPr>
          </w:p>
        </w:tc>
        <w:tc>
          <w:tcPr>
            <w:tcW w:w="200" w:type="dxa"/>
            <w:vAlign w:val="bottom"/>
            <w:tcBorders>
              <w:bottom w:val="single" w:sz="8" w:color="3F3F3F"/>
            </w:tcBorders>
          </w:tcPr>
          <w:p>
            <w:pPr>
              <w:spacing w:after="0" w:line="20" w:lineRule="exact"/>
              <w:rPr>
                <w:sz w:val="1"/>
                <w:szCs w:val="1"/>
                <w:color w:val="auto"/>
              </w:rPr>
            </w:pPr>
          </w:p>
        </w:tc>
        <w:tc>
          <w:tcPr>
            <w:tcW w:w="6680" w:type="dxa"/>
            <w:vAlign w:val="bottom"/>
            <w:tcBorders>
              <w:bottom w:val="single" w:sz="8" w:color="3F3F3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1820" w:type="dxa"/>
            <w:vAlign w:val="bottom"/>
            <w:vMerge w:val="continue"/>
          </w:tcPr>
          <w:p>
            <w:pPr>
              <w:spacing w:after="0"/>
              <w:rPr>
                <w:sz w:val="3"/>
                <w:szCs w:val="3"/>
                <w:color w:val="auto"/>
              </w:rPr>
            </w:pP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w w:val="84"/>
              </w:rPr>
              <w:t>7.</w:t>
            </w:r>
          </w:p>
        </w:tc>
        <w:tc>
          <w:tcPr>
            <w:tcW w:w="6680" w:type="dxa"/>
            <w:vAlign w:val="bottom"/>
            <w:vMerge w:val="restart"/>
          </w:tcPr>
          <w:p>
            <w:pPr>
              <w:ind w:left="60"/>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153"/>
        </w:trPr>
        <w:tc>
          <w:tcPr>
            <w:tcW w:w="1820" w:type="dxa"/>
            <w:vAlign w:val="bottom"/>
            <w:vMerge w:val="restart"/>
          </w:tcPr>
          <w:p>
            <w:pPr>
              <w:ind w:left="180"/>
              <w:spacing w:after="0"/>
              <w:rPr>
                <w:sz w:val="20"/>
                <w:szCs w:val="20"/>
                <w:color w:val="auto"/>
              </w:rPr>
            </w:pPr>
            <w:r>
              <w:rPr>
                <w:rFonts w:ascii="Arial" w:cs="Arial" w:eastAsia="Arial" w:hAnsi="Arial"/>
                <w:sz w:val="17"/>
                <w:szCs w:val="17"/>
                <w:color w:val="auto"/>
              </w:rPr>
              <w:t>Each Reporting</w:t>
            </w:r>
          </w:p>
        </w:tc>
        <w:tc>
          <w:tcPr>
            <w:tcW w:w="200" w:type="dxa"/>
            <w:vAlign w:val="bottom"/>
            <w:vMerge w:val="continue"/>
          </w:tcPr>
          <w:p>
            <w:pPr>
              <w:spacing w:after="0"/>
              <w:rPr>
                <w:sz w:val="13"/>
                <w:szCs w:val="13"/>
                <w:color w:val="auto"/>
              </w:rPr>
            </w:pPr>
          </w:p>
        </w:tc>
        <w:tc>
          <w:tcPr>
            <w:tcW w:w="6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7"/>
                <w:szCs w:val="17"/>
                <w:color w:val="auto"/>
              </w:rPr>
              <w:t>Person With:</w:t>
            </w:r>
          </w:p>
        </w:tc>
        <w:tc>
          <w:tcPr>
            <w:tcW w:w="200" w:type="dxa"/>
            <w:vAlign w:val="bottom"/>
          </w:tcPr>
          <w:p>
            <w:pPr>
              <w:spacing w:after="0"/>
              <w:rPr>
                <w:sz w:val="18"/>
                <w:szCs w:val="18"/>
                <w:color w:val="auto"/>
              </w:rPr>
            </w:pPr>
          </w:p>
        </w:tc>
        <w:tc>
          <w:tcPr>
            <w:tcW w:w="668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4,469,289</w:t>
            </w:r>
            <w:r>
              <w:rPr>
                <w:rFonts w:ascii="Arial" w:cs="Arial" w:eastAsia="Arial" w:hAnsi="Arial"/>
                <w:sz w:val="28"/>
                <w:szCs w:val="28"/>
                <w:b w:val="1"/>
                <w:bCs w:val="1"/>
                <w:color w:val="auto"/>
                <w:vertAlign w:val="superscript"/>
              </w:rPr>
              <w:t>1</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200" w:type="dxa"/>
            <w:vAlign w:val="bottom"/>
            <w:tcBorders>
              <w:bottom w:val="single" w:sz="8" w:color="3F3F3F"/>
            </w:tcBorders>
          </w:tcPr>
          <w:p>
            <w:pPr>
              <w:spacing w:after="0"/>
              <w:rPr>
                <w:sz w:val="15"/>
                <w:szCs w:val="15"/>
                <w:color w:val="auto"/>
              </w:rPr>
            </w:pPr>
          </w:p>
        </w:tc>
        <w:tc>
          <w:tcPr>
            <w:tcW w:w="6680" w:type="dxa"/>
            <w:vAlign w:val="bottom"/>
            <w:tcBorders>
              <w:bottom w:val="single" w:sz="8" w:color="3F3F3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0" w:type="dxa"/>
            <w:vAlign w:val="bottom"/>
            <w:tcBorders>
              <w:bottom w:val="single" w:sz="8" w:color="3F3F3F"/>
            </w:tcBorders>
          </w:tcPr>
          <w:p>
            <w:pPr>
              <w:spacing w:after="0" w:line="20" w:lineRule="exact"/>
              <w:rPr>
                <w:sz w:val="1"/>
                <w:szCs w:val="1"/>
                <w:color w:val="auto"/>
              </w:rPr>
            </w:pPr>
          </w:p>
        </w:tc>
        <w:tc>
          <w:tcPr>
            <w:tcW w:w="6680" w:type="dxa"/>
            <w:vAlign w:val="bottom"/>
            <w:tcBorders>
              <w:bottom w:val="single" w:sz="8" w:color="3F3F3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7"/>
                <w:szCs w:val="17"/>
                <w:color w:val="auto"/>
                <w:w w:val="84"/>
              </w:rPr>
              <w:t>8.</w:t>
            </w:r>
          </w:p>
        </w:tc>
        <w:tc>
          <w:tcPr>
            <w:tcW w:w="6680" w:type="dxa"/>
            <w:vAlign w:val="bottom"/>
          </w:tcPr>
          <w:p>
            <w:pPr>
              <w:ind w:left="60"/>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482"/>
        </w:trPr>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80" w:type="dxa"/>
            <w:vAlign w:val="bottom"/>
          </w:tcPr>
          <w:p>
            <w:pPr>
              <w:ind w:left="80"/>
              <w:spacing w:after="0"/>
              <w:rPr>
                <w:sz w:val="20"/>
                <w:szCs w:val="20"/>
                <w:color w:val="auto"/>
              </w:rPr>
            </w:pPr>
            <w:r>
              <w:rPr>
                <w:rFonts w:ascii="Arial" w:cs="Arial" w:eastAsia="Arial" w:hAnsi="Arial"/>
                <w:sz w:val="17"/>
                <w:szCs w:val="17"/>
                <w:b w:val="1"/>
                <w:bCs w:val="1"/>
                <w:color w:val="auto"/>
              </w:rPr>
              <w:t>1,748,277</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-1780540</wp:posOffset>
            </wp:positionV>
            <wp:extent cx="4382135" cy="1783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82135" cy="1783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9. Aggregate Amount Beneficially Owned by Each Reporting Person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6,217,566</w:t>
      </w:r>
      <w:r>
        <w:rPr>
          <w:rFonts w:ascii="Arial" w:cs="Arial" w:eastAsia="Arial" w:hAnsi="Arial"/>
          <w:sz w:val="28"/>
          <w:szCs w:val="28"/>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514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30480</wp:posOffset>
            </wp:positionV>
            <wp:extent cx="107315" cy="107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49" w:lineRule="exact"/>
        <w:rPr>
          <w:sz w:val="20"/>
          <w:szCs w:val="20"/>
          <w:color w:val="auto"/>
        </w:rPr>
      </w:pPr>
    </w:p>
    <w:p>
      <w:pPr>
        <w:ind w:left="8620"/>
        <w:spacing w:after="0"/>
        <w:rPr>
          <w:sz w:val="20"/>
          <w:szCs w:val="20"/>
          <w:color w:val="auto"/>
        </w:rPr>
      </w:pPr>
      <w:r>
        <w:rPr>
          <w:rFonts w:ascii="Arial" w:cs="Arial" w:eastAsia="Arial" w:hAnsi="Arial"/>
          <w:sz w:val="11"/>
          <w:szCs w:val="1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514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11. 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514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18.1%</w:t>
      </w:r>
      <w:r>
        <w:rPr>
          <w:rFonts w:ascii="Arial" w:cs="Arial" w:eastAsia="Arial" w:hAnsi="Arial"/>
          <w:sz w:val="28"/>
          <w:szCs w:val="28"/>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514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12. 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5514340"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4340" cy="420370"/>
                    </a:xfrm>
                    <a:prstGeom prst="rect">
                      <a:avLst/>
                    </a:prstGeom>
                    <a:noFill/>
                  </pic:spPr>
                </pic:pic>
              </a:graphicData>
            </a:graphic>
          </wp:anchor>
        </w:drawing>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779" w:firstLine="8"/>
        <w:spacing w:after="0" w:line="216" w:lineRule="auto"/>
        <w:tabs>
          <w:tab w:leader="none" w:pos="166"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Includes (i) 4,392,879 shares of the Issuer’s common stock held in the name of the person filing this Schedule 13G, and (ii) 76,410 shares of the Issuer’s common stock underlying warrants issued in the name of the person filing this Schedule 13G and exercisable within 60 days after the date of filing this Schedule 13G.</w:t>
      </w:r>
    </w:p>
    <w:p>
      <w:pPr>
        <w:spacing w:after="0" w:line="37" w:lineRule="exact"/>
        <w:rPr>
          <w:rFonts w:ascii="Arial" w:cs="Arial" w:eastAsia="Arial" w:hAnsi="Arial"/>
          <w:sz w:val="27"/>
          <w:szCs w:val="27"/>
          <w:color w:val="auto"/>
          <w:vertAlign w:val="superscript"/>
        </w:rPr>
      </w:pPr>
    </w:p>
    <w:p>
      <w:pPr>
        <w:jc w:val="both"/>
        <w:ind w:right="1779" w:firstLine="8"/>
        <w:spacing w:after="0" w:line="262" w:lineRule="auto"/>
        <w:tabs>
          <w:tab w:leader="none" w:pos="146"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Includes (i) 126,582 shares of the Issuer’s common stock and 31,646 shares of the Issuer’s common stock underlying warrants exercisable within 60 days after the date of filing this Schedule 13G, each held in the name of the spouse of the person filing this Schedule 13G, (ii) 759,494, shares of the Issuer’s common stock and 189,874 shares of the Issuer’s common stock underlying warrants exercisable within 60 days after the date of filing this Schedule 13G, each held in the name of 1425 Greenwood Lane, LLC, of which the person filing this Schedule 13G is a managing member, and (iii) 513,829 shares of the Issuer’s common stock and 126,852 shares of the Issuer’s common stock underlying warrants exercisable within 60 days after the date of filing this Schedule 13G, each held in the name of RCHER Financial, LLC, of which the person filing this Schedule 13G is a managing member.</w:t>
      </w:r>
    </w:p>
    <w:p>
      <w:pPr>
        <w:spacing w:after="0" w:line="41" w:lineRule="exact"/>
        <w:rPr>
          <w:rFonts w:ascii="Arial" w:cs="Arial" w:eastAsia="Arial" w:hAnsi="Arial"/>
          <w:sz w:val="24"/>
          <w:szCs w:val="24"/>
          <w:color w:val="auto"/>
          <w:vertAlign w:val="superscript"/>
        </w:rPr>
      </w:pPr>
    </w:p>
    <w:p>
      <w:pPr>
        <w:ind w:right="1799" w:firstLine="8"/>
        <w:spacing w:after="0" w:line="198" w:lineRule="auto"/>
        <w:tabs>
          <w:tab w:leader="none" w:pos="159"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Consists of the securities set forth in footnotes (1) and (2) above. The person filing this Schedule 13G disclaims beneficial ownership of these securities except to the extent of his pecuniary interest therein.</w:t>
      </w:r>
    </w:p>
    <w:p>
      <w:pPr>
        <w:spacing w:after="0" w:line="37" w:lineRule="exact"/>
        <w:rPr>
          <w:rFonts w:ascii="Arial" w:cs="Arial" w:eastAsia="Arial" w:hAnsi="Arial"/>
          <w:sz w:val="27"/>
          <w:szCs w:val="27"/>
          <w:color w:val="auto"/>
          <w:vertAlign w:val="superscript"/>
        </w:rPr>
      </w:pPr>
    </w:p>
    <w:p>
      <w:pPr>
        <w:jc w:val="both"/>
        <w:ind w:right="1779" w:firstLine="8"/>
        <w:spacing w:after="0" w:line="243" w:lineRule="auto"/>
        <w:tabs>
          <w:tab w:leader="none" w:pos="15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The percentage was calculated based on 34,284,409 shares of the Issuer’s common stock, as follows: (i) 33,859,627 shares of the Issuer’s common stock outstanding as of August 31, 2012, and (ii) 424,782 shares of the Issuer’s common stock underlying warrants issued in the name of the person filing this Schedule 13G and exercisable within 60 days after the date of filing this Schedule 13G.</w:t>
      </w:r>
    </w:p>
    <w:p>
      <w:pPr>
        <w:sectPr>
          <w:pgSz w:w="11900" w:h="16838" w:orient="portrait"/>
          <w:cols w:equalWidth="0" w:num="1">
            <w:col w:w="10219"/>
          </w:cols>
          <w:pgMar w:left="240" w:top="38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5351145"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386" w:right="1440" w:bottom="1440" w:gutter="0" w:footer="0" w:header="0"/>
          <w:type w:val="continuous"/>
        </w:sectPr>
      </w:pPr>
    </w:p>
    <w:bookmarkStart w:id="2" w:name="page3"/>
    <w:bookmarkEnd w:id="2"/>
    <w:p>
      <w:pPr>
        <w:spacing w:after="0"/>
        <w:tabs>
          <w:tab w:leader="none" w:pos="12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256" w:lineRule="exact"/>
        <w:rPr>
          <w:sz w:val="20"/>
          <w:szCs w:val="20"/>
          <w:color w:val="auto"/>
        </w:rPr>
      </w:pPr>
    </w:p>
    <w:p>
      <w:pPr>
        <w:jc w:val="center"/>
        <w:ind w:right="5479"/>
        <w:spacing w:after="0"/>
        <w:rPr>
          <w:sz w:val="20"/>
          <w:szCs w:val="20"/>
          <w:color w:val="auto"/>
        </w:rPr>
      </w:pPr>
      <w:r>
        <w:rPr>
          <w:rFonts w:ascii="Arial" w:cs="Arial" w:eastAsia="Arial" w:hAnsi="Arial"/>
          <w:sz w:val="17"/>
          <w:szCs w:val="17"/>
          <w:color w:val="auto"/>
        </w:rPr>
        <w:t>Imprimis Pharmaceuticals, Inc.</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437 S. Highway 101, Suite 209</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Solana Beach, CA 92075</w:t>
      </w:r>
    </w:p>
    <w:p>
      <w:pPr>
        <w:spacing w:after="0" w:line="23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Donald Miloni</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 Imprimis Pharmaceuticals,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437 S. Highway 101, Suite 209</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Solana Beach, CA 92075</w:t>
      </w:r>
    </w:p>
    <w:p>
      <w:pPr>
        <w:spacing w:after="0" w:line="23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U.S.A.</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Common Stock, par value $0.001</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45323A 102</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person filing is a:</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256" w:lineRule="exact"/>
        <w:rPr>
          <w:sz w:val="20"/>
          <w:szCs w:val="20"/>
          <w:color w:val="auto"/>
        </w:rPr>
      </w:pPr>
    </w:p>
    <w:p>
      <w:pPr>
        <w:ind w:right="1779"/>
        <w:spacing w:after="0" w:line="274" w:lineRule="auto"/>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02"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4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b w:val="1"/>
          <w:bCs w:val="1"/>
          <w:color w:val="auto"/>
        </w:rPr>
        <w:t>6,217,566*</w:t>
      </w:r>
    </w:p>
    <w:p>
      <w:pPr>
        <w:spacing w:after="0" w:line="256" w:lineRule="exact"/>
        <w:rPr>
          <w:rFonts w:ascii="Arial" w:cs="Arial" w:eastAsia="Arial" w:hAnsi="Arial"/>
          <w:sz w:val="17"/>
          <w:szCs w:val="17"/>
          <w:color w:val="auto"/>
        </w:rPr>
      </w:pPr>
    </w:p>
    <w:p>
      <w:pPr>
        <w:ind w:left="900" w:hanging="24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4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b w:val="1"/>
          <w:bCs w:val="1"/>
          <w:color w:val="auto"/>
        </w:rPr>
        <w:t>18.1%</w:t>
      </w:r>
    </w:p>
    <w:p>
      <w:pPr>
        <w:spacing w:after="0" w:line="256" w:lineRule="exact"/>
        <w:rPr>
          <w:rFonts w:ascii="Arial" w:cs="Arial" w:eastAsia="Arial" w:hAnsi="Arial"/>
          <w:sz w:val="17"/>
          <w:szCs w:val="17"/>
          <w:color w:val="auto"/>
        </w:rPr>
      </w:pPr>
    </w:p>
    <w:p>
      <w:pPr>
        <w:ind w:left="880" w:hanging="224"/>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50" w:lineRule="exact"/>
        <w:rPr>
          <w:rFonts w:ascii="Arial" w:cs="Arial" w:eastAsia="Arial" w:hAnsi="Arial"/>
          <w:sz w:val="17"/>
          <w:szCs w:val="17"/>
          <w:color w:val="auto"/>
        </w:rPr>
      </w:pPr>
    </w:p>
    <w:p>
      <w:pPr>
        <w:ind w:left="1560" w:hanging="255"/>
        <w:spacing w:after="0"/>
        <w:tabs>
          <w:tab w:leader="none" w:pos="1560" w:val="left"/>
        </w:tabs>
        <w:numPr>
          <w:ilvl w:val="1"/>
          <w:numId w:val="4"/>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244" w:lineRule="exact"/>
        <w:rPr>
          <w:rFonts w:ascii="Arial" w:cs="Arial" w:eastAsia="Arial" w:hAnsi="Arial"/>
          <w:sz w:val="17"/>
          <w:szCs w:val="17"/>
          <w:color w:val="auto"/>
        </w:rPr>
      </w:pPr>
    </w:p>
    <w:p>
      <w:pPr>
        <w:jc w:val="both"/>
        <w:ind w:left="1540" w:right="1779"/>
        <w:spacing w:after="0" w:line="259" w:lineRule="auto"/>
        <w:rPr>
          <w:rFonts w:ascii="Arial" w:cs="Arial" w:eastAsia="Arial" w:hAnsi="Arial"/>
          <w:sz w:val="17"/>
          <w:szCs w:val="17"/>
          <w:color w:val="auto"/>
        </w:rPr>
      </w:pPr>
      <w:r>
        <w:rPr>
          <w:rFonts w:ascii="Arial" w:cs="Arial" w:eastAsia="Arial" w:hAnsi="Arial"/>
          <w:sz w:val="17"/>
          <w:szCs w:val="17"/>
          <w:b w:val="1"/>
          <w:bCs w:val="1"/>
          <w:color w:val="auto"/>
        </w:rPr>
        <w:t xml:space="preserve">4,469,289* </w:t>
      </w:r>
      <w:r>
        <w:rPr>
          <w:rFonts w:ascii="Arial" w:cs="Arial" w:eastAsia="Arial" w:hAnsi="Arial"/>
          <w:sz w:val="17"/>
          <w:szCs w:val="17"/>
          <w:color w:val="auto"/>
        </w:rPr>
        <w:t>(includes 4,392,879 shares of the Issuer’s common stock held in the name of the person</w:t>
      </w:r>
      <w:r>
        <w:rPr>
          <w:rFonts w:ascii="Arial" w:cs="Arial" w:eastAsia="Arial" w:hAnsi="Arial"/>
          <w:sz w:val="17"/>
          <w:szCs w:val="17"/>
          <w:b w:val="1"/>
          <w:bCs w:val="1"/>
          <w:color w:val="auto"/>
        </w:rPr>
        <w:t xml:space="preserve"> </w:t>
      </w:r>
      <w:r>
        <w:rPr>
          <w:rFonts w:ascii="Arial" w:cs="Arial" w:eastAsia="Arial" w:hAnsi="Arial"/>
          <w:sz w:val="17"/>
          <w:szCs w:val="17"/>
          <w:color w:val="auto"/>
        </w:rPr>
        <w:t>filing this Schedule 13G, and 76,410 shares of the Issuer’s common stock underlying warrants issued in the name of the person filing this Schedule 13G and exercisable within 60 days after the date of filing this Schedule 13G).</w:t>
      </w:r>
    </w:p>
    <w:p>
      <w:pPr>
        <w:sectPr>
          <w:pgSz w:w="11900" w:h="16838" w:orient="portrait"/>
          <w:cols w:equalWidth="0" w:num="1">
            <w:col w:w="10219"/>
          </w:cols>
          <w:pgMar w:left="240" w:top="359"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5351145"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359" w:right="1440" w:bottom="1440" w:gutter="0" w:footer="0" w:header="0"/>
          <w:type w:val="continuous"/>
        </w:sectPr>
      </w:pPr>
    </w:p>
    <w:bookmarkStart w:id="3" w:name="page4"/>
    <w:bookmarkEnd w:id="3"/>
    <w:p>
      <w:pPr>
        <w:ind w:left="1560" w:hanging="255"/>
        <w:spacing w:after="0"/>
        <w:tabs>
          <w:tab w:leader="none" w:pos="1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power to vote or to direct the vote</w:t>
      </w:r>
    </w:p>
    <w:p>
      <w:pPr>
        <w:spacing w:after="0" w:line="244" w:lineRule="exact"/>
        <w:rPr>
          <w:rFonts w:ascii="Arial" w:cs="Arial" w:eastAsia="Arial" w:hAnsi="Arial"/>
          <w:sz w:val="17"/>
          <w:szCs w:val="17"/>
          <w:color w:val="auto"/>
        </w:rPr>
      </w:pPr>
    </w:p>
    <w:p>
      <w:pPr>
        <w:jc w:val="both"/>
        <w:ind w:left="1540" w:right="1779"/>
        <w:spacing w:after="0" w:line="269" w:lineRule="auto"/>
        <w:rPr>
          <w:rFonts w:ascii="Arial" w:cs="Arial" w:eastAsia="Arial" w:hAnsi="Arial"/>
          <w:sz w:val="17"/>
          <w:szCs w:val="17"/>
          <w:color w:val="auto"/>
        </w:rPr>
      </w:pPr>
      <w:r>
        <w:rPr>
          <w:rFonts w:ascii="Arial" w:cs="Arial" w:eastAsia="Arial" w:hAnsi="Arial"/>
          <w:sz w:val="16"/>
          <w:szCs w:val="16"/>
          <w:b w:val="1"/>
          <w:bCs w:val="1"/>
          <w:color w:val="auto"/>
        </w:rPr>
        <w:t>1,748,277</w:t>
      </w:r>
      <w:r>
        <w:rPr>
          <w:rFonts w:ascii="Arial" w:cs="Arial" w:eastAsia="Arial" w:hAnsi="Arial"/>
          <w:sz w:val="16"/>
          <w:szCs w:val="16"/>
          <w:color w:val="auto"/>
        </w:rPr>
        <w:t>*(includes (i) 126,582 shares of the Issuer’s common stock and 31,646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Issuer’s common stock underlying warrants exercisable within 60 days after the date of filing this Schedule 13G, each held in the name of the spouse of the person filing this Schedule 13G, (ii) 759,494, shares of the Issuer’s common stock and 189,874 shares of the Issuer’s common stock underlying warrants exercisable within 60 days after the date of filing this Schedule 13G, each held in the name of 1425 Greenwood Lane, LLC, of which the person filing this Schedule 13G is a managing member, and (iii) 513,829 shares of the Issuer’s common stock and 126,852 shares of the Issuer’s common stock underlying warrants exercisable within 60 days after the date of filing this Schedule 13G, each held in the name of RCHER Financial, LLC, of which the person filing this Schedule 13G is a managing member).</w:t>
      </w:r>
    </w:p>
    <w:p>
      <w:pPr>
        <w:spacing w:after="0" w:line="212" w:lineRule="exact"/>
        <w:rPr>
          <w:rFonts w:ascii="Arial" w:cs="Arial" w:eastAsia="Arial" w:hAnsi="Arial"/>
          <w:sz w:val="17"/>
          <w:szCs w:val="17"/>
          <w:color w:val="auto"/>
        </w:rPr>
      </w:pPr>
    </w:p>
    <w:p>
      <w:pPr>
        <w:ind w:left="1600" w:hanging="295"/>
        <w:spacing w:after="0"/>
        <w:tabs>
          <w:tab w:leader="none" w:pos="1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44" w:lineRule="exact"/>
        <w:rPr>
          <w:sz w:val="20"/>
          <w:szCs w:val="20"/>
          <w:color w:val="auto"/>
        </w:rPr>
      </w:pPr>
    </w:p>
    <w:p>
      <w:pPr>
        <w:jc w:val="both"/>
        <w:ind w:left="1540" w:right="1779"/>
        <w:spacing w:after="0" w:line="259" w:lineRule="auto"/>
        <w:rPr>
          <w:sz w:val="20"/>
          <w:szCs w:val="20"/>
          <w:color w:val="auto"/>
        </w:rPr>
      </w:pPr>
      <w:r>
        <w:rPr>
          <w:rFonts w:ascii="Arial" w:cs="Arial" w:eastAsia="Arial" w:hAnsi="Arial"/>
          <w:sz w:val="17"/>
          <w:szCs w:val="17"/>
          <w:b w:val="1"/>
          <w:bCs w:val="1"/>
          <w:color w:val="auto"/>
        </w:rPr>
        <w:t xml:space="preserve">4,469,289* </w:t>
      </w:r>
      <w:r>
        <w:rPr>
          <w:rFonts w:ascii="Arial" w:cs="Arial" w:eastAsia="Arial" w:hAnsi="Arial"/>
          <w:sz w:val="17"/>
          <w:szCs w:val="17"/>
          <w:color w:val="auto"/>
        </w:rPr>
        <w:t>(includes 4,392,879 shares of the Issuer’s common stock held in the name of the person</w:t>
      </w:r>
      <w:r>
        <w:rPr>
          <w:rFonts w:ascii="Arial" w:cs="Arial" w:eastAsia="Arial" w:hAnsi="Arial"/>
          <w:sz w:val="17"/>
          <w:szCs w:val="17"/>
          <w:b w:val="1"/>
          <w:bCs w:val="1"/>
          <w:color w:val="auto"/>
        </w:rPr>
        <w:t xml:space="preserve"> </w:t>
      </w:r>
      <w:r>
        <w:rPr>
          <w:rFonts w:ascii="Arial" w:cs="Arial" w:eastAsia="Arial" w:hAnsi="Arial"/>
          <w:sz w:val="17"/>
          <w:szCs w:val="17"/>
          <w:color w:val="auto"/>
        </w:rPr>
        <w:t>filing this Schedule 13G, and 76,410 shares of the Issuer’s common stock underlying warrants issued in the name of the person filing this Schedule 13G and exercisable within 60 days after the date of filing this Schedule 13G).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(iv) Shared power to dispose or to direct the disposition of</w:t>
      </w:r>
    </w:p>
    <w:p>
      <w:pPr>
        <w:spacing w:after="0" w:line="244" w:lineRule="exact"/>
        <w:rPr>
          <w:sz w:val="20"/>
          <w:szCs w:val="20"/>
          <w:color w:val="auto"/>
        </w:rPr>
      </w:pPr>
    </w:p>
    <w:p>
      <w:pPr>
        <w:jc w:val="both"/>
        <w:ind w:left="1540" w:right="1779"/>
        <w:spacing w:after="0" w:line="269" w:lineRule="auto"/>
        <w:rPr>
          <w:sz w:val="20"/>
          <w:szCs w:val="20"/>
          <w:color w:val="auto"/>
        </w:rPr>
      </w:pPr>
      <w:r>
        <w:rPr>
          <w:rFonts w:ascii="Arial" w:cs="Arial" w:eastAsia="Arial" w:hAnsi="Arial"/>
          <w:sz w:val="16"/>
          <w:szCs w:val="16"/>
          <w:b w:val="1"/>
          <w:bCs w:val="1"/>
          <w:color w:val="auto"/>
        </w:rPr>
        <w:t>1,748,277</w:t>
      </w:r>
      <w:r>
        <w:rPr>
          <w:rFonts w:ascii="Arial" w:cs="Arial" w:eastAsia="Arial" w:hAnsi="Arial"/>
          <w:sz w:val="16"/>
          <w:szCs w:val="16"/>
          <w:color w:val="auto"/>
        </w:rPr>
        <w:t>*(includes (i) 126,582 shares of the Issuer’s common stock and 31,646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Issuer’s common stock underlying warrants exercisable within 60 days after the date of filing this Schedule 13G, each held in the name of the spouse of the person filing this Schedule 13G, (ii) 759,494, shares of the Issuer’s common stock and 189,874 shares of the Issuer’s common stock underlying warrants exercisable within 60 days after the date of filing this Schedule 13G, each held in the name of 1425 Greenwood Lane, LLC, of which the person filing this Schedule 13G is a managing member, and (iii) 513,829 shares of the Issuer’s common stock and 126,852 shares of the Issuer’s common stock underlying warrants exercisable within 60 days after the date of filing this Schedule 13G, each held in the name of RCHER Financial, LLC, of which the person filing this Schedule 13G is a managing member).</w:t>
      </w:r>
    </w:p>
    <w:p>
      <w:pPr>
        <w:spacing w:after="0" w:line="213" w:lineRule="exact"/>
        <w:rPr>
          <w:sz w:val="20"/>
          <w:szCs w:val="20"/>
          <w:color w:val="auto"/>
        </w:rPr>
      </w:pPr>
    </w:p>
    <w:p>
      <w:pPr>
        <w:ind w:left="260" w:right="1799" w:hanging="252"/>
        <w:spacing w:after="0" w:line="274" w:lineRule="auto"/>
        <w:tabs>
          <w:tab w:leader="none" w:pos="30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person filing this Schedule 13G disclaims beneficial ownership of these securities except to the extent of his pecuniary interest therein.</w:t>
      </w:r>
    </w:p>
    <w:p>
      <w:pPr>
        <w:spacing w:after="0" w:line="19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jc w:val="both"/>
        <w:ind w:left="1280" w:right="1779" w:hanging="1296"/>
        <w:spacing w:after="0" w:line="281" w:lineRule="auto"/>
        <w:tabs>
          <w:tab w:leader="none" w:pos="12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56" w:lineRule="exact"/>
        <w:rPr>
          <w:sz w:val="20"/>
          <w:szCs w:val="20"/>
          <w:color w:val="auto"/>
        </w:rPr>
      </w:pPr>
    </w:p>
    <w:p>
      <w:pPr>
        <w:jc w:val="center"/>
        <w:ind w:right="6519"/>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Notice of Dissolution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Certification.</w:t>
      </w:r>
    </w:p>
    <w:p>
      <w:pPr>
        <w:spacing w:after="0" w:line="256" w:lineRule="exact"/>
        <w:rPr>
          <w:sz w:val="20"/>
          <w:szCs w:val="20"/>
          <w:color w:val="auto"/>
        </w:rPr>
      </w:pPr>
    </w:p>
    <w:p>
      <w:pPr>
        <w:jc w:val="both"/>
        <w:ind w:right="1779"/>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5351145"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9461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4" w:name="page5"/>
    <w:bookmarkEnd w:id="4"/>
    <w:p>
      <w:pPr>
        <w:jc w:val="center"/>
        <w:ind w:right="17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6"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Dated: September 6, 2012</w:t>
      </w:r>
      <w:r>
        <w:rPr>
          <w:sz w:val="20"/>
          <w:szCs w:val="20"/>
          <w:color w:val="auto"/>
        </w:rPr>
        <w:tab/>
      </w:r>
      <w:r>
        <w:rPr>
          <w:rFonts w:ascii="Arial" w:cs="Arial" w:eastAsia="Arial" w:hAnsi="Arial"/>
          <w:sz w:val="18"/>
          <w:szCs w:val="18"/>
          <w:b w:val="1"/>
          <w:bCs w:val="1"/>
          <w:color w:val="auto"/>
        </w:rPr>
        <w:t>DONALD MILONI</w:t>
      </w:r>
    </w:p>
    <w:p>
      <w:pPr>
        <w:spacing w:after="0" w:line="200" w:lineRule="exact"/>
        <w:rPr>
          <w:sz w:val="20"/>
          <w:szCs w:val="20"/>
          <w:color w:val="auto"/>
        </w:rPr>
      </w:pPr>
    </w:p>
    <w:p>
      <w:pPr>
        <w:spacing w:after="0" w:line="245" w:lineRule="exact"/>
        <w:rPr>
          <w:sz w:val="20"/>
          <w:szCs w:val="20"/>
          <w:color w:val="auto"/>
        </w:rPr>
      </w:pPr>
    </w:p>
    <w:p>
      <w:pPr>
        <w:ind w:left="4260"/>
        <w:spacing w:after="0"/>
        <w:rPr>
          <w:sz w:val="20"/>
          <w:szCs w:val="20"/>
          <w:color w:val="auto"/>
        </w:rPr>
      </w:pPr>
      <w:r>
        <w:rPr>
          <w:rFonts w:ascii="Arial" w:cs="Arial" w:eastAsia="Arial" w:hAnsi="Arial"/>
          <w:sz w:val="18"/>
          <w:szCs w:val="18"/>
          <w:i w:val="1"/>
          <w:iCs w:val="1"/>
          <w:u w:val="single" w:color="auto"/>
          <w:color w:val="auto"/>
        </w:rPr>
        <w:t>/s/ Donald Miloni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Donald Miloni, an individual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5</w:t>
      </w:r>
    </w:p>
    <w:sectPr>
      <w:pgSz w:w="11900" w:h="16838" w:orient="portrait"/>
      <w:cols w:equalWidth="0" w:num="1">
        <w:col w:w="10219"/>
      </w:cols>
      <w:pgMar w:left="2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lvl w:ilvl="1">
      <w:lvlJc w:val="left"/>
      <w:lvlText w:val="(%2)"/>
      <w:numFmt w:val="low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2020-01-30T04:34:50Z</dcterms:created>
  <dcterms:modified xsi:type="dcterms:W3CDTF">2020-01-30T04:34:50Z</dcterms:modified>
</cp:coreProperties>
</file>