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f13g091312_sc13g.htm"/>
      <w:bookmarkStart w:id="1" w:name="ksf13g091312_sc13g"/>
      <w:bookmarkStart w:id="2" w:name="f13g091312_sc13g.htm"/>
      <w:bookmarkStart w:id="3" w:name="ksf13g091312_sc13g"/>
      <w:bookmarkEnd w:id="2"/>
      <w:bookmarkEnd w:id="3"/>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UNITED STATES</w:t>
      </w:r>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b/>
        </w:rPr>
      </w:pPr>
      <w:r>
        <w:rPr>
          <w:b/>
        </w:rPr>
        <w:t>Washington, D.C. 20549</w:t>
      </w:r>
    </w:p>
    <w:p>
      <w:pPr>
        <w:pStyle w:val="TextBody"/>
        <w:spacing w:before="0" w:after="0"/>
        <w:ind w:left="0" w:right="0" w:hanging="0"/>
        <w:jc w:val="center"/>
        <w:rPr/>
      </w:pPr>
      <w:r>
        <w:rPr/>
      </w:r>
    </w:p>
    <w:p>
      <w:pPr>
        <w:pStyle w:val="TextBody"/>
        <w:spacing w:before="0" w:after="0"/>
        <w:ind w:left="0" w:right="0" w:hanging="0"/>
        <w:jc w:val="center"/>
        <w:rPr>
          <w:b/>
          <w:sz w:val="22"/>
        </w:rPr>
      </w:pPr>
      <w:r>
        <w:rPr>
          <w:b/>
          <w:sz w:val="22"/>
        </w:rPr>
        <w:t>SCHEDULE 13G</w:t>
      </w:r>
    </w:p>
    <w:p>
      <w:pPr>
        <w:pStyle w:val="TextBody"/>
        <w:spacing w:before="0" w:after="0"/>
        <w:ind w:left="0" w:right="0" w:hanging="0"/>
        <w:jc w:val="center"/>
        <w:rPr>
          <w:b/>
        </w:rPr>
      </w:pPr>
      <w:r>
        <w:rPr>
          <w:b/>
        </w:rPr>
        <w:t>Under the Securities Exchange Act of 1934</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sz w:val="27"/>
          <w:u w:val="single"/>
        </w:rPr>
      </w:pPr>
      <w:r>
        <w:rPr>
          <w:b/>
          <w:sz w:val="27"/>
          <w:u w:val="single"/>
        </w:rPr>
        <w:t>IMPRIMIS PHARMACEUTICALS, INC.</w:t>
      </w:r>
    </w:p>
    <w:p>
      <w:pPr>
        <w:pStyle w:val="TextBody"/>
        <w:spacing w:before="0" w:after="0"/>
        <w:ind w:left="0" w:right="0" w:hanging="0"/>
        <w:jc w:val="center"/>
        <w:rPr/>
      </w:pPr>
      <w:r>
        <w:rPr/>
        <w:t>(Name of Issuer)</w:t>
      </w:r>
    </w:p>
    <w:p>
      <w:pPr>
        <w:pStyle w:val="TextBody"/>
        <w:spacing w:before="0" w:after="0"/>
        <w:ind w:left="0" w:right="0" w:hanging="0"/>
        <w:jc w:val="center"/>
        <w:rPr/>
      </w:pPr>
      <w:r>
        <w:rPr/>
      </w:r>
    </w:p>
    <w:p>
      <w:pPr>
        <w:pStyle w:val="TextBody"/>
        <w:spacing w:before="0" w:after="0"/>
        <w:ind w:left="0" w:right="0" w:hanging="0"/>
        <w:jc w:val="center"/>
        <w:rPr>
          <w:b/>
          <w:u w:val="single"/>
        </w:rPr>
      </w:pPr>
      <w:r>
        <w:rPr>
          <w:b/>
          <w:u w:val="single"/>
        </w:rPr>
        <w:t>Common Stock, $0.001 par value</w:t>
      </w:r>
    </w:p>
    <w:p>
      <w:pPr>
        <w:pStyle w:val="TextBody"/>
        <w:spacing w:before="0" w:after="0"/>
        <w:ind w:left="0" w:right="0" w:hanging="0"/>
        <w:jc w:val="center"/>
        <w:rPr/>
      </w:pPr>
      <w:r>
        <w:rPr/>
        <w:t>(Title of Class of Securities)</w:t>
      </w:r>
    </w:p>
    <w:p>
      <w:pPr>
        <w:pStyle w:val="TextBody"/>
        <w:spacing w:before="0" w:after="0"/>
        <w:ind w:left="0" w:right="0" w:hanging="0"/>
        <w:rPr/>
      </w:pPr>
      <w:r>
        <w:rPr/>
      </w:r>
    </w:p>
    <w:p>
      <w:pPr>
        <w:pStyle w:val="TextBody"/>
        <w:spacing w:before="0" w:after="0"/>
        <w:ind w:left="0" w:right="0" w:hanging="0"/>
        <w:jc w:val="center"/>
        <w:rPr>
          <w:b/>
          <w:u w:val="single"/>
        </w:rPr>
      </w:pPr>
      <w:r>
        <w:rPr>
          <w:b/>
          <w:u w:val="single"/>
        </w:rPr>
        <w:t>45323A 102</w:t>
      </w:r>
    </w:p>
    <w:p>
      <w:pPr>
        <w:pStyle w:val="TextBody"/>
        <w:spacing w:before="0" w:after="0"/>
        <w:ind w:left="0" w:right="0" w:hanging="0"/>
        <w:jc w:val="center"/>
        <w:rPr/>
      </w:pPr>
      <w:r>
        <w:rPr/>
        <w:t>(CUSIP Number)</w:t>
      </w:r>
    </w:p>
    <w:p>
      <w:pPr>
        <w:pStyle w:val="TextBody"/>
        <w:spacing w:before="0" w:after="0"/>
        <w:ind w:left="0" w:right="0" w:hanging="0"/>
        <w:rPr/>
      </w:pPr>
      <w:r>
        <w:rPr/>
      </w:r>
    </w:p>
    <w:p>
      <w:pPr>
        <w:pStyle w:val="TextBody"/>
        <w:spacing w:before="0" w:after="0"/>
        <w:ind w:left="0" w:right="0" w:hanging="0"/>
        <w:jc w:val="center"/>
        <w:rPr>
          <w:b/>
          <w:u w:val="single"/>
        </w:rPr>
      </w:pPr>
      <w:r>
        <w:rPr>
          <w:b/>
          <w:u w:val="single"/>
        </w:rPr>
        <w:t>August 31, 2012</w:t>
      </w:r>
    </w:p>
    <w:p>
      <w:pPr>
        <w:pStyle w:val="TextBody"/>
        <w:spacing w:before="0" w:after="0"/>
        <w:ind w:left="0" w:right="0" w:hanging="0"/>
        <w:jc w:val="center"/>
        <w:rPr/>
      </w:pPr>
      <w:r>
        <w:rPr/>
        <w:t>(Date of Event Which Requires Filing of this Statement)</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pBdr/>
        <w:spacing w:before="0" w:after="0"/>
        <w:ind w:left="0" w:right="0" w:hanging="0"/>
        <w:rPr/>
      </w:pPr>
      <w:r>
        <w:rPr/>
        <w:t>Check the appropriate box to designate the rule pursuant to which this Schedule is filed:</w:t>
      </w:r>
    </w:p>
    <w:p>
      <w:pPr>
        <w:pStyle w:val="TextBody"/>
        <w:spacing w:before="0" w:after="0"/>
        <w:ind w:left="0" w:right="0" w:hanging="0"/>
        <w:rPr/>
      </w:pPr>
      <w:r>
        <w:rPr/>
      </w:r>
    </w:p>
    <w:p>
      <w:pPr>
        <w:pStyle w:val="TextBody"/>
        <w:pBdr/>
        <w:spacing w:before="0" w:after="15"/>
        <w:ind w:left="0" w:right="0" w:firstLine="720"/>
        <w:rPr/>
      </w:pPr>
      <w:r>
        <w:rPr/>
        <w:t> </w:t>
      </w:r>
      <w:r>
        <w:rPr>
          <w:bdr w:val="single" w:sz="2" w:space="1" w:color="000000"/>
        </w:rPr>
        <w:t>     </w:t>
      </w:r>
      <w:r>
        <w:rPr>
          <w:color w:val="FFFFFF"/>
          <w:sz w:val="10"/>
        </w:rPr>
        <w:t>.</w:t>
      </w:r>
      <w:r>
        <w:rPr/>
        <w:t xml:space="preserve"> Rule 13d-1(b)</w:t>
      </w:r>
    </w:p>
    <w:p>
      <w:pPr>
        <w:pStyle w:val="TextBody"/>
        <w:spacing w:before="0" w:after="15"/>
        <w:ind w:left="0" w:right="0" w:firstLine="720"/>
        <w:rPr/>
      </w:pPr>
      <w:r>
        <w:rPr/>
        <w:t> </w:t>
      </w:r>
      <w:r>
        <w:rPr>
          <w:bdr w:val="single" w:sz="2" w:space="1" w:color="000000"/>
        </w:rPr>
        <w:t> </w:t>
      </w:r>
      <w:r>
        <w:rPr>
          <w:sz w:val="10"/>
          <w:bdr w:val="single" w:sz="2" w:space="1" w:color="000000"/>
        </w:rPr>
        <w:t xml:space="preserve">X </w:t>
      </w:r>
      <w:r>
        <w:rPr>
          <w:color w:val="FFFFFF"/>
          <w:sz w:val="10"/>
        </w:rPr>
        <w:t>.</w:t>
      </w:r>
      <w:r>
        <w:rPr/>
        <w:t xml:space="preserve"> Rule 13d-1(c)</w:t>
      </w:r>
    </w:p>
    <w:p>
      <w:pPr>
        <w:pStyle w:val="TextBody"/>
        <w:spacing w:before="0" w:after="15"/>
        <w:ind w:left="0" w:right="0" w:firstLine="720"/>
        <w:rPr/>
      </w:pPr>
      <w:r>
        <w:rPr/>
        <w:t> </w:t>
      </w:r>
      <w:r>
        <w:rPr>
          <w:bdr w:val="single" w:sz="2" w:space="1" w:color="000000"/>
        </w:rPr>
        <w:t>     </w:t>
      </w:r>
      <w:r>
        <w:rPr>
          <w:color w:val="FFFFFF"/>
          <w:sz w:val="10"/>
        </w:rPr>
        <w:t>.</w:t>
      </w:r>
      <w:r>
        <w:rPr/>
        <w:t xml:space="preserve">  Rule 13d-1(d)</w:t>
      </w:r>
    </w:p>
    <w:p>
      <w:pPr>
        <w:pStyle w:val="TextBody"/>
        <w:spacing w:before="0" w:after="0"/>
        <w:ind w:left="0" w:right="0" w:hanging="0"/>
        <w:rPr/>
      </w:pPr>
      <w:r>
        <w:rPr/>
      </w:r>
    </w:p>
    <w:p>
      <w:pPr>
        <w:pStyle w:val="TextBody"/>
        <w:spacing w:before="0" w:after="0"/>
        <w:ind w:left="0" w:right="0" w:hanging="0"/>
        <w:jc w:val="both"/>
        <w:rPr/>
      </w:pPr>
      <w:r>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spacing w:before="0" w:after="0"/>
        <w:ind w:left="0" w:right="0" w:hanging="0"/>
        <w:jc w:val="both"/>
        <w:rPr/>
      </w:pPr>
      <w:r>
        <w:rPr/>
      </w:r>
    </w:p>
    <w:p>
      <w:pPr>
        <w:pStyle w:val="TextBody"/>
        <w:spacing w:before="0" w:after="0"/>
        <w:ind w:left="0" w:right="0" w:hanging="0"/>
        <w:jc w:val="both"/>
        <w:rPr/>
      </w:pPr>
      <w:r>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br/>
      </w:r>
    </w:p>
    <w:tbl>
      <w:tblPr>
        <w:tblW w:w="10205" w:type="dxa"/>
        <w:jc w:val="left"/>
        <w:tblInd w:w="0" w:type="dxa"/>
        <w:tblCellMar>
          <w:top w:w="0" w:type="dxa"/>
          <w:left w:w="0" w:type="dxa"/>
          <w:bottom w:w="0" w:type="dxa"/>
          <w:right w:w="0" w:type="dxa"/>
        </w:tblCellMar>
      </w:tblPr>
      <w:tblGrid>
        <w:gridCol w:w="2143"/>
        <w:gridCol w:w="1295"/>
        <w:gridCol w:w="3377"/>
        <w:gridCol w:w="3390"/>
      </w:tblGrid>
      <w:tr>
        <w:trPr/>
        <w:tc>
          <w:tcPr>
            <w:tcW w:w="2143"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3377" w:type="dxa"/>
            <w:tcBorders/>
            <w:shd w:fill="auto" w:val="clear"/>
            <w:vAlign w:val="center"/>
          </w:tcPr>
          <w:p>
            <w:pPr>
              <w:pStyle w:val="TableContents"/>
              <w:spacing w:before="0" w:after="283"/>
              <w:rPr>
                <w:sz w:val="4"/>
                <w:szCs w:val="4"/>
              </w:rPr>
            </w:pPr>
            <w:r>
              <w:rPr>
                <w:sz w:val="4"/>
                <w:szCs w:val="4"/>
              </w:rPr>
            </w:r>
          </w:p>
        </w:tc>
        <w:tc>
          <w:tcPr>
            <w:tcW w:w="3390" w:type="dxa"/>
            <w:tcBorders/>
            <w:shd w:fill="auto" w:val="clear"/>
            <w:vAlign w:val="center"/>
          </w:tcPr>
          <w:p>
            <w:pPr>
              <w:pStyle w:val="TableContents"/>
              <w:spacing w:before="0" w:after="283"/>
              <w:rPr>
                <w:sz w:val="4"/>
                <w:szCs w:val="4"/>
              </w:rPr>
            </w:pPr>
            <w:r>
              <w:rPr>
                <w:sz w:val="4"/>
                <w:szCs w:val="4"/>
              </w:rPr>
            </w:r>
          </w:p>
        </w:tc>
      </w:tr>
      <w:tr>
        <w:trPr/>
        <w:tc>
          <w:tcPr>
            <w:tcW w:w="3438" w:type="dxa"/>
            <w:gridSpan w:val="2"/>
            <w:tcBorders>
              <w:top w:val="double" w:sz="6" w:space="0" w:color="3F3F3F"/>
              <w:left w:val="double" w:sz="6" w:space="0" w:color="3F3F3F"/>
              <w:bottom w:val="double" w:sz="6" w:space="0" w:color="3F3F3F"/>
              <w:right w:val="double" w:sz="6" w:space="0" w:color="3F3F3F"/>
            </w:tcBorders>
            <w:shd w:fill="auto" w:val="clear"/>
            <w:tcMar>
              <w:top w:w="28" w:type="dxa"/>
              <w:left w:w="28" w:type="dxa"/>
              <w:bottom w:w="28" w:type="dxa"/>
              <w:right w:w="28" w:type="dxa"/>
            </w:tcMar>
            <w:vAlign w:val="center"/>
          </w:tcPr>
          <w:p>
            <w:pPr>
              <w:pStyle w:val="TableContents"/>
              <w:spacing w:before="0" w:after="0"/>
              <w:ind w:left="0" w:right="0" w:hanging="0"/>
              <w:rPr/>
            </w:pPr>
            <w:r>
              <w:rPr/>
              <w:t xml:space="preserve">CUSIP No. </w:t>
            </w:r>
            <w:r>
              <w:rPr>
                <w:b/>
              </w:rPr>
              <w:t>45323A 102</w:t>
            </w:r>
          </w:p>
        </w:tc>
        <w:tc>
          <w:tcPr>
            <w:tcW w:w="3377" w:type="dxa"/>
            <w:tcBorders>
              <w:top w:val="double" w:sz="6" w:space="0" w:color="3F3F3F"/>
              <w:bottom w:val="double" w:sz="6" w:space="0" w:color="3F3F3F"/>
              <w:right w:val="double" w:sz="6" w:space="0" w:color="3F3F3F"/>
            </w:tcBorders>
            <w:shd w:fill="auto" w:val="clear"/>
            <w:tcMar>
              <w:top w:w="28" w:type="dxa"/>
              <w:bottom w:w="28" w:type="dxa"/>
              <w:right w:w="28" w:type="dxa"/>
            </w:tcMar>
            <w:vAlign w:val="center"/>
          </w:tcPr>
          <w:p>
            <w:pPr>
              <w:pStyle w:val="TableContents"/>
              <w:spacing w:before="0" w:after="0"/>
              <w:ind w:left="0" w:right="0" w:hanging="0"/>
              <w:jc w:val="center"/>
              <w:rPr>
                <w:b/>
              </w:rPr>
            </w:pPr>
            <w:r>
              <w:rPr>
                <w:b/>
              </w:rPr>
              <w:t>13G</w:t>
            </w:r>
          </w:p>
        </w:tc>
        <w:tc>
          <w:tcPr>
            <w:tcW w:w="3390" w:type="dxa"/>
            <w:tcBorders>
              <w:top w:val="double" w:sz="6" w:space="0" w:color="3F3F3F"/>
              <w:bottom w:val="double" w:sz="6" w:space="0" w:color="3F3F3F"/>
              <w:right w:val="double" w:sz="6" w:space="0" w:color="3F3F3F"/>
            </w:tcBorders>
            <w:shd w:fill="auto" w:val="clear"/>
            <w:tcMar>
              <w:top w:w="28" w:type="dxa"/>
              <w:bottom w:w="28" w:type="dxa"/>
              <w:right w:w="28" w:type="dxa"/>
            </w:tcMar>
            <w:vAlign w:val="center"/>
          </w:tcPr>
          <w:p>
            <w:pPr>
              <w:pStyle w:val="TableContents"/>
              <w:spacing w:before="0" w:after="0"/>
              <w:ind w:left="0" w:right="0" w:hanging="0"/>
              <w:jc w:val="right"/>
              <w:rPr>
                <w:b/>
              </w:rPr>
            </w:pPr>
            <w:r>
              <w:rPr>
                <w:b/>
              </w:rPr>
              <w:t>Page 2 of 5 Pages</w:t>
            </w:r>
          </w:p>
        </w:tc>
      </w:tr>
      <w:tr>
        <w:trPr/>
        <w:tc>
          <w:tcPr>
            <w:tcW w:w="10205" w:type="dxa"/>
            <w:gridSpan w:val="4"/>
            <w:tcBorders>
              <w:left w:val="double" w:sz="6" w:space="0" w:color="3F3F3F"/>
              <w:bottom w:val="double" w:sz="6" w:space="0" w:color="3F3F3F"/>
              <w:right w:val="double" w:sz="6" w:space="0" w:color="3F3F3F"/>
            </w:tcBorders>
            <w:shd w:fill="auto" w:val="clear"/>
            <w:tcMar>
              <w:left w:w="28" w:type="dxa"/>
              <w:bottom w:w="28" w:type="dxa"/>
              <w:right w:w="28" w:type="dxa"/>
            </w:tcMar>
            <w:vAlign w:val="center"/>
          </w:tcPr>
          <w:p>
            <w:pPr>
              <w:pStyle w:val="TableContents"/>
              <w:spacing w:before="0" w:after="0"/>
              <w:ind w:left="0" w:right="0" w:hanging="30"/>
              <w:rPr/>
            </w:pPr>
            <w:r>
              <w:rPr/>
              <w:t>Names of Reporting Persons</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ableContents"/>
                                    <w:spacing w:before="0" w:after="283"/>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83"/>
                              <w:rPr/>
                            </w:pPr>
                            <w:r>
                              <w:rPr/>
                              <w:t>1.</w:t>
                            </w:r>
                          </w:p>
                        </w:txbxContent>
                      </v:textbox>
                      <w10:wrap type="square" side="right"/>
                    </v:rect>
                  </w:pict>
                </mc:Fallback>
              </mc:AlternateContent>
            </w:r>
          </w:p>
          <w:p>
            <w:pPr>
              <w:pStyle w:val="TableContents"/>
              <w:spacing w:before="0" w:after="0"/>
              <w:ind w:left="0" w:right="0" w:firstLine="720"/>
              <w:rPr/>
            </w:pPr>
            <w:r>
              <w:rPr/>
              <w:t>I.R.S. Identification No. of Above Persons (Entities Only).</w:t>
            </w:r>
          </w:p>
          <w:p>
            <w:pPr>
              <w:pStyle w:val="TableContents"/>
              <w:spacing w:before="0" w:after="0"/>
              <w:ind w:left="0" w:right="0" w:hanging="0"/>
              <w:rPr/>
            </w:pPr>
            <w:r>
              <w:rPr/>
            </w:r>
          </w:p>
          <w:p>
            <w:pPr>
              <w:pStyle w:val="TableContents"/>
              <w:spacing w:before="0" w:after="0"/>
              <w:ind w:left="0" w:right="0" w:firstLine="270"/>
              <w:rPr>
                <w:b/>
              </w:rPr>
            </w:pPr>
            <w:r>
              <w:rPr>
                <w:b/>
              </w:rPr>
              <w:t>Professional Compounding Centers of America, Inc.  74-2188864</w:t>
            </w:r>
          </w:p>
        </w:tc>
      </w:tr>
      <w:tr>
        <w:trPr/>
        <w:tc>
          <w:tcPr>
            <w:tcW w:w="10205" w:type="dxa"/>
            <w:gridSpan w:val="4"/>
            <w:tcBorders>
              <w:left w:val="double" w:sz="6" w:space="0" w:color="3F3F3F"/>
              <w:right w:val="double" w:sz="6" w:space="0" w:color="3F3F3F"/>
            </w:tcBorders>
            <w:shd w:fill="auto" w:val="clear"/>
            <w:tcMar>
              <w:left w:w="28" w:type="dxa"/>
              <w:right w:w="28" w:type="dxa"/>
            </w:tcMar>
            <w:vAlign w:val="center"/>
          </w:tcPr>
          <w:p>
            <w:pPr>
              <w:pStyle w:val="TableContents"/>
              <w:spacing w:before="0" w:after="0"/>
              <w:ind w:left="0" w:right="0" w:hanging="0"/>
              <w:rPr/>
            </w:pPr>
            <w:r>
              <w:rPr/>
              <w:t>2.  Check the Appropriate Box if a Member of a Group (see instructions)</w:t>
            </w:r>
          </w:p>
          <w:p>
            <w:pPr>
              <w:pStyle w:val="TableContents"/>
              <w:spacing w:before="0" w:after="15"/>
              <w:ind w:left="0" w:right="0" w:hanging="0"/>
              <w:jc w:val="right"/>
              <w:rPr/>
            </w:pPr>
            <w:r>
              <w:rPr/>
              <w:t xml:space="preserve">(a) </w:t>
            </w:r>
            <w:r>
              <w:rPr>
                <w:bdr w:val="single" w:sz="2" w:space="1" w:color="000000"/>
              </w:rPr>
              <w:t>     </w:t>
            </w:r>
            <w:r>
              <w:rPr>
                <w:color w:val="FFFFFF"/>
                <w:sz w:val="10"/>
              </w:rPr>
              <w:t>.</w:t>
              <w:br/>
            </w:r>
            <w:r>
              <w:rPr/>
              <w:t xml:space="preserve">(b) </w:t>
            </w:r>
            <w:r>
              <w:rPr>
                <w:bdr w:val="single" w:sz="2" w:space="1" w:color="000000"/>
              </w:rPr>
              <w:t>     </w:t>
            </w:r>
            <w:r>
              <w:rPr>
                <w:color w:val="FFFFFF"/>
                <w:sz w:val="10"/>
              </w:rPr>
              <w:t>.</w:t>
            </w:r>
          </w:p>
        </w:tc>
      </w:tr>
      <w:tr>
        <w:trPr/>
        <w:tc>
          <w:tcPr>
            <w:tcW w:w="10205" w:type="dxa"/>
            <w:gridSpan w:val="4"/>
            <w:tcBorders>
              <w:top w:val="double" w:sz="6" w:space="0" w:color="3F3F3F"/>
              <w:left w:val="double" w:sz="6" w:space="0" w:color="3F3F3F"/>
              <w:bottom w:val="double" w:sz="6" w:space="0" w:color="3F3F3F"/>
              <w:right w:val="double" w:sz="6" w:space="0" w:color="3F3F3F"/>
            </w:tcBorders>
            <w:shd w:fill="auto" w:val="clear"/>
            <w:tcMar>
              <w:top w:w="28" w:type="dxa"/>
              <w:left w:w="28" w:type="dxa"/>
              <w:bottom w:w="28" w:type="dxa"/>
              <w:right w:w="28" w:type="dxa"/>
            </w:tcMar>
            <w:vAlign w:val="center"/>
          </w:tcPr>
          <w:p>
            <w:pPr>
              <w:pStyle w:val="TableContents"/>
              <w:spacing w:before="0" w:after="0"/>
              <w:ind w:left="0" w:right="0" w:hanging="0"/>
              <w:rPr/>
            </w:pPr>
            <w:r>
              <w:rPr/>
              <w:t>3.  SEC Use Only</w:t>
            </w:r>
          </w:p>
        </w:tc>
      </w:tr>
      <w:tr>
        <w:trPr/>
        <w:tc>
          <w:tcPr>
            <w:tcW w:w="10205" w:type="dxa"/>
            <w:gridSpan w:val="4"/>
            <w:tcBorders>
              <w:left w:val="double" w:sz="6" w:space="0" w:color="3F3F3F"/>
              <w:bottom w:val="double" w:sz="6" w:space="0" w:color="3F3F3F"/>
              <w:right w:val="double" w:sz="6" w:space="0" w:color="3F3F3F"/>
            </w:tcBorders>
            <w:shd w:fill="auto" w:val="clear"/>
            <w:tcMar>
              <w:left w:w="28" w:type="dxa"/>
              <w:bottom w:w="28" w:type="dxa"/>
              <w:right w:w="28" w:type="dxa"/>
            </w:tcMar>
            <w:vAlign w:val="center"/>
          </w:tcPr>
          <w:p>
            <w:pPr>
              <w:pStyle w:val="TableContents"/>
              <w:spacing w:before="0" w:after="0"/>
              <w:ind w:left="0" w:right="0" w:hanging="0"/>
              <w:rPr/>
            </w:pPr>
            <w:r>
              <w:rPr/>
              <w:t>4.  Citizenship or Place of Organization</w:t>
            </w:r>
          </w:p>
          <w:p>
            <w:pPr>
              <w:pStyle w:val="TableContents"/>
              <w:spacing w:before="0" w:after="0"/>
              <w:ind w:left="0" w:right="0" w:hanging="0"/>
              <w:rPr/>
            </w:pPr>
            <w:r>
              <w:rPr/>
            </w:r>
          </w:p>
          <w:p>
            <w:pPr>
              <w:pStyle w:val="TableContents"/>
              <w:spacing w:before="0" w:after="0"/>
              <w:ind w:left="0" w:right="0" w:firstLine="270"/>
              <w:rPr>
                <w:b/>
              </w:rPr>
            </w:pPr>
            <w:r>
              <w:rPr>
                <w:b/>
              </w:rPr>
              <w:t>9901 S. Wilcrest Dr., Houston, TX, 77099</w:t>
            </w:r>
          </w:p>
        </w:tc>
      </w:tr>
      <w:tr>
        <w:trPr/>
        <w:tc>
          <w:tcPr>
            <w:tcW w:w="2143" w:type="dxa"/>
            <w:vMerge w:val="restart"/>
            <w:tcBorders>
              <w:left w:val="double" w:sz="6" w:space="0" w:color="3F3F3F"/>
              <w:bottom w:val="double" w:sz="6" w:space="0" w:color="3F3F3F"/>
              <w:right w:val="double" w:sz="6" w:space="0" w:color="3F3F3F"/>
            </w:tcBorders>
            <w:shd w:fill="auto" w:val="clear"/>
            <w:tcMar>
              <w:left w:w="28" w:type="dxa"/>
              <w:bottom w:w="28" w:type="dxa"/>
              <w:right w:w="28" w:type="dxa"/>
            </w:tcMar>
            <w:vAlign w:val="center"/>
          </w:tcPr>
          <w:p>
            <w:pPr>
              <w:pStyle w:val="TableContents"/>
              <w:spacing w:before="0" w:after="0"/>
              <w:ind w:left="0" w:right="0" w:hanging="0"/>
              <w:rPr/>
            </w:pPr>
            <w:r>
              <w:rPr/>
              <w:t>   </w:t>
            </w:r>
            <w:r>
              <w:rPr/>
              <w:t xml:space="preserve">Number of Shares </w:t>
              <w:br/>
              <w:t>   Beneficially</w:t>
              <w:br/>
              <w:t>  Owned by</w:t>
              <w:br/>
              <w:t>  Each Reporting</w:t>
              <w:br/>
              <w:t>  Person With:</w:t>
            </w:r>
          </w:p>
        </w:tc>
        <w:tc>
          <w:tcPr>
            <w:tcW w:w="8062" w:type="dxa"/>
            <w:gridSpan w:val="3"/>
            <w:tcBorders>
              <w:bottom w:val="double" w:sz="6" w:space="0" w:color="3F3F3F"/>
              <w:right w:val="double" w:sz="6" w:space="0" w:color="3F3F3F"/>
            </w:tcBorders>
            <w:shd w:fill="auto" w:val="clear"/>
            <w:tcMar>
              <w:bottom w:w="28" w:type="dxa"/>
              <w:right w:w="28" w:type="dxa"/>
            </w:tcMar>
            <w:vAlign w:val="center"/>
          </w:tcPr>
          <w:p>
            <w:pPr>
              <w:pStyle w:val="TableContents"/>
              <w:spacing w:before="0" w:after="0"/>
              <w:ind w:left="0" w:right="0" w:hanging="0"/>
              <w:rPr/>
            </w:pPr>
            <w:r>
              <w:rPr/>
              <w:t>5.  Sole Voting Power</w:t>
            </w:r>
          </w:p>
          <w:p>
            <w:pPr>
              <w:pStyle w:val="TableContents"/>
              <w:spacing w:before="0" w:after="0"/>
              <w:ind w:left="0" w:right="0" w:hanging="0"/>
              <w:rPr/>
            </w:pPr>
            <w:r>
              <w:rPr/>
            </w:r>
          </w:p>
          <w:p>
            <w:pPr>
              <w:pStyle w:val="TableContents"/>
              <w:spacing w:before="0" w:after="0"/>
              <w:ind w:left="0" w:right="0" w:firstLine="240"/>
              <w:rPr>
                <w:b/>
              </w:rPr>
            </w:pPr>
            <w:r>
              <w:rPr>
                <w:b/>
              </w:rPr>
              <w:t>4,163,414</w:t>
            </w:r>
          </w:p>
        </w:tc>
      </w:tr>
      <w:tr>
        <w:trPr/>
        <w:tc>
          <w:tcPr>
            <w:tcW w:w="2143" w:type="dxa"/>
            <w:vMerge w:val="continue"/>
            <w:tcBorders>
              <w:left w:val="double" w:sz="6" w:space="0" w:color="3F3F3F"/>
              <w:bottom w:val="double" w:sz="6" w:space="0" w:color="3F3F3F"/>
              <w:right w:val="double" w:sz="6" w:space="0" w:color="3F3F3F"/>
            </w:tcBorders>
            <w:shd w:fill="auto" w:val="clear"/>
            <w:tcMar>
              <w:left w:w="28" w:type="dxa"/>
              <w:bottom w:w="28" w:type="dxa"/>
              <w:right w:w="28" w:type="dxa"/>
            </w:tcMar>
            <w:vAlign w:val="center"/>
          </w:tcPr>
          <w:p>
            <w:pPr>
              <w:pStyle w:val="Normal"/>
              <w:rPr/>
            </w:pPr>
            <w:r>
              <w:rPr/>
            </w:r>
          </w:p>
        </w:tc>
        <w:tc>
          <w:tcPr>
            <w:tcW w:w="8062" w:type="dxa"/>
            <w:gridSpan w:val="3"/>
            <w:tcBorders>
              <w:left w:val="double" w:sz="6" w:space="0" w:color="3F3F3F"/>
              <w:bottom w:val="double" w:sz="6" w:space="0" w:color="3F3F3F"/>
              <w:right w:val="double" w:sz="6" w:space="0" w:color="3F3F3F"/>
            </w:tcBorders>
            <w:shd w:fill="auto" w:val="clear"/>
            <w:tcMar>
              <w:left w:w="28" w:type="dxa"/>
              <w:bottom w:w="28" w:type="dxa"/>
              <w:right w:w="28" w:type="dxa"/>
            </w:tcMar>
            <w:vAlign w:val="center"/>
          </w:tcPr>
          <w:p>
            <w:pPr>
              <w:pStyle w:val="TableContents"/>
              <w:spacing w:before="0" w:after="0"/>
              <w:ind w:left="0" w:right="0" w:hanging="0"/>
              <w:rPr/>
            </w:pPr>
            <w:r>
              <w:rPr/>
              <w:t>6.  Shared Voting Power</w:t>
            </w:r>
          </w:p>
          <w:p>
            <w:pPr>
              <w:pStyle w:val="TableContents"/>
              <w:spacing w:before="0" w:after="0"/>
              <w:ind w:left="0" w:right="0" w:hanging="0"/>
              <w:rPr/>
            </w:pPr>
            <w:r>
              <w:rPr/>
            </w:r>
          </w:p>
          <w:p>
            <w:pPr>
              <w:pStyle w:val="TableContents"/>
              <w:spacing w:before="0" w:after="0"/>
              <w:ind w:left="0" w:right="0" w:firstLine="240"/>
              <w:rPr>
                <w:b/>
              </w:rPr>
            </w:pPr>
            <w:r>
              <w:rPr>
                <w:b/>
              </w:rPr>
              <w:t>0</w:t>
            </w:r>
          </w:p>
        </w:tc>
      </w:tr>
      <w:tr>
        <w:trPr/>
        <w:tc>
          <w:tcPr>
            <w:tcW w:w="2143" w:type="dxa"/>
            <w:vMerge w:val="continue"/>
            <w:tcBorders>
              <w:left w:val="double" w:sz="6" w:space="0" w:color="3F3F3F"/>
              <w:bottom w:val="double" w:sz="6" w:space="0" w:color="3F3F3F"/>
              <w:right w:val="double" w:sz="6" w:space="0" w:color="3F3F3F"/>
            </w:tcBorders>
            <w:shd w:fill="auto" w:val="clear"/>
            <w:tcMar>
              <w:left w:w="28" w:type="dxa"/>
              <w:bottom w:w="28" w:type="dxa"/>
              <w:right w:w="28" w:type="dxa"/>
            </w:tcMar>
            <w:vAlign w:val="center"/>
          </w:tcPr>
          <w:p>
            <w:pPr>
              <w:pStyle w:val="Normal"/>
              <w:rPr/>
            </w:pPr>
            <w:r>
              <w:rPr/>
            </w:r>
          </w:p>
        </w:tc>
        <w:tc>
          <w:tcPr>
            <w:tcW w:w="8062" w:type="dxa"/>
            <w:gridSpan w:val="3"/>
            <w:tcBorders>
              <w:left w:val="double" w:sz="6" w:space="0" w:color="3F3F3F"/>
              <w:bottom w:val="double" w:sz="6" w:space="0" w:color="3F3F3F"/>
              <w:right w:val="double" w:sz="6" w:space="0" w:color="3F3F3F"/>
            </w:tcBorders>
            <w:shd w:fill="auto" w:val="clear"/>
            <w:tcMar>
              <w:left w:w="28" w:type="dxa"/>
              <w:bottom w:w="28" w:type="dxa"/>
              <w:right w:w="28" w:type="dxa"/>
            </w:tcMar>
            <w:vAlign w:val="center"/>
          </w:tcPr>
          <w:p>
            <w:pPr>
              <w:pStyle w:val="TableContents"/>
              <w:spacing w:before="0" w:after="0"/>
              <w:ind w:left="0" w:right="0" w:hanging="0"/>
              <w:rPr/>
            </w:pPr>
            <w:r>
              <w:rPr/>
              <w:t>7.  Sole Dispositive Power</w:t>
            </w:r>
          </w:p>
          <w:p>
            <w:pPr>
              <w:pStyle w:val="TableContents"/>
              <w:spacing w:before="0" w:after="0"/>
              <w:ind w:left="0" w:right="0" w:hanging="0"/>
              <w:rPr/>
            </w:pPr>
            <w:r>
              <w:rPr/>
            </w:r>
          </w:p>
          <w:p>
            <w:pPr>
              <w:pStyle w:val="TableContents"/>
              <w:spacing w:before="0" w:after="0"/>
              <w:ind w:left="0" w:right="0" w:firstLine="240"/>
              <w:rPr>
                <w:b/>
              </w:rPr>
            </w:pPr>
            <w:r>
              <w:rPr>
                <w:b/>
              </w:rPr>
              <w:t>4,163,414</w:t>
            </w:r>
          </w:p>
        </w:tc>
      </w:tr>
      <w:tr>
        <w:trPr/>
        <w:tc>
          <w:tcPr>
            <w:tcW w:w="2143" w:type="dxa"/>
            <w:vMerge w:val="continue"/>
            <w:tcBorders>
              <w:left w:val="double" w:sz="6" w:space="0" w:color="3F3F3F"/>
              <w:bottom w:val="double" w:sz="6" w:space="0" w:color="3F3F3F"/>
              <w:right w:val="double" w:sz="6" w:space="0" w:color="3F3F3F"/>
            </w:tcBorders>
            <w:shd w:fill="auto" w:val="clear"/>
            <w:tcMar>
              <w:left w:w="28" w:type="dxa"/>
              <w:bottom w:w="28" w:type="dxa"/>
              <w:right w:w="28" w:type="dxa"/>
            </w:tcMar>
            <w:vAlign w:val="center"/>
          </w:tcPr>
          <w:p>
            <w:pPr>
              <w:pStyle w:val="Normal"/>
              <w:rPr/>
            </w:pPr>
            <w:r>
              <w:rPr/>
            </w:r>
          </w:p>
        </w:tc>
        <w:tc>
          <w:tcPr>
            <w:tcW w:w="8062" w:type="dxa"/>
            <w:gridSpan w:val="3"/>
            <w:tcBorders>
              <w:left w:val="double" w:sz="6" w:space="0" w:color="3F3F3F"/>
              <w:bottom w:val="double" w:sz="6" w:space="0" w:color="3F3F3F"/>
              <w:right w:val="double" w:sz="6" w:space="0" w:color="3F3F3F"/>
            </w:tcBorders>
            <w:shd w:fill="auto" w:val="clear"/>
            <w:tcMar>
              <w:left w:w="28" w:type="dxa"/>
              <w:bottom w:w="28" w:type="dxa"/>
              <w:right w:w="28" w:type="dxa"/>
            </w:tcMar>
            <w:vAlign w:val="center"/>
          </w:tcPr>
          <w:p>
            <w:pPr>
              <w:pStyle w:val="TableContents"/>
              <w:spacing w:before="0" w:after="0"/>
              <w:ind w:left="0" w:right="0" w:hanging="0"/>
              <w:rPr/>
            </w:pPr>
            <w:r>
              <w:rPr/>
              <w:t>8.  Shared Dispositive Power</w:t>
            </w:r>
          </w:p>
          <w:p>
            <w:pPr>
              <w:pStyle w:val="TableContents"/>
              <w:spacing w:before="0" w:after="0"/>
              <w:ind w:left="0" w:right="0" w:hanging="0"/>
              <w:rPr/>
            </w:pPr>
            <w:r>
              <w:rPr/>
            </w:r>
          </w:p>
          <w:p>
            <w:pPr>
              <w:pStyle w:val="TableContents"/>
              <w:spacing w:before="0" w:after="0"/>
              <w:ind w:left="0" w:right="0" w:firstLine="240"/>
              <w:rPr>
                <w:b/>
              </w:rPr>
            </w:pPr>
            <w:r>
              <w:rPr>
                <w:b/>
              </w:rPr>
              <w:t>0</w:t>
            </w:r>
          </w:p>
        </w:tc>
      </w:tr>
      <w:tr>
        <w:trPr/>
        <w:tc>
          <w:tcPr>
            <w:tcW w:w="10205" w:type="dxa"/>
            <w:gridSpan w:val="4"/>
            <w:tcBorders>
              <w:left w:val="double" w:sz="6" w:space="0" w:color="3F3F3F"/>
              <w:bottom w:val="double" w:sz="6" w:space="0" w:color="3F3F3F"/>
              <w:right w:val="double" w:sz="6" w:space="0" w:color="3F3F3F"/>
            </w:tcBorders>
            <w:shd w:fill="auto" w:val="clear"/>
            <w:tcMar>
              <w:left w:w="28" w:type="dxa"/>
              <w:bottom w:w="28" w:type="dxa"/>
              <w:right w:w="28" w:type="dxa"/>
            </w:tcMar>
            <w:vAlign w:val="center"/>
          </w:tcPr>
          <w:p>
            <w:pPr>
              <w:pStyle w:val="TableContents"/>
              <w:spacing w:before="0" w:after="0"/>
              <w:ind w:left="0" w:right="0" w:hanging="0"/>
              <w:rPr/>
            </w:pPr>
            <w:r>
              <w:rPr/>
              <w:t>9.  Aggregate Amount Beneficially Owned by Each Reporting Person</w:t>
            </w:r>
          </w:p>
          <w:p>
            <w:pPr>
              <w:pStyle w:val="TableContents"/>
              <w:spacing w:before="0" w:after="0"/>
              <w:ind w:left="0" w:right="0" w:hanging="0"/>
              <w:rPr/>
            </w:pPr>
            <w:r>
              <w:rPr/>
            </w:r>
          </w:p>
          <w:p>
            <w:pPr>
              <w:pStyle w:val="TableContents"/>
              <w:spacing w:before="0" w:after="0"/>
              <w:ind w:left="0" w:right="0" w:firstLine="270"/>
              <w:rPr>
                <w:b/>
              </w:rPr>
            </w:pPr>
            <w:r>
              <w:rPr>
                <w:b/>
              </w:rPr>
              <w:t>4,163,414</w:t>
            </w:r>
          </w:p>
        </w:tc>
      </w:tr>
      <w:tr>
        <w:trPr/>
        <w:tc>
          <w:tcPr>
            <w:tcW w:w="10205" w:type="dxa"/>
            <w:gridSpan w:val="4"/>
            <w:tcBorders>
              <w:left w:val="double" w:sz="6" w:space="0" w:color="3F3F3F"/>
              <w:bottom w:val="double" w:sz="6" w:space="0" w:color="3F3F3F"/>
              <w:right w:val="double" w:sz="6" w:space="0" w:color="3F3F3F"/>
            </w:tcBorders>
            <w:shd w:fill="auto" w:val="clear"/>
            <w:tcMar>
              <w:left w:w="28" w:type="dxa"/>
              <w:bottom w:w="28" w:type="dxa"/>
              <w:right w:w="28" w:type="dxa"/>
            </w:tcMar>
            <w:vAlign w:val="center"/>
          </w:tcPr>
          <w:p>
            <w:pPr>
              <w:pStyle w:val="TableContents"/>
              <w:spacing w:before="0" w:after="0"/>
              <w:ind w:left="0" w:right="0" w:hanging="0"/>
              <w:rPr/>
            </w:pPr>
            <w:r>
              <w:rPr/>
              <w:t>10.  Check if the Aggregate Amount in Row (9) Excludes Certain Shares (see instructions)</w:t>
            </w:r>
          </w:p>
          <w:p>
            <w:pPr>
              <w:pStyle w:val="TableContents"/>
              <w:spacing w:before="0" w:after="15"/>
              <w:ind w:left="0" w:right="0" w:hanging="0"/>
              <w:jc w:val="right"/>
              <w:rPr/>
            </w:pPr>
            <w:r>
              <w:rPr/>
              <w:t> </w:t>
            </w:r>
            <w:r>
              <w:rPr>
                <w:bdr w:val="single" w:sz="2" w:space="1" w:color="000000"/>
              </w:rPr>
              <w:t>     </w:t>
            </w:r>
            <w:r>
              <w:rPr>
                <w:color w:val="FFFFFF"/>
                <w:sz w:val="10"/>
              </w:rPr>
              <w:t>.</w:t>
            </w:r>
          </w:p>
        </w:tc>
      </w:tr>
      <w:tr>
        <w:trPr/>
        <w:tc>
          <w:tcPr>
            <w:tcW w:w="10205" w:type="dxa"/>
            <w:gridSpan w:val="4"/>
            <w:tcBorders>
              <w:left w:val="double" w:sz="6" w:space="0" w:color="3F3F3F"/>
              <w:bottom w:val="double" w:sz="6" w:space="0" w:color="3F3F3F"/>
              <w:right w:val="double" w:sz="6" w:space="0" w:color="3F3F3F"/>
            </w:tcBorders>
            <w:shd w:fill="auto" w:val="clear"/>
            <w:tcMar>
              <w:left w:w="28" w:type="dxa"/>
              <w:bottom w:w="28" w:type="dxa"/>
              <w:right w:w="28" w:type="dxa"/>
            </w:tcMar>
            <w:vAlign w:val="center"/>
          </w:tcPr>
          <w:p>
            <w:pPr>
              <w:pStyle w:val="TableContents"/>
              <w:spacing w:before="0" w:after="0"/>
              <w:ind w:left="0" w:right="0" w:hanging="0"/>
              <w:rPr/>
            </w:pPr>
            <w:r>
              <w:rPr/>
              <w:t>11.  Percent of Class Represented by Amount in Row 9</w:t>
            </w:r>
          </w:p>
          <w:p>
            <w:pPr>
              <w:pStyle w:val="TableContents"/>
              <w:spacing w:before="0" w:after="0"/>
              <w:ind w:left="0" w:right="0" w:hanging="0"/>
              <w:rPr/>
            </w:pPr>
            <w:r>
              <w:rPr/>
            </w:r>
          </w:p>
          <w:p>
            <w:pPr>
              <w:pStyle w:val="TableContents"/>
              <w:spacing w:before="0" w:after="0"/>
              <w:ind w:left="0" w:right="0" w:firstLine="360"/>
              <w:rPr>
                <w:b/>
              </w:rPr>
            </w:pPr>
            <w:r>
              <w:rPr>
                <w:b/>
              </w:rPr>
              <w:t>12.3%</w:t>
            </w:r>
            <w:r>
              <w:rPr>
                <w:b/>
                <w:position w:val="8"/>
                <w:sz w:val="19"/>
              </w:rPr>
              <w:t>1</w:t>
            </w:r>
          </w:p>
        </w:tc>
      </w:tr>
      <w:tr>
        <w:trPr/>
        <w:tc>
          <w:tcPr>
            <w:tcW w:w="10205" w:type="dxa"/>
            <w:gridSpan w:val="4"/>
            <w:tcBorders>
              <w:left w:val="double" w:sz="6" w:space="0" w:color="3F3F3F"/>
              <w:bottom w:val="double" w:sz="6" w:space="0" w:color="3F3F3F"/>
              <w:right w:val="double" w:sz="6" w:space="0" w:color="3F3F3F"/>
            </w:tcBorders>
            <w:shd w:fill="auto" w:val="clear"/>
            <w:tcMar>
              <w:left w:w="28" w:type="dxa"/>
              <w:bottom w:w="28" w:type="dxa"/>
              <w:right w:w="28" w:type="dxa"/>
            </w:tcMar>
            <w:vAlign w:val="center"/>
          </w:tcPr>
          <w:p>
            <w:pPr>
              <w:pStyle w:val="TableContents"/>
              <w:spacing w:before="0" w:after="0"/>
              <w:ind w:left="0" w:right="0" w:hanging="0"/>
              <w:rPr/>
            </w:pPr>
            <w:r>
              <w:rPr/>
              <w:t>12.  Type of Reporting Person (see instructions)</w:t>
            </w:r>
          </w:p>
          <w:p>
            <w:pPr>
              <w:pStyle w:val="TableContents"/>
              <w:spacing w:before="0" w:after="0"/>
              <w:ind w:left="0" w:right="0" w:hanging="0"/>
              <w:rPr/>
            </w:pPr>
            <w:r>
              <w:rPr/>
            </w:r>
          </w:p>
          <w:p>
            <w:pPr>
              <w:pStyle w:val="TableContents"/>
              <w:spacing w:before="0" w:after="0"/>
              <w:ind w:left="0" w:right="0" w:firstLine="360"/>
              <w:rPr>
                <w:b/>
              </w:rPr>
            </w:pPr>
            <w:r>
              <w:rPr>
                <w:b/>
              </w:rPr>
              <w:t>CO</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position w:val="8"/>
          <w:sz w:val="19"/>
        </w:rPr>
        <w:t>1</w:t>
      </w:r>
      <w:r>
        <w:rPr/>
        <w:t xml:space="preserve"> The percentage was calculated based on 33,859,627 shares of the Issuers common stock outstanding as of August 31, 2012.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rPr>
          <w:b/>
        </w:rPr>
      </w:pPr>
      <w:r>
        <w:rPr>
          <w:b/>
        </w:rPr>
        <w:t>Name of Issuer:</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9144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1(a).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1(a).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1440"/>
        <w:jc w:val="both"/>
        <w:rPr/>
      </w:pPr>
      <w:r>
        <w:rPr/>
        <w:t>Imprimis Pharmaceuticals, Inc.</w:t>
      </w:r>
    </w:p>
    <w:p>
      <w:pPr>
        <w:pStyle w:val="TextBody"/>
        <w:spacing w:before="0" w:after="0"/>
        <w:ind w:left="0" w:right="0" w:hanging="0"/>
        <w:jc w:val="both"/>
        <w:rPr/>
      </w:pPr>
      <w:r>
        <w:rPr/>
      </w:r>
    </w:p>
    <w:p>
      <w:pPr>
        <w:pStyle w:val="TextBody"/>
        <w:spacing w:before="0" w:after="0"/>
        <w:ind w:left="0" w:right="0" w:hanging="30"/>
        <w:jc w:val="both"/>
        <w:rPr>
          <w:b/>
        </w:rPr>
      </w:pPr>
      <w:r>
        <w:rPr>
          <w:b/>
        </w:rPr>
        <w:t>Address of Issuer's Principal Executive Offices:</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1(b).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1(b).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1440"/>
        <w:jc w:val="both"/>
        <w:rPr/>
      </w:pPr>
      <w:r>
        <w:rPr/>
        <w:t>437 S. Highway 101, Suite 209</w:t>
      </w:r>
    </w:p>
    <w:p>
      <w:pPr>
        <w:pStyle w:val="TextBody"/>
        <w:spacing w:before="0" w:after="0"/>
        <w:ind w:left="0" w:right="0" w:firstLine="1440"/>
        <w:jc w:val="both"/>
        <w:rPr/>
      </w:pPr>
      <w:r>
        <w:rPr/>
        <w:t>Solana Beach, CA 92075</w:t>
      </w:r>
    </w:p>
    <w:p>
      <w:pPr>
        <w:pStyle w:val="TextBody"/>
        <w:spacing w:before="0" w:after="0"/>
        <w:ind w:left="0" w:right="0" w:hanging="0"/>
        <w:jc w:val="both"/>
        <w:rPr/>
      </w:pPr>
      <w:r>
        <w:rPr/>
      </w:r>
    </w:p>
    <w:p>
      <w:pPr>
        <w:pStyle w:val="TextBody"/>
        <w:spacing w:before="0" w:after="0"/>
        <w:ind w:left="0" w:right="0" w:hanging="30"/>
        <w:jc w:val="both"/>
        <w:rPr>
          <w:b/>
        </w:rPr>
      </w:pPr>
      <w:r>
        <w:rPr>
          <w:b/>
        </w:rPr>
        <w:t>Name of Person Filing:</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2(a).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2(a).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1440"/>
        <w:jc w:val="both"/>
        <w:rPr/>
      </w:pPr>
      <w:r>
        <w:rPr/>
        <w:t>Professional Compounding Centers of America, Inc.</w:t>
      </w:r>
    </w:p>
    <w:p>
      <w:pPr>
        <w:pStyle w:val="TextBody"/>
        <w:spacing w:before="0" w:after="0"/>
        <w:ind w:left="0" w:right="0" w:hanging="0"/>
        <w:jc w:val="both"/>
        <w:rPr/>
      </w:pPr>
      <w:r>
        <w:rPr/>
      </w:r>
    </w:p>
    <w:p>
      <w:pPr>
        <w:pStyle w:val="TextBody"/>
        <w:spacing w:before="0" w:after="0"/>
        <w:ind w:left="0" w:right="0" w:hanging="30"/>
        <w:jc w:val="both"/>
        <w:rPr>
          <w:b/>
        </w:rPr>
      </w:pPr>
      <w:r>
        <w:rPr>
          <w:b/>
        </w:rPr>
        <w:t>Address of Principal Business Office, or if None, Residence:</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2(b)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2(b)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1440"/>
        <w:jc w:val="both"/>
        <w:rPr/>
      </w:pPr>
      <w:r>
        <w:rPr/>
        <w:t>9901 S. Wilcrest Dr.</w:t>
      </w:r>
    </w:p>
    <w:p>
      <w:pPr>
        <w:pStyle w:val="TextBody"/>
        <w:spacing w:before="0" w:after="0"/>
        <w:ind w:left="0" w:right="0" w:firstLine="1440"/>
        <w:jc w:val="both"/>
        <w:rPr/>
      </w:pPr>
      <w:r>
        <w:rPr/>
        <w:t>Houston, TX, 77099</w:t>
      </w:r>
    </w:p>
    <w:p>
      <w:pPr>
        <w:pStyle w:val="TextBody"/>
        <w:spacing w:before="0" w:after="0"/>
        <w:ind w:left="0" w:right="0" w:hanging="0"/>
        <w:jc w:val="both"/>
        <w:rPr/>
      </w:pPr>
      <w:r>
        <w:rPr/>
      </w:r>
    </w:p>
    <w:p>
      <w:pPr>
        <w:pStyle w:val="TextBody"/>
        <w:spacing w:before="0" w:after="0"/>
        <w:ind w:left="0" w:right="0" w:hanging="30"/>
        <w:jc w:val="both"/>
        <w:rPr>
          <w:b/>
        </w:rPr>
      </w:pPr>
      <w:r>
        <w:rPr>
          <w:b/>
        </w:rPr>
        <w:t>Citizenship:</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2(c).</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2(c).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1440"/>
        <w:jc w:val="both"/>
        <w:rPr/>
      </w:pPr>
      <w:r>
        <w:rPr/>
        <w:t>Texas</w:t>
      </w:r>
    </w:p>
    <w:p>
      <w:pPr>
        <w:pStyle w:val="TextBody"/>
        <w:spacing w:before="0" w:after="0"/>
        <w:ind w:left="0" w:right="0" w:hanging="0"/>
        <w:jc w:val="both"/>
        <w:rPr/>
      </w:pPr>
      <w:r>
        <w:rPr/>
      </w:r>
    </w:p>
    <w:p>
      <w:pPr>
        <w:pStyle w:val="TextBody"/>
        <w:spacing w:before="0" w:after="0"/>
        <w:ind w:left="0" w:right="0" w:hanging="30"/>
        <w:jc w:val="both"/>
        <w:rPr>
          <w:b/>
        </w:rPr>
      </w:pPr>
      <w:r>
        <w:rPr>
          <w:b/>
        </w:rPr>
        <w:t>Title of Class of Securities:</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75260"/>
                <wp:effectExtent l="0" t="0" r="0" b="0"/>
                <wp:wrapSquare wrapText="largest"/>
                <wp:docPr id="7" name="Frame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2(d).</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2(d).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1440"/>
        <w:jc w:val="both"/>
        <w:rPr/>
      </w:pPr>
      <w:r>
        <w:rPr/>
        <w:t>Common Stock, par value $0.001</w:t>
      </w:r>
    </w:p>
    <w:p>
      <w:pPr>
        <w:pStyle w:val="TextBody"/>
        <w:spacing w:before="0" w:after="0"/>
        <w:ind w:left="0" w:right="0" w:hanging="0"/>
        <w:jc w:val="both"/>
        <w:rPr/>
      </w:pPr>
      <w:r>
        <w:rPr/>
      </w:r>
    </w:p>
    <w:p>
      <w:pPr>
        <w:pStyle w:val="TextBody"/>
        <w:spacing w:before="0" w:after="0"/>
        <w:ind w:left="0" w:right="0" w:hanging="30"/>
        <w:jc w:val="both"/>
        <w:rPr>
          <w:b/>
        </w:rPr>
      </w:pPr>
      <w:r>
        <w:rPr>
          <w:b/>
        </w:rPr>
        <w:t>CUSIP Number:</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75260"/>
                <wp:effectExtent l="0" t="0" r="0" b="0"/>
                <wp:wrapSquare wrapText="largest"/>
                <wp:docPr id="8" name="Frame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2(e).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2(e).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1440"/>
        <w:jc w:val="both"/>
        <w:rPr/>
      </w:pPr>
      <w:r>
        <w:rPr/>
        <w:t>45323A 102</w:t>
      </w:r>
    </w:p>
    <w:p>
      <w:pPr>
        <w:pStyle w:val="TextBody"/>
        <w:spacing w:before="0" w:after="0"/>
        <w:ind w:left="0" w:right="0" w:hanging="0"/>
        <w:jc w:val="both"/>
        <w:rPr/>
      </w:pPr>
      <w:r>
        <w:rPr/>
      </w:r>
    </w:p>
    <w:p>
      <w:pPr>
        <w:pStyle w:val="TextBody"/>
        <w:spacing w:before="0" w:after="0"/>
        <w:ind w:left="0" w:right="0" w:hanging="30"/>
        <w:jc w:val="both"/>
        <w:rPr>
          <w:b/>
        </w:rPr>
      </w:pPr>
      <w:r>
        <w:rPr>
          <w:b/>
        </w:rPr>
        <w:t>If this statement is filed pursuant to §§ 240.13d-1(b), or 240.13d-2(b) or (c), check whether the person filing is a:</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14400"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1440"/>
        <w:jc w:val="both"/>
        <w:rPr/>
      </w:pPr>
      <w:r>
        <w:rPr/>
        <w:t>Not applicable</w:t>
      </w:r>
    </w:p>
    <w:p>
      <w:pPr>
        <w:pStyle w:val="TextBody"/>
        <w:spacing w:before="0" w:after="0"/>
        <w:ind w:left="0" w:right="0" w:hanging="0"/>
        <w:jc w:val="both"/>
        <w:rPr/>
      </w:pPr>
      <w:r>
        <w:rPr/>
      </w:r>
    </w:p>
    <w:p>
      <w:pPr>
        <w:pStyle w:val="TextBody"/>
        <w:spacing w:before="0" w:after="0"/>
        <w:ind w:left="0" w:right="0" w:hanging="30"/>
        <w:jc w:val="both"/>
        <w:rPr>
          <w:b/>
        </w:rPr>
      </w:pPr>
      <w:r>
        <w:rPr>
          <w:b/>
        </w:rPr>
        <w:t>Ownership.</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914400"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Provide the following information regarding the aggregate number and percentage of the class of securities of the issuer identified in Item 1.</w:t>
      </w:r>
    </w:p>
    <w:p>
      <w:pPr>
        <w:pStyle w:val="TextBody"/>
        <w:spacing w:before="0" w:after="0"/>
        <w:ind w:left="0" w:right="0" w:hanging="0"/>
        <w:jc w:val="both"/>
        <w:rPr/>
      </w:pPr>
      <w:r>
        <w:rPr/>
      </w:r>
    </w:p>
    <w:p>
      <w:pPr>
        <w:pStyle w:val="TextBody"/>
        <w:spacing w:before="0" w:after="0"/>
        <w:ind w:left="0" w:right="0" w:firstLine="720"/>
        <w:jc w:val="both"/>
        <w:rPr/>
      </w:pPr>
      <w:r>
        <w:rPr/>
        <w:t>(a) Amount beneficially owned:</w:t>
      </w:r>
    </w:p>
    <w:p>
      <w:pPr>
        <w:pStyle w:val="TextBody"/>
        <w:spacing w:before="0" w:after="0"/>
        <w:ind w:left="0" w:right="0" w:hanging="0"/>
        <w:jc w:val="both"/>
        <w:rPr/>
      </w:pPr>
      <w:r>
        <w:rPr/>
      </w:r>
    </w:p>
    <w:p>
      <w:pPr>
        <w:pStyle w:val="TextBody"/>
        <w:spacing w:before="0" w:after="0"/>
        <w:ind w:left="0" w:right="0" w:firstLine="990"/>
        <w:jc w:val="both"/>
        <w:rPr>
          <w:b/>
        </w:rPr>
      </w:pPr>
      <w:r>
        <w:rPr>
          <w:b/>
        </w:rPr>
        <w:t>4,163,414</w:t>
      </w:r>
    </w:p>
    <w:p>
      <w:pPr>
        <w:pStyle w:val="TextBody"/>
        <w:spacing w:before="0" w:after="0"/>
        <w:ind w:left="0" w:right="0" w:hanging="0"/>
        <w:jc w:val="both"/>
        <w:rPr/>
      </w:pPr>
      <w:r>
        <w:rPr/>
      </w:r>
    </w:p>
    <w:p>
      <w:pPr>
        <w:pStyle w:val="TextBody"/>
        <w:spacing w:before="0" w:after="0"/>
        <w:ind w:left="0" w:right="0" w:firstLine="720"/>
        <w:jc w:val="both"/>
        <w:rPr/>
      </w:pPr>
      <w:r>
        <w:rPr/>
        <w:t>(b) Percent of class:</w:t>
      </w:r>
    </w:p>
    <w:p>
      <w:pPr>
        <w:pStyle w:val="TextBody"/>
        <w:spacing w:before="0" w:after="0"/>
        <w:ind w:left="0" w:right="0" w:hanging="0"/>
        <w:jc w:val="both"/>
        <w:rPr/>
      </w:pPr>
      <w:r>
        <w:rPr/>
      </w:r>
    </w:p>
    <w:p>
      <w:pPr>
        <w:pStyle w:val="TextBody"/>
        <w:spacing w:before="0" w:after="0"/>
        <w:ind w:left="0" w:right="0" w:firstLine="990"/>
        <w:jc w:val="both"/>
        <w:rPr>
          <w:b/>
        </w:rPr>
      </w:pPr>
      <w:r>
        <w:rPr>
          <w:b/>
        </w:rPr>
        <w:t>12.3%, based on 33,859,627 shares of the Issuers common stock outstanding as of August 31, 2012.</w:t>
      </w:r>
    </w:p>
    <w:p>
      <w:pPr>
        <w:pStyle w:val="TextBody"/>
        <w:spacing w:before="0" w:after="0"/>
        <w:ind w:left="0" w:right="0" w:hanging="0"/>
        <w:jc w:val="both"/>
        <w:rPr/>
      </w:pPr>
      <w:r>
        <w:rPr/>
      </w:r>
    </w:p>
    <w:p>
      <w:pPr>
        <w:pStyle w:val="TextBody"/>
        <w:spacing w:before="0" w:after="0"/>
        <w:ind w:left="0" w:right="0" w:firstLine="720"/>
        <w:jc w:val="both"/>
        <w:rPr/>
      </w:pPr>
      <w:r>
        <w:rPr/>
        <w:t>(c) Number of shares as to which such person has:</w:t>
      </w:r>
    </w:p>
    <w:p>
      <w:pPr>
        <w:pStyle w:val="TextBody"/>
        <w:spacing w:before="0" w:after="0"/>
        <w:ind w:left="0" w:right="0" w:hanging="0"/>
        <w:jc w:val="both"/>
        <w:rPr/>
      </w:pPr>
      <w:r>
        <w:rPr/>
      </w:r>
    </w:p>
    <w:p>
      <w:pPr>
        <w:pStyle w:val="TextBody"/>
        <w:spacing w:before="0" w:after="0"/>
        <w:ind w:left="0" w:right="0" w:firstLine="1440"/>
        <w:jc w:val="both"/>
        <w:rPr/>
      </w:pPr>
      <w:r>
        <w:rPr/>
        <w:t xml:space="preserve">(i)  Sole power to vote or to direct the vote: </w:t>
      </w:r>
      <w:r>
        <w:rPr>
          <w:b/>
        </w:rPr>
        <w:t>4,163,414</w:t>
      </w:r>
    </w:p>
    <w:p>
      <w:pPr>
        <w:pStyle w:val="TextBody"/>
        <w:spacing w:before="0" w:after="0"/>
        <w:ind w:left="0" w:right="0" w:hanging="0"/>
        <w:jc w:val="both"/>
        <w:rPr/>
      </w:pPr>
      <w:r>
        <w:rPr/>
      </w:r>
    </w:p>
    <w:p>
      <w:pPr>
        <w:pStyle w:val="TextBody"/>
        <w:spacing w:before="0" w:after="0"/>
        <w:ind w:left="0" w:right="0" w:firstLine="1440"/>
        <w:jc w:val="both"/>
        <w:rPr/>
      </w:pPr>
      <w:r>
        <w:rPr/>
        <w:t xml:space="preserve">(ii) Shared power to vote or to direct the vote: </w:t>
      </w:r>
      <w:r>
        <w:rPr>
          <w:b/>
        </w:rPr>
        <w:t>0</w:t>
      </w:r>
    </w:p>
    <w:p>
      <w:pPr>
        <w:pStyle w:val="TextBody"/>
        <w:spacing w:before="0" w:after="0"/>
        <w:ind w:left="0" w:right="0" w:hanging="0"/>
        <w:jc w:val="both"/>
        <w:rPr/>
      </w:pPr>
      <w:r>
        <w:rPr/>
      </w:r>
    </w:p>
    <w:p>
      <w:pPr>
        <w:pStyle w:val="TextBody"/>
        <w:spacing w:before="0" w:after="0"/>
        <w:ind w:left="0" w:right="0" w:firstLine="1440"/>
        <w:jc w:val="both"/>
        <w:rPr/>
      </w:pPr>
      <w:r>
        <w:rPr/>
        <w:t xml:space="preserve">(iii) Sole power to dispose or to direct the disposition of: </w:t>
      </w:r>
      <w:r>
        <w:rPr>
          <w:b/>
        </w:rPr>
        <w:t>4,163,414</w:t>
      </w:r>
    </w:p>
    <w:p>
      <w:pPr>
        <w:pStyle w:val="TextBody"/>
        <w:spacing w:before="0" w:after="0"/>
        <w:ind w:left="0" w:right="0" w:hanging="0"/>
        <w:jc w:val="both"/>
        <w:rPr/>
      </w:pPr>
      <w:r>
        <w:rPr/>
      </w:r>
    </w:p>
    <w:p>
      <w:pPr>
        <w:pStyle w:val="TextBody"/>
        <w:spacing w:before="0" w:after="0"/>
        <w:ind w:left="0" w:right="0" w:firstLine="1440"/>
        <w:jc w:val="both"/>
        <w:rPr/>
      </w:pPr>
      <w:r>
        <w:rPr/>
        <w:t xml:space="preserve">(iv) Shared power to dispose or to direct the disposition of: </w:t>
      </w:r>
      <w:r>
        <w:rPr>
          <w:b/>
        </w:rPr>
        <w:t xml:space="preserve">0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4650"/>
        <w:rPr/>
      </w:pPr>
      <w:r>
        <w:rPr/>
        <w:t>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r>
    </w:p>
    <w:p>
      <w:pPr>
        <w:pStyle w:val="TextBody"/>
        <w:spacing w:before="0" w:after="0"/>
        <w:ind w:left="0" w:right="0" w:hanging="30"/>
        <w:jc w:val="both"/>
        <w:rPr>
          <w:b/>
        </w:rPr>
      </w:pPr>
      <w:r>
        <w:rPr>
          <w:b/>
        </w:rPr>
        <w:t>Ownership of Five Percent or Less of a Class.</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914400" cy="175260"/>
                <wp:effectExtent l="0" t="0" r="0" b="0"/>
                <wp:wrapSquare wrapText="largest"/>
                <wp:docPr id="11" name="Frame1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1440"/>
        <w:jc w:val="both"/>
        <w:rPr/>
      </w:pPr>
      <w:r>
        <w:rPr/>
        <w:t>Not Applicable.</w:t>
      </w:r>
    </w:p>
    <w:p>
      <w:pPr>
        <w:pStyle w:val="TextBody"/>
        <w:spacing w:before="0" w:after="0"/>
        <w:ind w:left="0" w:right="0" w:hanging="0"/>
        <w:jc w:val="both"/>
        <w:rPr/>
      </w:pPr>
      <w:r>
        <w:rPr/>
      </w:r>
    </w:p>
    <w:p>
      <w:pPr>
        <w:pStyle w:val="TextBody"/>
        <w:spacing w:before="0" w:after="0"/>
        <w:ind w:left="0" w:right="0" w:hanging="30"/>
        <w:jc w:val="both"/>
        <w:rPr>
          <w:b/>
        </w:rPr>
      </w:pPr>
      <w:r>
        <w:rPr>
          <w:b/>
        </w:rPr>
        <w:t xml:space="preserve">Ownership of More Than Five Percent on Behalf of Another Person.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914400" cy="175260"/>
                <wp:effectExtent l="0" t="0" r="0" b="0"/>
                <wp:wrapSquare wrapText="largest"/>
                <wp:docPr id="12" name="Frame1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6.</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1440"/>
        <w:jc w:val="both"/>
        <w:rPr/>
      </w:pPr>
      <w:r>
        <w:rPr/>
        <w:t>Not Applicable.</w:t>
      </w:r>
    </w:p>
    <w:p>
      <w:pPr>
        <w:pStyle w:val="TextBody"/>
        <w:spacing w:before="0" w:after="0"/>
        <w:ind w:left="0" w:right="0" w:hanging="0"/>
        <w:jc w:val="both"/>
        <w:rPr/>
      </w:pPr>
      <w:r>
        <w:rPr/>
      </w:r>
    </w:p>
    <w:p>
      <w:pPr>
        <w:pStyle w:val="TextBody"/>
        <w:spacing w:before="0" w:after="0"/>
        <w:ind w:left="0" w:right="0" w:hanging="30"/>
        <w:rPr>
          <w:b/>
        </w:rPr>
      </w:pPr>
      <w:r>
        <w:rPr>
          <w:b/>
        </w:rPr>
        <w:t>Identification and Classification of the Subsidiary Which Acquired the Security Being Reported on By the Parent Holding Company.</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914400" cy="175260"/>
                <wp:effectExtent l="0" t="0" r="0" b="0"/>
                <wp:wrapSquare wrapText="largest"/>
                <wp:docPr id="13" name="Frame1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7.</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7.</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firstLine="1440"/>
        <w:rPr/>
      </w:pPr>
      <w:r>
        <w:rPr/>
        <w:t>Not Applicable.</w:t>
      </w:r>
    </w:p>
    <w:p>
      <w:pPr>
        <w:pStyle w:val="TextBody"/>
        <w:spacing w:before="0" w:after="0"/>
        <w:ind w:left="0" w:right="0" w:hanging="0"/>
        <w:rPr/>
      </w:pPr>
      <w:r>
        <w:rPr/>
      </w:r>
    </w:p>
    <w:p>
      <w:pPr>
        <w:pStyle w:val="TextBody"/>
        <w:spacing w:before="0" w:after="0"/>
        <w:ind w:left="0" w:right="0" w:hanging="30"/>
        <w:rPr>
          <w:b/>
        </w:rPr>
      </w:pPr>
      <w:r>
        <w:rPr>
          <w:b/>
        </w:rPr>
        <w:t>Identification and Classification of Members of the Group.</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914400" cy="175260"/>
                <wp:effectExtent l="0" t="0" r="0" b="0"/>
                <wp:wrapSquare wrapText="largest"/>
                <wp:docPr id="14" name="Frame1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8.</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8.</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firstLine="1440"/>
        <w:rPr/>
      </w:pPr>
      <w:r>
        <w:rPr/>
        <w:t>Not Applicable.</w:t>
      </w:r>
    </w:p>
    <w:p>
      <w:pPr>
        <w:pStyle w:val="TextBody"/>
        <w:spacing w:before="0" w:after="0"/>
        <w:ind w:left="0" w:right="0" w:hanging="0"/>
        <w:rPr/>
      </w:pPr>
      <w:r>
        <w:rPr/>
      </w:r>
    </w:p>
    <w:p>
      <w:pPr>
        <w:pStyle w:val="TextBody"/>
        <w:spacing w:before="0" w:after="0"/>
        <w:ind w:left="0" w:right="0" w:hanging="30"/>
        <w:rPr>
          <w:b/>
        </w:rPr>
      </w:pPr>
      <w:r>
        <w:rPr>
          <w:b/>
        </w:rPr>
        <w:t>Notice of Dissolution of the Group.</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914400" cy="175260"/>
                <wp:effectExtent l="0" t="0" r="0" b="0"/>
                <wp:wrapSquare wrapText="largest"/>
                <wp:docPr id="15" name="Frame1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9.</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9.</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firstLine="1440"/>
        <w:rPr/>
      </w:pPr>
      <w:r>
        <w:rPr/>
        <w:t>Not Applicable.</w:t>
      </w:r>
    </w:p>
    <w:p>
      <w:pPr>
        <w:pStyle w:val="TextBody"/>
        <w:spacing w:before="0" w:after="0"/>
        <w:ind w:left="0" w:right="0" w:hanging="0"/>
        <w:rPr/>
      </w:pPr>
      <w:r>
        <w:rPr/>
      </w:r>
    </w:p>
    <w:p>
      <w:pPr>
        <w:pStyle w:val="TextBody"/>
        <w:spacing w:before="0" w:after="0"/>
        <w:ind w:left="0" w:right="0" w:hanging="30"/>
        <w:rPr>
          <w:b/>
        </w:rPr>
      </w:pPr>
      <w:r>
        <w:rPr>
          <w:b/>
        </w:rPr>
        <w:t>Certification.</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350520"/>
                <wp:effectExtent l="0" t="0" r="0" b="0"/>
                <wp:wrapSquare wrapText="largest"/>
                <wp:docPr id="16" name="Frame16"/>
                <a:graphic xmlns:a="http://schemas.openxmlformats.org/drawingml/2006/main">
                  <a:graphicData uri="http://schemas.microsoft.com/office/word/2010/wordprocessingShape">
                    <wps:wsp>
                      <wps:cNvSpPr txBox="1"/>
                      <wps:spPr>
                        <a:xfrm>
                          <a:off x="0" y="0"/>
                          <a:ext cx="457200" cy="350520"/>
                        </a:xfrm>
                        <a:prstGeom prst="rect"/>
                      </wps:spPr>
                      <wps:txbx>
                        <w:txbxContent>
                          <w:p>
                            <w:pPr>
                              <w:pStyle w:val="TextBody"/>
                              <w:spacing w:before="0" w:after="283"/>
                              <w:rPr>
                                <w:b/>
                              </w:rPr>
                            </w:pPr>
                            <w:r>
                              <w:rPr>
                                <w:b/>
                              </w:rPr>
                              <w:t>Item 10.</w:t>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10.</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jc w:val="both"/>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SIGNATURE</w:t>
      </w:r>
    </w:p>
    <w:p>
      <w:pPr>
        <w:pStyle w:val="TextBody"/>
        <w:spacing w:before="0" w:after="0"/>
        <w:ind w:left="0" w:right="0" w:hanging="0"/>
        <w:jc w:val="both"/>
        <w:rPr/>
      </w:pPr>
      <w:r>
        <w:rPr/>
      </w:r>
    </w:p>
    <w:p>
      <w:pPr>
        <w:pStyle w:val="TextBody"/>
        <w:spacing w:before="0" w:after="0"/>
        <w:ind w:left="0" w:right="0" w:hanging="0"/>
        <w:jc w:val="both"/>
        <w:rPr/>
      </w:pPr>
      <w:r>
        <w:rPr/>
        <w:t>After reasonable inquiry and to the best of my knowledge and belief, I certify that the information set forth in this statement is true, complete and correct.</w:t>
      </w:r>
    </w:p>
    <w:p>
      <w:pPr>
        <w:pStyle w:val="TextBody"/>
        <w:spacing w:before="0" w:after="0"/>
        <w:ind w:left="0" w:right="0" w:hanging="0"/>
        <w:jc w:val="both"/>
        <w:rPr/>
      </w:pPr>
      <w:r>
        <w:rPr/>
      </w:r>
    </w:p>
    <w:p>
      <w:pPr>
        <w:pStyle w:val="TextBody"/>
        <w:spacing w:before="0" w:after="0"/>
        <w:ind w:left="0" w:right="0" w:hanging="0"/>
        <w:jc w:val="both"/>
        <w:rPr/>
      </w:pPr>
      <w:r>
        <w:rPr/>
      </w:r>
    </w:p>
    <w:tbl>
      <w:tblPr>
        <w:tblW w:w="9825" w:type="dxa"/>
        <w:jc w:val="left"/>
        <w:tblInd w:w="0" w:type="dxa"/>
        <w:tblCellMar>
          <w:top w:w="0" w:type="dxa"/>
          <w:left w:w="0" w:type="dxa"/>
          <w:bottom w:w="0" w:type="dxa"/>
          <w:right w:w="0" w:type="dxa"/>
        </w:tblCellMar>
      </w:tblPr>
      <w:tblGrid>
        <w:gridCol w:w="4860"/>
        <w:gridCol w:w="4965"/>
      </w:tblGrid>
      <w:tr>
        <w:trPr/>
        <w:tc>
          <w:tcPr>
            <w:tcW w:w="4860" w:type="dxa"/>
            <w:tcBorders/>
            <w:shd w:fill="auto" w:val="clear"/>
            <w:vAlign w:val="center"/>
          </w:tcPr>
          <w:p>
            <w:pPr>
              <w:pStyle w:val="TableContents"/>
              <w:spacing w:before="0" w:after="283"/>
              <w:rPr>
                <w:sz w:val="4"/>
                <w:szCs w:val="4"/>
              </w:rPr>
            </w:pPr>
            <w:r>
              <w:rPr>
                <w:sz w:val="4"/>
                <w:szCs w:val="4"/>
              </w:rPr>
            </w:r>
          </w:p>
        </w:tc>
        <w:tc>
          <w:tcPr>
            <w:tcW w:w="4965" w:type="dxa"/>
            <w:tcBorders/>
            <w:shd w:fill="auto" w:val="clear"/>
            <w:vAlign w:val="center"/>
          </w:tcPr>
          <w:p>
            <w:pPr>
              <w:pStyle w:val="TableContents"/>
              <w:spacing w:before="0" w:after="283"/>
              <w:rPr>
                <w:sz w:val="4"/>
                <w:szCs w:val="4"/>
              </w:rPr>
            </w:pPr>
            <w:r>
              <w:rPr>
                <w:sz w:val="4"/>
                <w:szCs w:val="4"/>
              </w:rPr>
            </w:r>
          </w:p>
        </w:tc>
      </w:tr>
      <w:tr>
        <w:trPr/>
        <w:tc>
          <w:tcPr>
            <w:tcW w:w="4860" w:type="dxa"/>
            <w:tcBorders/>
            <w:shd w:fill="auto" w:val="clear"/>
          </w:tcPr>
          <w:p>
            <w:pPr>
              <w:pStyle w:val="TableContents"/>
              <w:spacing w:before="0" w:after="0"/>
              <w:ind w:left="0" w:right="0" w:hanging="0"/>
              <w:jc w:val="both"/>
              <w:rPr/>
            </w:pPr>
            <w:r>
              <w:rPr/>
              <w:t>Dated: September 13, 2012</w:t>
            </w:r>
          </w:p>
        </w:tc>
        <w:tc>
          <w:tcPr>
            <w:tcW w:w="4965" w:type="dxa"/>
            <w:tcBorders/>
            <w:shd w:fill="auto" w:val="clear"/>
          </w:tcPr>
          <w:p>
            <w:pPr>
              <w:pStyle w:val="TableContents"/>
              <w:spacing w:before="0" w:after="0"/>
              <w:ind w:left="0" w:right="0" w:hanging="0"/>
              <w:rPr>
                <w:b/>
              </w:rPr>
            </w:pPr>
            <w:r>
              <w:rPr>
                <w:b/>
              </w:rPr>
              <w:t>Professional Compounding Centers of America, Inc.</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Jim Smith</w:t>
            </w:r>
          </w:p>
          <w:p>
            <w:pPr>
              <w:pStyle w:val="TableContents"/>
              <w:spacing w:before="0" w:after="0"/>
              <w:ind w:left="0" w:right="0" w:hanging="0"/>
              <w:rPr/>
            </w:pPr>
            <w:r>
              <w:rPr/>
              <w:t>By: Jim Smith</w:t>
            </w:r>
          </w:p>
          <w:p>
            <w:pPr>
              <w:pStyle w:val="TableContents"/>
              <w:spacing w:before="0" w:after="0"/>
              <w:ind w:left="0" w:right="0" w:hanging="0"/>
              <w:rPr/>
            </w:pPr>
            <w:r>
              <w:rPr/>
              <w:t xml:space="preserve">Its: President </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4650"/>
        <w:rPr/>
      </w:pPr>
      <w:r>
        <w:rPr/>
        <w:t>4</w: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760</Words>
  <CharactersWithSpaces>4471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Schedule 13G</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09/13/2012</vt:lpwstr>
  </property>
</Properties>
</file>