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29772L108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August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740" w:hanging="8"/>
        <w:spacing w:after="0" w:line="563" w:lineRule="auto"/>
        <w:tabs>
          <w:tab w:leader="none" w:pos="664"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5460" w:val="left"/>
          <w:tab w:leader="none" w:pos="76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5711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Opaleye Management Inc.</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I.R.S. IDENTIFICATION NOS. OF ABOVE PERSONS (ENTITIES ONLY)</w:t>
      </w:r>
    </w:p>
    <w:p>
      <w:pPr>
        <w:spacing w:after="0" w:line="23" w:lineRule="exact"/>
        <w:rPr>
          <w:sz w:val="20"/>
          <w:szCs w:val="20"/>
          <w:color w:val="auto"/>
        </w:rPr>
      </w:pPr>
    </w:p>
    <w:p>
      <w:pPr>
        <w:ind w:left="780" w:hanging="493"/>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20-5648796</w:t>
      </w:r>
    </w:p>
    <w:p>
      <w:pPr>
        <w:spacing w:after="0" w:line="237"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1100" w:hanging="327"/>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b w:val="1"/>
          <w:bCs w:val="1"/>
          <w:color w:val="auto"/>
        </w:rPr>
        <w:t>2</w:t>
      </w:r>
      <w:r>
        <w:rPr>
          <w:rFonts w:ascii="Arial" w:cs="Arial" w:eastAsia="Arial" w:hAnsi="Arial"/>
          <w:sz w:val="18"/>
          <w:szCs w:val="18"/>
          <w:color w:val="auto"/>
        </w:rPr>
        <w:t>(b)  [ ]</w:t>
      </w:r>
    </w:p>
    <w:p>
      <w:pPr>
        <w:spacing w:after="0" w:line="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80" w:hanging="493"/>
        <w:spacing w:after="0"/>
        <w:tabs>
          <w:tab w:leader="none" w:pos="7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Massachusetts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9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00" w:type="dxa"/>
            <w:vAlign w:val="bottom"/>
          </w:tcPr>
          <w:p>
            <w:pPr>
              <w:spacing w:after="0"/>
              <w:rPr>
                <w:sz w:val="10"/>
                <w:szCs w:val="10"/>
                <w:color w:val="auto"/>
              </w:rPr>
            </w:pPr>
          </w:p>
        </w:tc>
        <w:tc>
          <w:tcPr>
            <w:tcW w:w="9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1,722,000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600" w:type="dxa"/>
            <w:vAlign w:val="bottom"/>
            <w:tcBorders>
              <w:bottom w:val="single" w:sz="8" w:color="auto"/>
            </w:tcBorders>
            <w:vMerge w:val="continue"/>
          </w:tcPr>
          <w:p>
            <w:pPr>
              <w:spacing w:after="0"/>
              <w:rPr>
                <w:sz w:val="10"/>
                <w:szCs w:val="10"/>
                <w:color w:val="auto"/>
              </w:rPr>
            </w:pPr>
          </w:p>
        </w:tc>
        <w:tc>
          <w:tcPr>
            <w:tcW w:w="95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600" w:type="dxa"/>
            <w:vAlign w:val="bottom"/>
          </w:tcPr>
          <w:p>
            <w:pPr>
              <w:spacing w:after="0"/>
              <w:rPr>
                <w:sz w:val="13"/>
                <w:szCs w:val="13"/>
                <w:color w:val="auto"/>
              </w:rPr>
            </w:pPr>
          </w:p>
        </w:tc>
        <w:tc>
          <w:tcPr>
            <w:tcW w:w="9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9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600" w:type="dxa"/>
            <w:vAlign w:val="bottom"/>
            <w:tcBorders>
              <w:bottom w:val="single" w:sz="8" w:color="auto"/>
            </w:tcBorders>
            <w:vMerge w:val="continue"/>
          </w:tcPr>
          <w:p>
            <w:pPr>
              <w:spacing w:after="0"/>
              <w:rPr>
                <w:sz w:val="12"/>
                <w:szCs w:val="12"/>
                <w:color w:val="auto"/>
              </w:rPr>
            </w:pPr>
          </w:p>
        </w:tc>
        <w:tc>
          <w:tcPr>
            <w:tcW w:w="95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00" w:hanging="489"/>
        <w:spacing w:after="0"/>
        <w:tabs>
          <w:tab w:leader="none" w:pos="21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1,722,000</w:t>
      </w:r>
    </w:p>
    <w:p>
      <w:pPr>
        <w:spacing w:after="0" w:line="3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80" w:hanging="493"/>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1,722,000</w:t>
      </w:r>
    </w:p>
    <w:p>
      <w:pPr>
        <w:spacing w:after="0" w:line="36"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780" w:hanging="538"/>
        <w:spacing w:after="0"/>
        <w:tabs>
          <w:tab w:leader="none" w:pos="78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780" w:hanging="533"/>
        <w:spacing w:after="0"/>
        <w:tabs>
          <w:tab w:leader="none" w:pos="78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7.40% *</w:t>
      </w:r>
    </w:p>
    <w:p>
      <w:pPr>
        <w:spacing w:after="0" w:line="36"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80" w:hanging="538"/>
        <w:spacing w:after="0"/>
        <w:tabs>
          <w:tab w:leader="none" w:pos="78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52" w:lineRule="exact"/>
        <w:rPr>
          <w:rFonts w:ascii="Arial" w:cs="Arial" w:eastAsia="Arial" w:hAnsi="Arial"/>
          <w:sz w:val="18"/>
          <w:szCs w:val="18"/>
          <w:b w:val="1"/>
          <w:bCs w:val="1"/>
          <w:color w:val="auto"/>
        </w:rPr>
      </w:pPr>
    </w:p>
    <w:p>
      <w:pPr>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Based upon 23,277,975 shares of common stock issued and outstanding as reported by the Issuer on its Form 10-Q filed with the Securities and Exchange Commission on November 13, 2018.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 w:name="page3"/>
    <w:bookmarkEnd w:id="2"/>
    <w:p>
      <w:pPr>
        <w:spacing w:after="0"/>
        <w:tabs>
          <w:tab w:leader="none" w:pos="5460" w:val="left"/>
          <w:tab w:leader="none" w:pos="76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5445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780" w:hanging="493"/>
        <w:spacing w:after="0"/>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Opaleye, L.P.</w:t>
      </w:r>
    </w:p>
    <w:p>
      <w:pPr>
        <w:spacing w:after="0" w:line="36"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8" w:lineRule="exact"/>
        <w:rPr>
          <w:sz w:val="20"/>
          <w:szCs w:val="20"/>
          <w:color w:val="auto"/>
        </w:rPr>
      </w:pPr>
    </w:p>
    <w:p>
      <w:pPr>
        <w:ind w:left="1100" w:hanging="32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b w:val="1"/>
          <w:bCs w:val="1"/>
          <w:color w:val="auto"/>
        </w:rPr>
        <w:t>2</w:t>
      </w:r>
      <w:r>
        <w:rPr>
          <w:rFonts w:ascii="Arial" w:cs="Arial" w:eastAsia="Arial" w:hAnsi="Arial"/>
          <w:sz w:val="18"/>
          <w:szCs w:val="18"/>
          <w:color w:val="auto"/>
        </w:rPr>
        <w:t>(b)  [ ]</w:t>
      </w:r>
    </w:p>
    <w:p>
      <w:pPr>
        <w:spacing w:after="0" w:line="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80" w:hanging="493"/>
        <w:spacing w:after="0"/>
        <w:tabs>
          <w:tab w:leader="none" w:pos="7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9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00" w:type="dxa"/>
            <w:vAlign w:val="bottom"/>
          </w:tcPr>
          <w:p>
            <w:pPr>
              <w:spacing w:after="0"/>
              <w:rPr>
                <w:sz w:val="10"/>
                <w:szCs w:val="10"/>
                <w:color w:val="auto"/>
              </w:rPr>
            </w:pPr>
          </w:p>
        </w:tc>
        <w:tc>
          <w:tcPr>
            <w:tcW w:w="9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1,722,000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600" w:type="dxa"/>
            <w:vAlign w:val="bottom"/>
            <w:tcBorders>
              <w:bottom w:val="single" w:sz="8" w:color="auto"/>
            </w:tcBorders>
            <w:vMerge w:val="continue"/>
          </w:tcPr>
          <w:p>
            <w:pPr>
              <w:spacing w:after="0"/>
              <w:rPr>
                <w:sz w:val="10"/>
                <w:szCs w:val="10"/>
                <w:color w:val="auto"/>
              </w:rPr>
            </w:pPr>
          </w:p>
        </w:tc>
        <w:tc>
          <w:tcPr>
            <w:tcW w:w="95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600" w:type="dxa"/>
            <w:vAlign w:val="bottom"/>
          </w:tcPr>
          <w:p>
            <w:pPr>
              <w:spacing w:after="0"/>
              <w:rPr>
                <w:sz w:val="13"/>
                <w:szCs w:val="13"/>
                <w:color w:val="auto"/>
              </w:rPr>
            </w:pPr>
          </w:p>
        </w:tc>
        <w:tc>
          <w:tcPr>
            <w:tcW w:w="9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9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600" w:type="dxa"/>
            <w:vAlign w:val="bottom"/>
            <w:tcBorders>
              <w:bottom w:val="single" w:sz="8" w:color="auto"/>
            </w:tcBorders>
            <w:vMerge w:val="continue"/>
          </w:tcPr>
          <w:p>
            <w:pPr>
              <w:spacing w:after="0"/>
              <w:rPr>
                <w:sz w:val="12"/>
                <w:szCs w:val="12"/>
                <w:color w:val="auto"/>
              </w:rPr>
            </w:pPr>
          </w:p>
        </w:tc>
        <w:tc>
          <w:tcPr>
            <w:tcW w:w="95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00" w:hanging="489"/>
        <w:spacing w:after="0"/>
        <w:tabs>
          <w:tab w:leader="none" w:pos="21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1,722,000</w:t>
      </w:r>
    </w:p>
    <w:p>
      <w:pPr>
        <w:spacing w:after="0" w:line="3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80" w:hanging="493"/>
        <w:spacing w:after="0"/>
        <w:tabs>
          <w:tab w:leader="none" w:pos="7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1,722,000</w:t>
      </w:r>
    </w:p>
    <w:p>
      <w:pPr>
        <w:spacing w:after="0" w:line="36"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780" w:hanging="538"/>
        <w:spacing w:after="0"/>
        <w:tabs>
          <w:tab w:leader="none" w:pos="78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780" w:hanging="533"/>
        <w:spacing w:after="0"/>
        <w:tabs>
          <w:tab w:leader="none" w:pos="78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7.40% *</w:t>
      </w:r>
    </w:p>
    <w:p>
      <w:pPr>
        <w:spacing w:after="0" w:line="36"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80" w:hanging="538"/>
        <w:spacing w:after="0"/>
        <w:tabs>
          <w:tab w:leader="none" w:pos="78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52" w:lineRule="exact"/>
        <w:rPr>
          <w:rFonts w:ascii="Arial" w:cs="Arial" w:eastAsia="Arial" w:hAnsi="Arial"/>
          <w:sz w:val="18"/>
          <w:szCs w:val="18"/>
          <w:b w:val="1"/>
          <w:bCs w:val="1"/>
          <w:color w:val="auto"/>
        </w:rPr>
      </w:pPr>
    </w:p>
    <w:p>
      <w:pPr>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Based upon 23,277,975 shares of common stock issued and outstanding as reported by the Issuer on its Form 10-Q filed with the Securities and Exchange Commission on November 13, 2018.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spacing w:after="0"/>
        <w:tabs>
          <w:tab w:leader="none" w:pos="5460" w:val="left"/>
          <w:tab w:leader="none" w:pos="76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5445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780" w:hanging="493"/>
        <w:spacing w:after="0"/>
        <w:tabs>
          <w:tab w:leader="none" w:pos="7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James Silverman</w:t>
      </w:r>
    </w:p>
    <w:p>
      <w:pPr>
        <w:spacing w:after="0" w:line="36"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8" w:lineRule="exact"/>
        <w:rPr>
          <w:sz w:val="20"/>
          <w:szCs w:val="20"/>
          <w:color w:val="auto"/>
        </w:rPr>
      </w:pPr>
    </w:p>
    <w:p>
      <w:pPr>
        <w:ind w:left="1100" w:hanging="327"/>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b w:val="1"/>
          <w:bCs w:val="1"/>
          <w:color w:val="auto"/>
        </w:rPr>
        <w:t>2</w:t>
      </w:r>
      <w:r>
        <w:rPr>
          <w:rFonts w:ascii="Arial" w:cs="Arial" w:eastAsia="Arial" w:hAnsi="Arial"/>
          <w:sz w:val="18"/>
          <w:szCs w:val="18"/>
          <w:color w:val="auto"/>
        </w:rPr>
        <w:t>(b)  [ ]</w:t>
      </w:r>
    </w:p>
    <w:p>
      <w:pPr>
        <w:spacing w:after="0" w:line="2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80" w:hanging="493"/>
        <w:spacing w:after="0"/>
        <w:tabs>
          <w:tab w:leader="none" w:pos="7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9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00" w:type="dxa"/>
            <w:vAlign w:val="bottom"/>
          </w:tcPr>
          <w:p>
            <w:pPr>
              <w:spacing w:after="0"/>
              <w:rPr>
                <w:sz w:val="10"/>
                <w:szCs w:val="10"/>
                <w:color w:val="auto"/>
              </w:rPr>
            </w:pPr>
          </w:p>
        </w:tc>
        <w:tc>
          <w:tcPr>
            <w:tcW w:w="9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1,722,000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600" w:type="dxa"/>
            <w:vAlign w:val="bottom"/>
            <w:tcBorders>
              <w:bottom w:val="single" w:sz="8" w:color="auto"/>
            </w:tcBorders>
            <w:vMerge w:val="continue"/>
          </w:tcPr>
          <w:p>
            <w:pPr>
              <w:spacing w:after="0"/>
              <w:rPr>
                <w:sz w:val="10"/>
                <w:szCs w:val="10"/>
                <w:color w:val="auto"/>
              </w:rPr>
            </w:pPr>
          </w:p>
        </w:tc>
        <w:tc>
          <w:tcPr>
            <w:tcW w:w="95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600" w:type="dxa"/>
            <w:vAlign w:val="bottom"/>
          </w:tcPr>
          <w:p>
            <w:pPr>
              <w:spacing w:after="0"/>
              <w:rPr>
                <w:sz w:val="13"/>
                <w:szCs w:val="13"/>
                <w:color w:val="auto"/>
              </w:rPr>
            </w:pPr>
          </w:p>
        </w:tc>
        <w:tc>
          <w:tcPr>
            <w:tcW w:w="9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9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600" w:type="dxa"/>
            <w:vAlign w:val="bottom"/>
            <w:tcBorders>
              <w:bottom w:val="single" w:sz="8" w:color="auto"/>
            </w:tcBorders>
            <w:vMerge w:val="continue"/>
          </w:tcPr>
          <w:p>
            <w:pPr>
              <w:spacing w:after="0"/>
              <w:rPr>
                <w:sz w:val="12"/>
                <w:szCs w:val="12"/>
                <w:color w:val="auto"/>
              </w:rPr>
            </w:pPr>
          </w:p>
        </w:tc>
        <w:tc>
          <w:tcPr>
            <w:tcW w:w="95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95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00" w:hanging="489"/>
        <w:spacing w:after="0"/>
        <w:tabs>
          <w:tab w:leader="none" w:pos="21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1,722,000</w:t>
      </w:r>
    </w:p>
    <w:p>
      <w:pPr>
        <w:spacing w:after="0" w:line="3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80" w:hanging="493"/>
        <w:spacing w:after="0"/>
        <w:tabs>
          <w:tab w:leader="none" w:pos="7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1,722,000</w:t>
      </w:r>
    </w:p>
    <w:p>
      <w:pPr>
        <w:spacing w:after="0" w:line="36"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780" w:hanging="538"/>
        <w:spacing w:after="0"/>
        <w:tabs>
          <w:tab w:leader="none" w:pos="78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780" w:hanging="533"/>
        <w:spacing w:after="0"/>
        <w:tabs>
          <w:tab w:leader="none" w:pos="78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7.40% *</w:t>
      </w:r>
    </w:p>
    <w:p>
      <w:pPr>
        <w:spacing w:after="0" w:line="36"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80" w:hanging="538"/>
        <w:spacing w:after="0"/>
        <w:tabs>
          <w:tab w:leader="none" w:pos="78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52" w:lineRule="exact"/>
        <w:rPr>
          <w:rFonts w:ascii="Arial" w:cs="Arial" w:eastAsia="Arial" w:hAnsi="Arial"/>
          <w:sz w:val="18"/>
          <w:szCs w:val="18"/>
          <w:b w:val="1"/>
          <w:bCs w:val="1"/>
          <w:color w:val="auto"/>
        </w:rPr>
      </w:pPr>
    </w:p>
    <w:p>
      <w:pPr>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Based upon 23,277,975 shares of common stock issued and outstanding as reported by the Issuer on its Form 10-Q filed with the Securities and Exchange Commission on November 13, 2018.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 w:name="page5"/>
    <w:bookmarkEnd w:id="4"/>
    <w:p>
      <w:pPr>
        <w:spacing w:after="0"/>
        <w:tabs>
          <w:tab w:leader="none" w:pos="5460" w:val="left"/>
          <w:tab w:leader="none" w:pos="76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5 of 8 Pages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name of the issuer is Harrow Health,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Company’s principal executive offices are located at 12264 El Camino Real, Suite 350, San Diego, CA 92130.</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160" w:right="20"/>
        <w:spacing w:after="0" w:line="277" w:lineRule="auto"/>
        <w:rPr>
          <w:sz w:val="20"/>
          <w:szCs w:val="20"/>
          <w:color w:val="auto"/>
        </w:rPr>
      </w:pPr>
      <w:r>
        <w:rPr>
          <w:rFonts w:ascii="Arial" w:cs="Arial" w:eastAsia="Arial" w:hAnsi="Arial"/>
          <w:sz w:val="18"/>
          <w:szCs w:val="18"/>
          <w:color w:val="auto"/>
        </w:rPr>
        <w:t>This statement is filed by the entities and persons listed below, who are collectively referred to herein as “</w:t>
      </w:r>
      <w:r>
        <w:rPr>
          <w:rFonts w:ascii="Arial" w:cs="Arial" w:eastAsia="Arial" w:hAnsi="Arial"/>
          <w:sz w:val="18"/>
          <w:szCs w:val="18"/>
          <w:u w:val="single" w:color="auto"/>
          <w:color w:val="auto"/>
        </w:rPr>
        <w:t>Reporting Persons”</w:t>
      </w:r>
      <w:r>
        <w:rPr>
          <w:rFonts w:ascii="Arial" w:cs="Arial" w:eastAsia="Arial" w:hAnsi="Arial"/>
          <w:sz w:val="18"/>
          <w:szCs w:val="18"/>
          <w:color w:val="auto"/>
        </w:rPr>
        <w:t xml:space="preserve"> with respect to the shares of common stock of the Company:</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Opaleye Fund</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Opaleye, L.P. (the “</w:t>
      </w:r>
      <w:r>
        <w:rPr>
          <w:rFonts w:ascii="Arial" w:cs="Arial" w:eastAsia="Arial" w:hAnsi="Arial"/>
          <w:sz w:val="18"/>
          <w:szCs w:val="18"/>
          <w:u w:val="single" w:color="auto"/>
          <w:color w:val="auto"/>
        </w:rPr>
        <w:t>Opaleye Fund</w:t>
      </w:r>
      <w:r>
        <w:rPr>
          <w:rFonts w:ascii="Arial" w:cs="Arial" w:eastAsia="Arial" w:hAnsi="Arial"/>
          <w:sz w:val="18"/>
          <w:szCs w:val="18"/>
          <w:color w:val="auto"/>
        </w:rPr>
        <w:t>”), a private fund formed in the state of Delaware.</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Investment Manager</w:t>
      </w:r>
    </w:p>
    <w:p>
      <w:pPr>
        <w:spacing w:after="0" w:line="225"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Opaleye Management Inc. (the “</w:t>
      </w:r>
      <w:r>
        <w:rPr>
          <w:rFonts w:ascii="Arial" w:cs="Arial" w:eastAsia="Arial" w:hAnsi="Arial"/>
          <w:sz w:val="18"/>
          <w:szCs w:val="18"/>
          <w:u w:val="single" w:color="auto"/>
          <w:color w:val="auto"/>
        </w:rPr>
        <w:t>Investment Manager”</w:t>
      </w:r>
      <w:r>
        <w:rPr>
          <w:rFonts w:ascii="Arial" w:cs="Arial" w:eastAsia="Arial" w:hAnsi="Arial"/>
          <w:sz w:val="18"/>
          <w:szCs w:val="18"/>
          <w:color w:val="auto"/>
        </w:rPr>
        <w:t>), with respect to the shares of common stock held by the Opaleye Fund, a private fund to which the Investment Manager serves as investment manager.</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Reporting Individual</w:t>
      </w:r>
    </w:p>
    <w:p>
      <w:pPr>
        <w:spacing w:after="0" w:line="225" w:lineRule="exact"/>
        <w:rPr>
          <w:sz w:val="20"/>
          <w:szCs w:val="20"/>
          <w:color w:val="auto"/>
        </w:rPr>
      </w:pPr>
    </w:p>
    <w:p>
      <w:pPr>
        <w:ind w:left="1160" w:right="20"/>
        <w:spacing w:after="0" w:line="277" w:lineRule="auto"/>
        <w:rPr>
          <w:sz w:val="20"/>
          <w:szCs w:val="20"/>
          <w:color w:val="auto"/>
        </w:rPr>
      </w:pPr>
      <w:r>
        <w:rPr>
          <w:rFonts w:ascii="Arial" w:cs="Arial" w:eastAsia="Arial" w:hAnsi="Arial"/>
          <w:sz w:val="18"/>
          <w:szCs w:val="18"/>
          <w:color w:val="auto"/>
        </w:rPr>
        <w:t>Mr. James Silverman (the “</w:t>
      </w:r>
      <w:r>
        <w:rPr>
          <w:rFonts w:ascii="Arial" w:cs="Arial" w:eastAsia="Arial" w:hAnsi="Arial"/>
          <w:sz w:val="18"/>
          <w:szCs w:val="18"/>
          <w:u w:val="single" w:color="auto"/>
          <w:color w:val="auto"/>
        </w:rPr>
        <w:t>Reporting Individual”</w:t>
      </w:r>
      <w:r>
        <w:rPr>
          <w:rFonts w:ascii="Arial" w:cs="Arial" w:eastAsia="Arial" w:hAnsi="Arial"/>
          <w:sz w:val="18"/>
          <w:szCs w:val="18"/>
          <w:color w:val="auto"/>
        </w:rPr>
        <w:t>), with respect to the shares of common stock held by the Opaleye Fund. Mr. Silverman is the President of the Investment Manager.</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One Boston Place,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160"/>
        <w:spacing w:after="0"/>
        <w:rPr>
          <w:sz w:val="20"/>
          <w:szCs w:val="20"/>
          <w:color w:val="auto"/>
        </w:rPr>
      </w:pPr>
      <w:r>
        <w:rPr>
          <w:rFonts w:ascii="Arial" w:cs="Arial" w:eastAsia="Arial" w:hAnsi="Arial"/>
          <w:sz w:val="18"/>
          <w:szCs w:val="18"/>
          <w:color w:val="auto"/>
        </w:rPr>
        <w:t>Boston, Massachusetts 02108</w:t>
      </w: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Citizenship is set forth in Row 4 of the cover page for each Reporting Person and is incorporated herein by reference for each such Reporting Person.</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Common Stock, $0.001 par value per share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29772L108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Rule 13d-1(b), or 13d-2(b) or (c), Check Whether the Person Filing is a:</w:t>
      </w:r>
    </w:p>
    <w:p>
      <w:pPr>
        <w:spacing w:after="0" w:line="229" w:lineRule="exact"/>
        <w:rPr>
          <w:sz w:val="20"/>
          <w:szCs w:val="20"/>
          <w:color w:val="auto"/>
        </w:rPr>
      </w:pPr>
    </w:p>
    <w:p>
      <w:pPr>
        <w:ind w:left="1580" w:hanging="1126"/>
        <w:spacing w:after="0"/>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1580" w:hanging="1126"/>
        <w:spacing w:after="0"/>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spacing w:after="0"/>
        <w:tabs>
          <w:tab w:leader="none" w:pos="5460" w:val="left"/>
          <w:tab w:leader="none" w:pos="76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6 of 8 Pages</w:t>
      </w:r>
    </w:p>
    <w:p>
      <w:pPr>
        <w:spacing w:after="0" w:line="225" w:lineRule="exact"/>
        <w:rPr>
          <w:sz w:val="20"/>
          <w:szCs w:val="20"/>
          <w:color w:val="auto"/>
        </w:rPr>
      </w:pPr>
    </w:p>
    <w:p>
      <w:pPr>
        <w:ind w:left="1580" w:hanging="1126"/>
        <w:spacing w:after="0"/>
        <w:tabs>
          <w:tab w:leader="none" w:pos="1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Exchange Act.</w:t>
      </w:r>
    </w:p>
    <w:p>
      <w:pPr>
        <w:spacing w:after="0" w:line="225" w:lineRule="exact"/>
        <w:rPr>
          <w:rFonts w:ascii="Arial" w:cs="Arial" w:eastAsia="Arial" w:hAnsi="Arial"/>
          <w:sz w:val="18"/>
          <w:szCs w:val="18"/>
          <w:color w:val="auto"/>
        </w:rPr>
      </w:pPr>
    </w:p>
    <w:p>
      <w:pPr>
        <w:ind w:left="1580" w:hanging="1126"/>
        <w:spacing w:after="0"/>
        <w:tabs>
          <w:tab w:leader="none" w:pos="1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1580" w:hanging="1126"/>
        <w:spacing w:after="0"/>
        <w:tabs>
          <w:tab w:leader="none" w:pos="1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An investment adviser in accordance with Rule 13d-1(b)(1)(ii)(E);</w:t>
      </w:r>
    </w:p>
    <w:p>
      <w:pPr>
        <w:spacing w:after="0" w:line="225" w:lineRule="exact"/>
        <w:rPr>
          <w:rFonts w:ascii="Arial" w:cs="Arial" w:eastAsia="Arial" w:hAnsi="Arial"/>
          <w:sz w:val="18"/>
          <w:szCs w:val="18"/>
          <w:color w:val="auto"/>
        </w:rPr>
      </w:pPr>
    </w:p>
    <w:p>
      <w:pPr>
        <w:ind w:left="1580" w:hanging="1126"/>
        <w:spacing w:after="0"/>
        <w:tabs>
          <w:tab w:leader="none" w:pos="1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Rule 13d-1(b)(1)(ii)(F);</w:t>
      </w:r>
    </w:p>
    <w:p>
      <w:pPr>
        <w:spacing w:after="0" w:line="225" w:lineRule="exact"/>
        <w:rPr>
          <w:rFonts w:ascii="Arial" w:cs="Arial" w:eastAsia="Arial" w:hAnsi="Arial"/>
          <w:sz w:val="18"/>
          <w:szCs w:val="18"/>
          <w:color w:val="auto"/>
        </w:rPr>
      </w:pPr>
    </w:p>
    <w:p>
      <w:pPr>
        <w:ind w:left="1580" w:hanging="1126"/>
        <w:spacing w:after="0"/>
        <w:tabs>
          <w:tab w:leader="none" w:pos="1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Rule 13d-1(b)(1)(ii)(G);</w:t>
      </w:r>
    </w:p>
    <w:p>
      <w:pPr>
        <w:spacing w:after="0" w:line="225" w:lineRule="exact"/>
        <w:rPr>
          <w:rFonts w:ascii="Arial" w:cs="Arial" w:eastAsia="Arial" w:hAnsi="Arial"/>
          <w:sz w:val="18"/>
          <w:szCs w:val="18"/>
          <w:color w:val="auto"/>
        </w:rPr>
      </w:pPr>
    </w:p>
    <w:p>
      <w:pPr>
        <w:ind w:left="1580" w:hanging="1126"/>
        <w:spacing w:after="0"/>
        <w:tabs>
          <w:tab w:leader="none" w:pos="1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225" w:lineRule="exact"/>
        <w:rPr>
          <w:rFonts w:ascii="Arial" w:cs="Arial" w:eastAsia="Arial" w:hAnsi="Arial"/>
          <w:sz w:val="18"/>
          <w:szCs w:val="18"/>
          <w:color w:val="auto"/>
        </w:rPr>
      </w:pPr>
    </w:p>
    <w:p>
      <w:pPr>
        <w:ind w:left="2000" w:hanging="1546"/>
        <w:spacing w:after="0" w:line="277" w:lineRule="auto"/>
        <w:tabs>
          <w:tab w:leader="none" w:pos="15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580" w:hanging="1126"/>
        <w:spacing w:after="0"/>
        <w:tabs>
          <w:tab w:leader="none" w:pos="1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A non-U.S. institution in accordance with Rule 13d-1(b)(1)(ii)(J);</w:t>
      </w:r>
    </w:p>
    <w:p>
      <w:pPr>
        <w:spacing w:after="0" w:line="225" w:lineRule="exact"/>
        <w:rPr>
          <w:rFonts w:ascii="Arial" w:cs="Arial" w:eastAsia="Arial" w:hAnsi="Arial"/>
          <w:sz w:val="18"/>
          <w:szCs w:val="18"/>
          <w:color w:val="auto"/>
        </w:rPr>
      </w:pPr>
    </w:p>
    <w:p>
      <w:pPr>
        <w:ind w:left="1580" w:hanging="1126"/>
        <w:spacing w:after="0"/>
        <w:tabs>
          <w:tab w:leader="none" w:pos="1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660" w:right="6080"/>
        <w:spacing w:after="0" w:line="274" w:lineRule="auto"/>
        <w:rPr>
          <w:rFonts w:ascii="Arial" w:cs="Arial" w:eastAsia="Arial" w:hAnsi="Arial"/>
          <w:sz w:val="18"/>
          <w:szCs w:val="18"/>
          <w:color w:val="auto"/>
        </w:rPr>
      </w:pPr>
      <w:r>
        <w:rPr>
          <w:rFonts w:ascii="Arial" w:cs="Arial" w:eastAsia="Arial" w:hAnsi="Arial"/>
          <w:sz w:val="17"/>
          <w:szCs w:val="17"/>
          <w:color w:val="auto"/>
        </w:rPr>
        <w:t>Opaleye Management Inc. — 1,722,000 shares of common stock Opaleye, L.P. — 1,722,000 shares of common stock</w:t>
      </w:r>
    </w:p>
    <w:p>
      <w:pPr>
        <w:ind w:left="660"/>
        <w:spacing w:after="0"/>
        <w:rPr>
          <w:rFonts w:ascii="Arial" w:cs="Arial" w:eastAsia="Arial" w:hAnsi="Arial"/>
          <w:sz w:val="18"/>
          <w:szCs w:val="18"/>
          <w:color w:val="auto"/>
        </w:rPr>
      </w:pPr>
      <w:r>
        <w:rPr>
          <w:rFonts w:ascii="Arial" w:cs="Arial" w:eastAsia="Arial" w:hAnsi="Arial"/>
          <w:sz w:val="18"/>
          <w:szCs w:val="18"/>
          <w:color w:val="auto"/>
        </w:rPr>
        <w:t>James Silverman — 1,722,000 shares of common stock</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Opaleye Management Inc. — 7.40%*</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Opaleye, L.P. — 7.40%*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Silverman — 7.40%*</w:t>
      </w:r>
    </w:p>
    <w:p>
      <w:pPr>
        <w:spacing w:after="0" w:line="211" w:lineRule="exact"/>
        <w:rPr>
          <w:sz w:val="20"/>
          <w:szCs w:val="20"/>
          <w:color w:val="auto"/>
        </w:rPr>
      </w:pPr>
    </w:p>
    <w:p>
      <w:pPr>
        <w:ind w:firstLine="8"/>
        <w:spacing w:after="0" w:line="308" w:lineRule="auto"/>
        <w:tabs>
          <w:tab w:leader="none" w:pos="143"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upon 23,277,975 shares of common stock issued and outstanding as reported by the Issuer on its Form 10-Q filed with the Securities and Exchange Commission on November 13, 2018. This calculation does not include the exercise or conversion of outstanding securities of the Company.</w:t>
      </w:r>
    </w:p>
    <w:p>
      <w:pPr>
        <w:spacing w:after="0" w:line="14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300" w:right="736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spacing w:after="0"/>
        <w:tabs>
          <w:tab w:leader="none" w:pos="5460" w:val="left"/>
          <w:tab w:leader="none" w:pos="76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7 of 8 Pages</w:t>
      </w:r>
    </w:p>
    <w:p>
      <w:pPr>
        <w:spacing w:after="0" w:line="225"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300" w:right="5440"/>
        <w:spacing w:after="0" w:line="274" w:lineRule="auto"/>
        <w:rPr>
          <w:rFonts w:ascii="Arial" w:cs="Arial" w:eastAsia="Arial" w:hAnsi="Arial"/>
          <w:sz w:val="18"/>
          <w:szCs w:val="18"/>
          <w:color w:val="auto"/>
        </w:rPr>
      </w:pPr>
      <w:r>
        <w:rPr>
          <w:rFonts w:ascii="Arial" w:cs="Arial" w:eastAsia="Arial" w:hAnsi="Arial"/>
          <w:sz w:val="17"/>
          <w:szCs w:val="17"/>
          <w:color w:val="auto"/>
        </w:rPr>
        <w:t>Opaleye Management Inc. — 1,722,000 shares of common stock Opaleye, L.P. — 1,722,000 shares of common stock</w:t>
      </w: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1,722,000 shares of common stock</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300" w:right="736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Opaleye Management Inc. — 1,722,000 shares of common stock</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Opaleye, L.P. — 1,722,000 shares of common stock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Silverman — 1,722,000 shares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spacing w:after="0"/>
        <w:tabs>
          <w:tab w:leader="none" w:pos="5460" w:val="left"/>
          <w:tab w:leader="none" w:pos="76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8 of 8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tcPr>
          <w:p>
            <w:pPr>
              <w:ind w:left="60"/>
              <w:spacing w:after="0"/>
              <w:rPr>
                <w:sz w:val="20"/>
                <w:szCs w:val="20"/>
                <w:color w:val="auto"/>
              </w:rPr>
            </w:pPr>
            <w:r>
              <w:rPr>
                <w:rFonts w:ascii="Arial" w:cs="Arial" w:eastAsia="Arial" w:hAnsi="Arial"/>
                <w:sz w:val="18"/>
                <w:szCs w:val="18"/>
                <w:color w:val="auto"/>
              </w:rPr>
              <w:t>Date: February 14, 2019</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James Silverman</w:t>
            </w:r>
          </w:p>
        </w:tc>
      </w:tr>
      <w:tr>
        <w:trPr>
          <w:trHeight w:val="418"/>
        </w:trPr>
        <w:tc>
          <w:tcPr>
            <w:tcW w:w="3760" w:type="dxa"/>
            <w:vAlign w:val="bottom"/>
          </w:tcPr>
          <w:p>
            <w:pPr>
              <w:spacing w:after="0"/>
              <w:rPr>
                <w:sz w:val="24"/>
                <w:szCs w:val="24"/>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Opaleye, L.P.</w:t>
            </w: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Date: February 14, 2019</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760" w:type="dxa"/>
            <w:vAlign w:val="bottom"/>
          </w:tcPr>
          <w:p>
            <w:pPr>
              <w:spacing w:after="0"/>
              <w:rPr>
                <w:sz w:val="17"/>
                <w:szCs w:val="17"/>
                <w:color w:val="auto"/>
              </w:rPr>
            </w:pPr>
          </w:p>
        </w:tc>
        <w:tc>
          <w:tcPr>
            <w:tcW w:w="2520" w:type="dxa"/>
            <w:vAlign w:val="bottom"/>
          </w:tcPr>
          <w:p>
            <w:pPr>
              <w:ind w:left="196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16"/>
        </w:trPr>
        <w:tc>
          <w:tcPr>
            <w:tcW w:w="3760" w:type="dxa"/>
            <w:vAlign w:val="bottom"/>
          </w:tcPr>
          <w:p>
            <w:pPr>
              <w:spacing w:after="0"/>
              <w:rPr>
                <w:sz w:val="18"/>
                <w:szCs w:val="18"/>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Managing Member of Opaleye</w:t>
            </w:r>
          </w:p>
        </w:tc>
      </w:tr>
      <w:tr>
        <w:trPr>
          <w:trHeight w:val="216"/>
        </w:trPr>
        <w:tc>
          <w:tcPr>
            <w:tcW w:w="3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GP LLC, the General Partner of</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Opaleye, L.P.</w:t>
            </w:r>
          </w:p>
        </w:tc>
      </w:tr>
      <w:tr>
        <w:trPr>
          <w:trHeight w:val="432"/>
        </w:trPr>
        <w:tc>
          <w:tcPr>
            <w:tcW w:w="3760" w:type="dxa"/>
            <w:vAlign w:val="bottom"/>
          </w:tcPr>
          <w:p>
            <w:pPr>
              <w:spacing w:after="0"/>
              <w:rPr>
                <w:sz w:val="24"/>
                <w:szCs w:val="24"/>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Opaleye Management Inc.</w:t>
            </w: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Date: February 14, 2019</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760" w:type="dxa"/>
            <w:vAlign w:val="bottom"/>
          </w:tcPr>
          <w:p>
            <w:pPr>
              <w:spacing w:after="0"/>
              <w:rPr>
                <w:sz w:val="17"/>
                <w:szCs w:val="17"/>
                <w:color w:val="auto"/>
              </w:rPr>
            </w:pPr>
          </w:p>
        </w:tc>
        <w:tc>
          <w:tcPr>
            <w:tcW w:w="2520" w:type="dxa"/>
            <w:vAlign w:val="bottom"/>
          </w:tcPr>
          <w:p>
            <w:pPr>
              <w:ind w:left="196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30"/>
        </w:trPr>
        <w:tc>
          <w:tcPr>
            <w:tcW w:w="3760" w:type="dxa"/>
            <w:vAlign w:val="bottom"/>
          </w:tcPr>
          <w:p>
            <w:pPr>
              <w:spacing w:after="0"/>
              <w:rPr>
                <w:sz w:val="20"/>
                <w:szCs w:val="20"/>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9"/>
        </w:trPr>
        <w:tc>
          <w:tcPr>
            <w:tcW w:w="3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Joint Filing Agreement, dated February 14, 2019, is entered into by and among Opaleye Management Inc., a Massachusetts corporation, Opaleye, L.P., a Delaware limited partnership and James Silverman, an individual (collectively referred to herein as (the “Filers”). Each of the Filers may be required to file with the U.S. Securities and Exchange Commission a statement on Schedule 13G with respect to shares of common stock, $0.001 par value per share, of Harrow Health, Inc. beneficially owned 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James Silverman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Opaleye, L.P.</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Opaleye GP LLC, the General Partner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 Opaleye, L.P.</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Opaleye Management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2]"/>
      <w:numFmt w:val="upperLetter"/>
      <w:start w:val="24"/>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4"/>
      <w:numFmt w:val="bullet"/>
      <w:start w:val="1"/>
    </w:lvl>
  </w:abstractNum>
  <w:abstractNum w:abstractNumId="4">
    <w:nsid w:val="1BEFD79F"/>
    <w:multiLevelType w:val="hybridMultilevel"/>
    <w:lvl w:ilvl="0">
      <w:lvlJc w:val="left"/>
      <w:lvlText w:val="8"/>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
      <w:numFmt w:val="bullet"/>
      <w:start w:val="1"/>
    </w:lvl>
    <w:lvl w:ilvl="1">
      <w:lvlJc w:val="left"/>
      <w:lvlText w:val="%2"/>
      <w:numFmt w:val="decimal"/>
      <w:start w:val="10"/>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4"/>
      <w:numFmt w:val="bullet"/>
      <w:start w:val="1"/>
    </w:lvl>
  </w:abstractNum>
  <w:abstractNum w:abstractNumId="10">
    <w:nsid w:val="431BD7B7"/>
    <w:multiLevelType w:val="hybridMultilevel"/>
    <w:lvl w:ilvl="0">
      <w:lvlJc w:val="left"/>
      <w:lvlText w:val="8"/>
      <w:numFmt w:val="bullet"/>
      <w:start w:val="1"/>
    </w:lvl>
  </w:abstractNum>
  <w:abstractNum w:abstractNumId="11">
    <w:nsid w:val="3F2DBA31"/>
    <w:multiLevelType w:val="hybridMultilevel"/>
    <w:lvl w:ilvl="0">
      <w:lvlJc w:val="left"/>
      <w:lvlText w:val="9"/>
      <w:numFmt w:val="bullet"/>
      <w:start w:val="1"/>
    </w:lvl>
  </w:abstractNum>
  <w:abstractNum w:abstractNumId="12">
    <w:nsid w:val="7C83E458"/>
    <w:multiLevelType w:val="hybridMultilevel"/>
    <w:lvl w:ilvl="0">
      <w:lvlJc w:val="left"/>
      <w:lvlText w:val="*"/>
      <w:numFmt w:val="bullet"/>
      <w:start w:val="1"/>
    </w:lvl>
    <w:lvl w:ilvl="1">
      <w:lvlJc w:val="left"/>
      <w:lvlText w:val="%2"/>
      <w:numFmt w:val="decimal"/>
      <w:start w:val="10"/>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4"/>
      <w:numFmt w:val="bullet"/>
      <w:start w:val="1"/>
    </w:lvl>
  </w:abstractNum>
  <w:abstractNum w:abstractNumId="16">
    <w:nsid w:val="628C895D"/>
    <w:multiLevelType w:val="hybridMultilevel"/>
    <w:lvl w:ilvl="0">
      <w:lvlJc w:val="left"/>
      <w:lvlText w:val="8"/>
      <w:numFmt w:val="bullet"/>
      <w:start w:val="1"/>
    </w:lvl>
  </w:abstractNum>
  <w:abstractNum w:abstractNumId="17">
    <w:nsid w:val="333AB105"/>
    <w:multiLevelType w:val="hybridMultilevel"/>
    <w:lvl w:ilvl="0">
      <w:lvlJc w:val="left"/>
      <w:lvlText w:val="9"/>
      <w:numFmt w:val="bullet"/>
      <w:start w:val="1"/>
    </w:lvl>
  </w:abstractNum>
  <w:abstractNum w:abstractNumId="18">
    <w:nsid w:val="721DA317"/>
    <w:multiLevelType w:val="hybridMultilevel"/>
    <w:lvl w:ilvl="0">
      <w:lvlJc w:val="left"/>
      <w:lvlText w:val="*"/>
      <w:numFmt w:val="bullet"/>
      <w:start w:val="1"/>
    </w:lvl>
    <w:lvl w:ilvl="1">
      <w:lvlJc w:val="left"/>
      <w:lvlText w:val="%2"/>
      <w:numFmt w:val="decimal"/>
      <w:start w:val="10"/>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3"/>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lowerLetter"/>
      <w:start w:val="3"/>
    </w:lvl>
    <w:lvl w:ilvl="1">
      <w:lvlJc w:val="left"/>
      <w:lvlText w:val="(%2)"/>
      <w:numFmt w:val="lowerRoman"/>
      <w:start w:val="1"/>
    </w:lvl>
  </w:abstractNum>
  <w:abstractNum w:abstractNumId="24">
    <w:nsid w:val="79838CB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2020-01-09T21:02:30Z</dcterms:created>
  <dcterms:modified xsi:type="dcterms:W3CDTF">2020-01-09T21:02:30Z</dcterms:modified>
</cp:coreProperties>
</file>